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4. APPOINTMENT OF TESTAMENTARY GUARDIAN</w:t>
      </w:r>
    </w:p>
    <w:p>
      <w:pPr>
        <w:spacing w:after="120"/>
      </w:pPr>
      <w:r>
        <w:t xml:space="preserve">GUARDIANSHIP: Pursuant to Section 9 of the Hindu Minority and Guardianship Act, 1956, and applicable Indian succession law, in the event my spouse predeceases me, I hereby appoint Sunita Sharma to be the legal and testamentary guardian of my minor children during their minority.</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
GUARDIANSHIP: I appoint Sunita Sharma to be the guardian of my minor children.Signed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2026-09-17T12:31:56.314Z</dcterms:created>
  <dcterms:modified xsi:type="dcterms:W3CDTF">2026-09-17T12:31:56.314Z</dcterms:modified>
</cp:coreProperties>
</file>

<file path=docProps/custom.xml><?xml version="1.0" encoding="utf-8"?>
<Properties xmlns="http://schemas.openxmlformats.org/officeDocument/2006/custom-properties" xmlns:vt="http://schemas.openxmlformats.org/officeDocument/2006/docPropsVTypes"/>
</file>