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Other</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BusinessInterests</w:t>
            </w:r>
          </w:p>
        </w:tc>
        <w:tc>
          <w:p>
            <w:r>
              <w:t xml:space="preserve">Proprietary Tech Partnership</w:t>
            </w:r>
          </w:p>
        </w:tc>
        <w:tc>
          <w:p>
            <w:r>
              <w:t xml:space="preserve">N/A</w:t>
            </w:r>
          </w:p>
        </w:tc>
        <w:tc>
          <w:p>
            <w:r>
              <w:t xml:space="preserve">100%</w:t>
            </w:r>
          </w:p>
        </w:tc>
      </w:tr>
    </w:tbl>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
BUSINESS SUCCESSION: I direct that all my business and commercial enterprise interests shall pass in accordance with the succession schedule provided herein.Signed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2026-09-20T12:43:33.223Z</dcterms:created>
  <dcterms:modified xsi:type="dcterms:W3CDTF">2026-09-20T12:43:33.223Z</dcterms:modified>
</cp:coreProperties>
</file>

<file path=docProps/custom.xml><?xml version="1.0" encoding="utf-8"?>
<Properties xmlns="http://schemas.openxmlformats.org/officeDocument/2006/custom-properties" xmlns:vt="http://schemas.openxmlformats.org/officeDocument/2006/docPropsVTypes"/>
</file>