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8272"/>
          <w:tab w:val="left" w:pos="8320"/>
        </w:tabs>
        <w:spacing w:after="0" w:before="0" w:line="276" w:lineRule="auto"/>
        <w:ind w:left="0" w:right="0" w:firstLine="0"/>
        <w:jc w:val="center"/>
        <w:rPr>
          <w:rFonts w:ascii="Malgun Gothic" w:cs="Malgun Gothic" w:eastAsia="Malgun Gothic" w:hAnsi="Malgun Gothic"/>
          <w:b w:val="1"/>
          <w:i w:val="0"/>
          <w:smallCaps w:val="0"/>
          <w:strike w:val="0"/>
          <w:color w:val="000000"/>
          <w:sz w:val="30"/>
          <w:szCs w:val="3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0"/>
          <w:szCs w:val="30"/>
          <w:u w:val="none"/>
          <w:shd w:fill="auto" w:val="clear"/>
          <w:vertAlign w:val="baseline"/>
          <w:rtl w:val="0"/>
        </w:rPr>
        <w:t xml:space="preserve">「제6회 대한민국 SW융합 해커톤 대회」</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8272"/>
          <w:tab w:val="left" w:pos="8320"/>
        </w:tabs>
        <w:spacing w:after="0" w:before="0" w:line="384" w:lineRule="auto"/>
        <w:ind w:left="0" w:right="0" w:firstLine="0"/>
        <w:jc w:val="center"/>
        <w:rPr>
          <w:rFonts w:ascii="Malgun Gothic" w:cs="Malgun Gothic" w:eastAsia="Malgun Gothic" w:hAnsi="Malgun Gothic"/>
          <w:b w:val="1"/>
          <w:i w:val="0"/>
          <w:smallCaps w:val="0"/>
          <w:strike w:val="0"/>
          <w:color w:val="000000"/>
          <w:sz w:val="50"/>
          <w:szCs w:val="5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50"/>
          <w:szCs w:val="50"/>
          <w:u w:val="none"/>
          <w:shd w:fill="auto" w:val="clear"/>
          <w:vertAlign w:val="baseline"/>
          <w:rtl w:val="0"/>
        </w:rPr>
        <w:t xml:space="preserve">중간 개발요약서</w:t>
      </w:r>
    </w:p>
    <w:tbl>
      <w:tblPr>
        <w:tblStyle w:val="Table1"/>
        <w:tblW w:w="10320.0" w:type="dxa"/>
        <w:jc w:val="left"/>
        <w:tblInd w:w="-555.0" w:type="dxa"/>
        <w:tblLayout w:type="fixed"/>
        <w:tblLook w:val="0400"/>
      </w:tblPr>
      <w:tblGrid>
        <w:gridCol w:w="1650"/>
        <w:gridCol w:w="3405"/>
        <w:gridCol w:w="1410"/>
        <w:gridCol w:w="1425"/>
        <w:gridCol w:w="2430"/>
        <w:tblGridChange w:id="0">
          <w:tblGrid>
            <w:gridCol w:w="1650"/>
            <w:gridCol w:w="3405"/>
            <w:gridCol w:w="1410"/>
            <w:gridCol w:w="1425"/>
            <w:gridCol w:w="2430"/>
          </w:tblGrid>
        </w:tblGridChange>
      </w:tblGrid>
      <w:tr>
        <w:trPr>
          <w:trHeight w:val="820" w:hRule="atLeast"/>
        </w:trPr>
        <w:tc>
          <w:tcPr>
            <w:tcBorders>
              <w:top w:color="000000" w:space="0" w:sz="12" w:val="single"/>
              <w:left w:color="000000" w:space="0" w:sz="12" w:val="single"/>
              <w:bottom w:color="000000" w:space="0" w:sz="4" w:val="single"/>
              <w:right w:color="000000" w:space="0" w:sz="4" w:val="single"/>
            </w:tcBorders>
            <w:shd w:fill="e5e5e5" w:val="clear"/>
            <w:tcMar>
              <w:top w:w="28.0" w:type="dxa"/>
              <w:left w:w="102.0" w:type="dxa"/>
              <w:bottom w:w="28.0" w:type="dxa"/>
              <w:right w:w="102.0" w:type="dxa"/>
            </w:tcMar>
            <w:vAlign w:val="center"/>
          </w:tcPr>
          <w:p w:rsidR="00000000" w:rsidDel="00000000" w:rsidP="00000000" w:rsidRDefault="00000000" w:rsidRPr="00000000" w14:paraId="00000003">
            <w:pPr>
              <w:spacing w:after="0" w:line="240"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팀 명</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4">
            <w:pPr>
              <w:spacing w:after="0" w:line="384" w:lineRule="auto"/>
              <w:jc w:val="center"/>
              <w:rPr>
                <w:rFonts w:ascii="한양신명조" w:cs="한양신명조" w:eastAsia="한양신명조" w:hAnsi="한양신명조"/>
                <w:color w:val="000000"/>
                <w:sz w:val="24"/>
                <w:szCs w:val="24"/>
              </w:rPr>
            </w:pPr>
            <w:r w:rsidDel="00000000" w:rsidR="00000000" w:rsidRPr="00000000">
              <w:rPr>
                <w:rFonts w:ascii="한양신명조" w:cs="한양신명조" w:eastAsia="한양신명조" w:hAnsi="한양신명조"/>
                <w:sz w:val="24"/>
                <w:szCs w:val="24"/>
                <w:rtl w:val="0"/>
              </w:rPr>
              <w:t xml:space="preserve">ECO</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5">
            <w:pPr>
              <w:spacing w:after="0" w:line="384" w:lineRule="auto"/>
              <w:jc w:val="center"/>
              <w:rPr>
                <w:rFonts w:ascii="한양신명조" w:cs="한양신명조" w:eastAsia="한양신명조" w:hAnsi="한양신명조"/>
                <w:color w:val="000000"/>
                <w:sz w:val="22"/>
                <w:szCs w:val="22"/>
              </w:rPr>
            </w:pPr>
            <w:r w:rsidDel="00000000" w:rsidR="00000000" w:rsidRPr="00000000">
              <w:rPr>
                <w:rFonts w:ascii="휴먼명조" w:cs="휴먼명조" w:eastAsia="휴먼명조" w:hAnsi="휴먼명조"/>
                <w:b w:val="1"/>
                <w:color w:val="000000"/>
                <w:sz w:val="24"/>
                <w:szCs w:val="24"/>
                <w:rtl w:val="0"/>
              </w:rPr>
              <w:t xml:space="preserve">자유과제</w:t>
            </w:r>
            <w:r w:rsidDel="00000000" w:rsidR="00000000" w:rsidRPr="00000000">
              <w:rPr>
                <w:rtl w:val="0"/>
              </w:rPr>
            </w:r>
          </w:p>
          <w:p w:rsidR="00000000" w:rsidDel="00000000" w:rsidP="00000000" w:rsidRDefault="00000000" w:rsidRPr="00000000" w14:paraId="00000006">
            <w:pPr>
              <w:spacing w:after="0" w:line="384" w:lineRule="auto"/>
              <w:jc w:val="center"/>
              <w:rPr>
                <w:rFonts w:ascii="한양신명조" w:cs="한양신명조" w:eastAsia="한양신명조" w:hAnsi="한양신명조"/>
                <w:color w:val="000000"/>
                <w:sz w:val="22"/>
                <w:szCs w:val="22"/>
              </w:rPr>
            </w:pPr>
            <w:r w:rsidDel="00000000" w:rsidR="00000000" w:rsidRPr="00000000">
              <w:rPr>
                <w:rFonts w:ascii="휴먼명조" w:cs="휴먼명조" w:eastAsia="휴먼명조" w:hAnsi="휴먼명조"/>
                <w:color w:val="000000"/>
                <w:sz w:val="24"/>
                <w:szCs w:val="24"/>
                <w:rtl w:val="0"/>
              </w:rPr>
              <w:t xml:space="preserve">□</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Mar>
              <w:top w:w="28.0" w:type="dxa"/>
              <w:left w:w="102.0" w:type="dxa"/>
              <w:bottom w:w="28.0" w:type="dxa"/>
              <w:right w:w="102.0" w:type="dxa"/>
            </w:tcMar>
            <w:vAlign w:val="center"/>
          </w:tcPr>
          <w:p w:rsidR="00000000" w:rsidDel="00000000" w:rsidP="00000000" w:rsidRDefault="00000000" w:rsidRPr="00000000" w14:paraId="00000007">
            <w:pPr>
              <w:spacing w:after="0" w:line="384" w:lineRule="auto"/>
              <w:jc w:val="center"/>
              <w:rPr>
                <w:rFonts w:ascii="한양신명조" w:cs="한양신명조" w:eastAsia="한양신명조" w:hAnsi="한양신명조"/>
                <w:color w:val="000000"/>
                <w:sz w:val="22"/>
                <w:szCs w:val="22"/>
              </w:rPr>
            </w:pPr>
            <w:r w:rsidDel="00000000" w:rsidR="00000000" w:rsidRPr="00000000">
              <w:rPr>
                <w:rFonts w:ascii="휴먼명조" w:cs="휴먼명조" w:eastAsia="휴먼명조" w:hAnsi="휴먼명조"/>
                <w:b w:val="1"/>
                <w:color w:val="000000"/>
                <w:sz w:val="24"/>
                <w:szCs w:val="24"/>
                <w:rtl w:val="0"/>
              </w:rPr>
              <w:t xml:space="preserve">지정과제1</w:t>
            </w:r>
            <w:r w:rsidDel="00000000" w:rsidR="00000000" w:rsidRPr="00000000">
              <w:rPr>
                <w:rtl w:val="0"/>
              </w:rPr>
            </w:r>
          </w:p>
          <w:p w:rsidR="00000000" w:rsidDel="00000000" w:rsidP="00000000" w:rsidRDefault="00000000" w:rsidRPr="00000000" w14:paraId="00000008">
            <w:pPr>
              <w:spacing w:after="0" w:line="384" w:lineRule="auto"/>
              <w:jc w:val="center"/>
              <w:rPr>
                <w:rFonts w:ascii="한양신명조" w:cs="한양신명조" w:eastAsia="한양신명조" w:hAnsi="한양신명조"/>
                <w:color w:val="000000"/>
                <w:sz w:val="22"/>
                <w:szCs w:val="22"/>
              </w:rPr>
            </w:pPr>
            <w:r w:rsidDel="00000000" w:rsidR="00000000" w:rsidRPr="00000000">
              <w:rPr>
                <w:rFonts w:ascii="휴먼명조" w:cs="휴먼명조" w:eastAsia="휴먼명조" w:hAnsi="휴먼명조"/>
                <w:color w:val="000000"/>
                <w:sz w:val="24"/>
                <w:szCs w:val="24"/>
                <w:rtl w:val="0"/>
              </w:rPr>
              <w:t xml:space="preserve">□</w:t>
            </w:r>
            <w:r w:rsidDel="00000000" w:rsidR="00000000" w:rsidRPr="00000000">
              <w:rPr>
                <w:rtl w:val="0"/>
              </w:rPr>
            </w:r>
          </w:p>
        </w:tc>
        <w:tc>
          <w:tcPr>
            <w:tcBorders>
              <w:top w:color="000000" w:space="0" w:sz="12"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09">
            <w:pPr>
              <w:spacing w:after="0" w:line="384" w:lineRule="auto"/>
              <w:jc w:val="center"/>
              <w:rPr>
                <w:rFonts w:ascii="한양신명조" w:cs="한양신명조" w:eastAsia="한양신명조" w:hAnsi="한양신명조"/>
                <w:color w:val="000000"/>
                <w:sz w:val="22"/>
                <w:szCs w:val="22"/>
              </w:rPr>
            </w:pPr>
            <w:r w:rsidDel="00000000" w:rsidR="00000000" w:rsidRPr="00000000">
              <w:rPr>
                <w:rFonts w:ascii="휴먼명조" w:cs="휴먼명조" w:eastAsia="휴먼명조" w:hAnsi="휴먼명조"/>
                <w:b w:val="1"/>
                <w:color w:val="000000"/>
                <w:sz w:val="24"/>
                <w:szCs w:val="24"/>
                <w:rtl w:val="0"/>
              </w:rPr>
              <w:t xml:space="preserve">지정과제2</w:t>
            </w:r>
            <w:r w:rsidDel="00000000" w:rsidR="00000000" w:rsidRPr="00000000">
              <w:rPr>
                <w:rtl w:val="0"/>
              </w:rPr>
            </w:r>
          </w:p>
          <w:p w:rsidR="00000000" w:rsidDel="00000000" w:rsidP="00000000" w:rsidRDefault="00000000" w:rsidRPr="00000000" w14:paraId="0000000A">
            <w:pPr>
              <w:spacing w:after="0" w:line="384" w:lineRule="auto"/>
              <w:jc w:val="center"/>
              <w:rPr>
                <w:rFonts w:ascii="한양신명조" w:cs="한양신명조" w:eastAsia="한양신명조" w:hAnsi="한양신명조"/>
                <w:color w:val="000000"/>
                <w:sz w:val="22"/>
                <w:szCs w:val="22"/>
              </w:rPr>
            </w:pPr>
            <w:r w:rsidDel="00000000" w:rsidR="00000000" w:rsidRPr="00000000">
              <w:rPr>
                <w:rFonts w:ascii="휴먼명조" w:cs="휴먼명조" w:eastAsia="휴먼명조" w:hAnsi="휴먼명조"/>
                <w:color w:val="000000"/>
                <w:sz w:val="24"/>
                <w:szCs w:val="24"/>
                <w:rtl w:val="0"/>
              </w:rPr>
              <w:t xml:space="preserve">□</w:t>
            </w:r>
            <w:r w:rsidDel="00000000" w:rsidR="00000000" w:rsidRPr="00000000">
              <w:rPr>
                <w:rtl w:val="0"/>
              </w:rPr>
            </w:r>
          </w:p>
        </w:tc>
      </w:tr>
      <w:tr>
        <w:trPr>
          <w:trHeight w:val="76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102.0" w:type="dxa"/>
              <w:bottom w:w="28.0" w:type="dxa"/>
              <w:right w:w="102.0" w:type="dxa"/>
            </w:tcMar>
            <w:vAlign w:val="center"/>
          </w:tcPr>
          <w:p w:rsidR="00000000" w:rsidDel="00000000" w:rsidP="00000000" w:rsidRDefault="00000000" w:rsidRPr="00000000" w14:paraId="0000000B">
            <w:pPr>
              <w:spacing w:after="0" w:line="240"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개발주제</w:t>
            </w:r>
            <w:r w:rsidDel="00000000" w:rsidR="00000000" w:rsidRPr="00000000">
              <w:rPr>
                <w:rtl w:val="0"/>
              </w:rPr>
            </w:r>
          </w:p>
          <w:p w:rsidR="00000000" w:rsidDel="00000000" w:rsidP="00000000" w:rsidRDefault="00000000" w:rsidRPr="00000000" w14:paraId="0000000C">
            <w:pPr>
              <w:spacing w:after="0" w:line="240"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(과 제 명)</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0D">
            <w:pPr>
              <w:widowControl w:val="1"/>
              <w:spacing w:after="0" w:line="276" w:lineRule="auto"/>
              <w:jc w:val="left"/>
              <w:rPr>
                <w:rFonts w:ascii="한양신명조" w:cs="한양신명조" w:eastAsia="한양신명조" w:hAnsi="한양신명조"/>
                <w:sz w:val="24"/>
                <w:szCs w:val="24"/>
              </w:rPr>
            </w:pPr>
            <w:r w:rsidDel="00000000" w:rsidR="00000000" w:rsidRPr="00000000">
              <w:rPr>
                <w:rFonts w:ascii="Arial Unicode MS" w:cs="Arial Unicode MS" w:eastAsia="Arial Unicode MS" w:hAnsi="Arial Unicode MS"/>
                <w:sz w:val="22"/>
                <w:szCs w:val="22"/>
                <w:rtl w:val="0"/>
              </w:rPr>
              <w:t xml:space="preserve">가변도로 설치로 인한 도로 혼잡도 개선 시뮬레이션  및 예산 대비 최적 가변도로 추천 시스템 </w:t>
            </w:r>
            <w:r w:rsidDel="00000000" w:rsidR="00000000" w:rsidRPr="00000000">
              <w:rPr>
                <w:rtl w:val="0"/>
              </w:rPr>
            </w:r>
          </w:p>
        </w:tc>
      </w:tr>
      <w:tr>
        <w:trPr>
          <w:trHeight w:val="76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102.0" w:type="dxa"/>
              <w:bottom w:w="28.0" w:type="dxa"/>
              <w:right w:w="102.0" w:type="dxa"/>
            </w:tcMar>
            <w:vAlign w:val="center"/>
          </w:tcPr>
          <w:p w:rsidR="00000000" w:rsidDel="00000000" w:rsidP="00000000" w:rsidRDefault="00000000" w:rsidRPr="00000000" w14:paraId="00000011">
            <w:pPr>
              <w:spacing w:after="0" w:line="240"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개발도구</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12">
            <w:pPr>
              <w:spacing w:after="0" w:line="384" w:lineRule="auto"/>
              <w:jc w:val="center"/>
              <w:rPr>
                <w:rFonts w:ascii="한양신명조" w:cs="한양신명조" w:eastAsia="한양신명조" w:hAnsi="한양신명조"/>
                <w:color w:val="000000"/>
                <w:sz w:val="24"/>
                <w:szCs w:val="24"/>
              </w:rPr>
            </w:pPr>
            <w:r w:rsidDel="00000000" w:rsidR="00000000" w:rsidRPr="00000000">
              <w:rPr>
                <w:rFonts w:ascii="한양신명조" w:cs="한양신명조" w:eastAsia="한양신명조" w:hAnsi="한양신명조"/>
                <w:sz w:val="24"/>
                <w:szCs w:val="24"/>
                <w:rtl w:val="0"/>
              </w:rPr>
              <w:t xml:space="preserve">VS Code, IntelliJ, Eclipse</w:t>
            </w:r>
            <w:r w:rsidDel="00000000" w:rsidR="00000000" w:rsidRPr="00000000">
              <w:rPr>
                <w:rtl w:val="0"/>
              </w:rPr>
            </w:r>
          </w:p>
        </w:tc>
      </w:tr>
      <w:tr>
        <w:trPr>
          <w:trHeight w:val="192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102.0" w:type="dxa"/>
              <w:bottom w:w="28.0" w:type="dxa"/>
              <w:right w:w="102.0" w:type="dxa"/>
            </w:tcMar>
            <w:vAlign w:val="center"/>
          </w:tcPr>
          <w:p w:rsidR="00000000" w:rsidDel="00000000" w:rsidP="00000000" w:rsidRDefault="00000000" w:rsidRPr="00000000" w14:paraId="00000016">
            <w:pPr>
              <w:spacing w:after="0" w:line="312"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개발배경</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17">
            <w:pPr>
              <w:widowControl w:val="1"/>
              <w:numPr>
                <w:ilvl w:val="0"/>
                <w:numId w:val="6"/>
              </w:numPr>
              <w:spacing w:after="0" w:line="276" w:lineRule="auto"/>
              <w:ind w:left="720" w:hanging="36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국가 지표 체계에서 제공하는 통계 정보에 의하면 도로 혼잡에 의한 비용은 매년 증가하는 추세로, 2015년 33조원을 돌파하였습니다. 새로운 도로의 건설 없이 기존 도로의 사용율을 높일 수 있다면 경제적 부가가치가 높을 것입니다.</w:t>
            </w:r>
          </w:p>
          <w:p w:rsidR="00000000" w:rsidDel="00000000" w:rsidP="00000000" w:rsidRDefault="00000000" w:rsidRPr="00000000" w14:paraId="00000018">
            <w:pPr>
              <w:widowControl w:val="1"/>
              <w:numPr>
                <w:ilvl w:val="0"/>
                <w:numId w:val="6"/>
              </w:numPr>
              <w:spacing w:after="0" w:line="276" w:lineRule="auto"/>
              <w:ind w:left="720" w:hanging="36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다양한 혼잡 제어 방식 중에 해외에 적용되어 그 실효성을 인정받은 가변도로의 효용성을 분석하는 시뮬레이션을 개발하였습니다. </w:t>
            </w:r>
          </w:p>
          <w:p w:rsidR="00000000" w:rsidDel="00000000" w:rsidP="00000000" w:rsidRDefault="00000000" w:rsidRPr="00000000" w14:paraId="00000019">
            <w:pPr>
              <w:widowControl w:val="1"/>
              <w:numPr>
                <w:ilvl w:val="0"/>
                <w:numId w:val="6"/>
              </w:numPr>
              <w:spacing w:after="0" w:line="276" w:lineRule="auto"/>
              <w:ind w:left="720" w:hanging="36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가변 도로란 도로의 중앙 분리대를 특정 시간대마다 다른 차선을 기준으로 운용 함으로써, 기존의 인프라를 유지한 채로 교통 혼잡을 제어할 수 있는 방식입니다. 예를 들면, 출근길에는 상행선을 5차선, 하행선을 3차선으로 하고 퇴근길에는 하행선을 5차선 상행선을 3차선으로 함으로써 편중된 차량 혼잡도를 감소시킬 수 있습니다. </w:t>
            </w:r>
          </w:p>
          <w:p w:rsidR="00000000" w:rsidDel="00000000" w:rsidP="00000000" w:rsidRDefault="00000000" w:rsidRPr="00000000" w14:paraId="0000001A">
            <w:pPr>
              <w:widowControl w:val="1"/>
              <w:numPr>
                <w:ilvl w:val="0"/>
                <w:numId w:val="6"/>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가변 도로 시뮬레이션은 도로의 유량과 평균 속도 데이터를 사용하여 가변 도로를 적용하였을때의 효과를 분석함으로써 지자체의 정책 결정과정에 객관적인 지표를 제공하고, 결과적으로 도로 혼잡도를 개선하는데에 기여할 수 있습니다. </w:t>
            </w:r>
            <w:r w:rsidDel="00000000" w:rsidR="00000000" w:rsidRPr="00000000">
              <w:rPr>
                <w:rtl w:val="0"/>
              </w:rPr>
            </w:r>
          </w:p>
        </w:tc>
      </w:tr>
      <w:tr>
        <w:trPr>
          <w:trHeight w:val="4200" w:hRule="atLeast"/>
        </w:trPr>
        <w:tc>
          <w:tcPr>
            <w:tcBorders>
              <w:top w:color="000000" w:space="0" w:sz="4" w:val="single"/>
              <w:left w:color="000000" w:space="0" w:sz="12" w:val="single"/>
              <w:bottom w:color="000000" w:space="0" w:sz="4" w:val="single"/>
              <w:right w:color="000000" w:space="0" w:sz="4" w:val="single"/>
            </w:tcBorders>
            <w:shd w:fill="e5e5e5" w:val="clear"/>
            <w:tcMar>
              <w:top w:w="28.0" w:type="dxa"/>
              <w:left w:w="102.0" w:type="dxa"/>
              <w:bottom w:w="28.0" w:type="dxa"/>
              <w:right w:w="102.0" w:type="dxa"/>
            </w:tcMar>
            <w:vAlign w:val="center"/>
          </w:tcPr>
          <w:p w:rsidR="00000000" w:rsidDel="00000000" w:rsidP="00000000" w:rsidRDefault="00000000" w:rsidRPr="00000000" w14:paraId="0000001E">
            <w:pPr>
              <w:spacing w:after="0" w:line="240"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개발내용</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1F">
            <w:pPr>
              <w:widowControl w:val="1"/>
              <w:numPr>
                <w:ilvl w:val="0"/>
                <w:numId w:val="5"/>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가변도로 설치로 인한 혼잡도 개선 시뮬레이션</w:t>
            </w:r>
          </w:p>
          <w:p w:rsidR="00000000" w:rsidDel="00000000" w:rsidP="00000000" w:rsidRDefault="00000000" w:rsidRPr="00000000" w14:paraId="00000020">
            <w:pPr>
              <w:widowControl w:val="1"/>
              <w:numPr>
                <w:ilvl w:val="0"/>
                <w:numId w:val="3"/>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가변도로를 설치했을 때 얻는 효용성, 사회적 이익을 계산하는 시뮬레이션 입니다.</w:t>
            </w:r>
          </w:p>
          <w:p w:rsidR="00000000" w:rsidDel="00000000" w:rsidP="00000000" w:rsidRDefault="00000000" w:rsidRPr="00000000" w14:paraId="00000021">
            <w:pPr>
              <w:widowControl w:val="1"/>
              <w:numPr>
                <w:ilvl w:val="0"/>
                <w:numId w:val="3"/>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 이를 측정하기 위해 객관 적인 지표로서 가변도로를 적용했을 경우와 적용하지 않았을 경우의 도로별 평균 차량 속도 비교치를 사용 하였습니다. </w:t>
            </w:r>
          </w:p>
          <w:p w:rsidR="00000000" w:rsidDel="00000000" w:rsidP="00000000" w:rsidRDefault="00000000" w:rsidRPr="00000000" w14:paraId="00000022">
            <w:pPr>
              <w:widowControl w:val="1"/>
              <w:numPr>
                <w:ilvl w:val="0"/>
                <w:numId w:val="3"/>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 이 때의 속도를 예측하기 위해 속도 - 밀집도 모델 중 밀집도가 낮을때는 Underwood모델, 밀집도가 높을때는 Greenburg모델을 사용함으로써 예측도를 높였습니다.</w:t>
            </w:r>
          </w:p>
          <w:p w:rsidR="00000000" w:rsidDel="00000000" w:rsidP="00000000" w:rsidRDefault="00000000" w:rsidRPr="00000000" w14:paraId="00000023">
            <w:pPr>
              <w:widowControl w:val="1"/>
              <w:spacing w:after="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widowControl w:val="1"/>
              <w:spacing w:after="0" w:line="276"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985963" cy="121894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5963" cy="1218948"/>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216491" cy="128492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16491" cy="128492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1"/>
              <w:numPr>
                <w:ilvl w:val="0"/>
                <w:numId w:val="1"/>
              </w:numPr>
              <w:spacing w:after="0" w:line="276" w:lineRule="auto"/>
              <w:ind w:left="288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Underwood 모델과 Greenburg 모델 -</w:t>
            </w:r>
          </w:p>
          <w:p w:rsidR="00000000" w:rsidDel="00000000" w:rsidP="00000000" w:rsidRDefault="00000000" w:rsidRPr="00000000" w14:paraId="00000026">
            <w:pPr>
              <w:widowControl w:val="1"/>
              <w:numPr>
                <w:ilvl w:val="0"/>
                <w:numId w:val="3"/>
              </w:numPr>
              <w:spacing w:after="0" w:line="276" w:lineRule="auto"/>
              <w:ind w:left="720" w:hanging="360"/>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가변 도로를 적용할 경우, 도로의 차량 밀집도가 감소하게 되고, 이로 인해 도로상의 차량 평균 속도가 증가합니다.</w:t>
            </w:r>
          </w:p>
          <w:p w:rsidR="00000000" w:rsidDel="00000000" w:rsidP="00000000" w:rsidRDefault="00000000" w:rsidRPr="00000000" w14:paraId="00000027">
            <w:pPr>
              <w:widowControl w:val="1"/>
              <w:numPr>
                <w:ilvl w:val="0"/>
                <w:numId w:val="3"/>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사용자가 입력한 데이터를 웹 부분으로 부터 받아들이고 계산 후, 다시 웹으로 송신하는 부분을 자바로 개발하였습니다.</w:t>
            </w:r>
          </w:p>
          <w:p w:rsidR="00000000" w:rsidDel="00000000" w:rsidP="00000000" w:rsidRDefault="00000000" w:rsidRPr="00000000" w14:paraId="00000028">
            <w:pPr>
              <w:widowControl w:val="1"/>
              <w:numPr>
                <w:ilvl w:val="0"/>
                <w:numId w:val="5"/>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예산 대비 최적 가변도로 추천 시스템 </w:t>
            </w:r>
          </w:p>
          <w:p w:rsidR="00000000" w:rsidDel="00000000" w:rsidP="00000000" w:rsidRDefault="00000000" w:rsidRPr="00000000" w14:paraId="00000029">
            <w:pPr>
              <w:widowControl w:val="1"/>
              <w:numPr>
                <w:ilvl w:val="0"/>
                <w:numId w:val="4"/>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이는 한정된 예산으로, 최고의 개선효과를 거둬 들일 수 있는 도로를 추천하는 시스템입니다. 예를 들면, 200Km의 가변도로를 설치할 예산이 있다고 할때, 모든 경우의 수를 비교하여 최고의 교통 혼잡 개선 효과를 줄 수 있는 가변도로를 추천합니다. </w:t>
            </w:r>
          </w:p>
          <w:p w:rsidR="00000000" w:rsidDel="00000000" w:rsidP="00000000" w:rsidRDefault="00000000" w:rsidRPr="00000000" w14:paraId="0000002A">
            <w:pPr>
              <w:widowControl w:val="1"/>
              <w:numPr>
                <w:ilvl w:val="0"/>
                <w:numId w:val="4"/>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많은 데이터를 효율적으로 탐색하기 위해 해쉬맵 구조와 체이닝, 이진 탐색등의 기법을 사용하였습니다. </w:t>
            </w:r>
          </w:p>
          <w:p w:rsidR="00000000" w:rsidDel="00000000" w:rsidP="00000000" w:rsidRDefault="00000000" w:rsidRPr="00000000" w14:paraId="0000002B">
            <w:pPr>
              <w:widowControl w:val="1"/>
              <w:numPr>
                <w:ilvl w:val="0"/>
                <w:numId w:val="4"/>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이를 통하여 지자체와 정책결정자의 결정에 도움을 줄 수 있습니다. </w:t>
            </w:r>
          </w:p>
        </w:tc>
      </w:tr>
      <w:tr>
        <w:trPr>
          <w:trHeight w:val="1920" w:hRule="atLeast"/>
        </w:trPr>
        <w:tc>
          <w:tcPr>
            <w:tcBorders>
              <w:top w:color="000000" w:space="0" w:sz="4" w:val="single"/>
              <w:left w:color="000000" w:space="0" w:sz="12" w:val="single"/>
              <w:bottom w:color="000000" w:space="0" w:sz="12" w:val="single"/>
              <w:right w:color="000000" w:space="0" w:sz="4" w:val="single"/>
            </w:tcBorders>
            <w:shd w:fill="e5e5e5" w:val="clear"/>
            <w:tcMar>
              <w:top w:w="28.0" w:type="dxa"/>
              <w:left w:w="102.0" w:type="dxa"/>
              <w:bottom w:w="28.0" w:type="dxa"/>
              <w:right w:w="102.0" w:type="dxa"/>
            </w:tcMar>
            <w:vAlign w:val="center"/>
          </w:tcPr>
          <w:p w:rsidR="00000000" w:rsidDel="00000000" w:rsidP="00000000" w:rsidRDefault="00000000" w:rsidRPr="00000000" w14:paraId="0000002F">
            <w:pPr>
              <w:spacing w:after="0" w:line="312"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결과물</w:t>
            </w:r>
            <w:r w:rsidDel="00000000" w:rsidR="00000000" w:rsidRPr="00000000">
              <w:rPr>
                <w:rtl w:val="0"/>
              </w:rPr>
            </w:r>
          </w:p>
          <w:p w:rsidR="00000000" w:rsidDel="00000000" w:rsidP="00000000" w:rsidRDefault="00000000" w:rsidRPr="00000000" w14:paraId="00000030">
            <w:pPr>
              <w:spacing w:after="0" w:line="312" w:lineRule="auto"/>
              <w:jc w:val="center"/>
              <w:rPr>
                <w:rFonts w:ascii="한양신명조" w:cs="한양신명조" w:eastAsia="한양신명조" w:hAnsi="한양신명조"/>
                <w:color w:val="000000"/>
                <w:sz w:val="22"/>
                <w:szCs w:val="22"/>
              </w:rPr>
            </w:pPr>
            <w:r w:rsidDel="00000000" w:rsidR="00000000" w:rsidRPr="00000000">
              <w:rPr>
                <w:rFonts w:ascii="함초롬바탕" w:cs="함초롬바탕" w:eastAsia="함초롬바탕" w:hAnsi="함초롬바탕"/>
                <w:b w:val="1"/>
                <w:color w:val="000000"/>
                <w:sz w:val="26"/>
                <w:szCs w:val="26"/>
                <w:rtl w:val="0"/>
              </w:rPr>
              <w:t xml:space="preserve">형태</w:t>
            </w:r>
            <w:r w:rsidDel="00000000" w:rsidR="00000000" w:rsidRPr="00000000">
              <w:rPr>
                <w:rtl w:val="0"/>
              </w:rPr>
            </w:r>
          </w:p>
        </w:tc>
        <w:tc>
          <w:tcPr>
            <w:gridSpan w:val="4"/>
            <w:tcBorders>
              <w:top w:color="000000" w:space="0" w:sz="4" w:val="single"/>
              <w:left w:color="000000" w:space="0" w:sz="4" w:val="single"/>
              <w:bottom w:color="000000" w:space="0" w:sz="12" w:val="single"/>
              <w:right w:color="000000" w:space="0" w:sz="12" w:val="single"/>
            </w:tcBorders>
            <w:tcMar>
              <w:top w:w="28.0" w:type="dxa"/>
              <w:left w:w="102.0" w:type="dxa"/>
              <w:bottom w:w="28.0" w:type="dxa"/>
              <w:right w:w="102.0" w:type="dxa"/>
            </w:tcMar>
            <w:vAlign w:val="center"/>
          </w:tcPr>
          <w:p w:rsidR="00000000" w:rsidDel="00000000" w:rsidP="00000000" w:rsidRDefault="00000000" w:rsidRPr="00000000" w14:paraId="00000031">
            <w:pPr>
              <w:widowControl w:val="1"/>
              <w:spacing w:after="0" w:line="276" w:lineRule="auto"/>
              <w:jc w:val="lef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결과물은 크게 코어단과 웹 단으로 나눌 수 있습니다. </w:t>
            </w:r>
          </w:p>
          <w:p w:rsidR="00000000" w:rsidDel="00000000" w:rsidP="00000000" w:rsidRDefault="00000000" w:rsidRPr="00000000" w14:paraId="00000032">
            <w:pPr>
              <w:widowControl w:val="1"/>
              <w:numPr>
                <w:ilvl w:val="0"/>
                <w:numId w:val="2"/>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코어단은 사용자가 입력한 시간당 평균 속도와 유량 데이터를 기반으로 가변도로 적용 결과를 계산하는 알고리즘으로, 가변도로를 설치 하였을 시의 양방향 도로의 속도와 혼잡도에 대해서 계산합니다. 계산된 정보와 사용자가 입력해준 데이터를 바탕으로 최적의 가변도로를 결정하여 이를 웹 단으로 송신합니다.</w:t>
            </w:r>
          </w:p>
          <w:p w:rsidR="00000000" w:rsidDel="00000000" w:rsidP="00000000" w:rsidRDefault="00000000" w:rsidRPr="00000000" w14:paraId="00000033">
            <w:pPr>
              <w:widowControl w:val="1"/>
              <w:numPr>
                <w:ilvl w:val="0"/>
                <w:numId w:val="2"/>
              </w:numPr>
              <w:spacing w:after="0" w:line="276" w:lineRule="auto"/>
              <w:ind w:left="720" w:hanging="360"/>
              <w:jc w:val="left"/>
              <w:rPr>
                <w:rFonts w:ascii="Arial" w:cs="Arial" w:eastAsia="Arial" w:hAnsi="Arial"/>
                <w:sz w:val="22"/>
                <w:szCs w:val="22"/>
                <w:u w:val="none"/>
              </w:rPr>
            </w:pPr>
            <w:r w:rsidDel="00000000" w:rsidR="00000000" w:rsidRPr="00000000">
              <w:rPr>
                <w:rFonts w:ascii="Arial Unicode MS" w:cs="Arial Unicode MS" w:eastAsia="Arial Unicode MS" w:hAnsi="Arial Unicode MS"/>
                <w:sz w:val="22"/>
                <w:szCs w:val="22"/>
                <w:rtl w:val="0"/>
              </w:rPr>
              <w:t xml:space="preserve">웹단은 사용자의 입력을 받고, 이를 코어단으로 전송합니다. 코어단에서 받는 결과값과 데이터들을 사용자가 직관적으로 이해하고, 판단 할 수 있도록 그래픽 시뮬레이션 형태로 출력합니다. </w:t>
            </w:r>
          </w:p>
          <w:p w:rsidR="00000000" w:rsidDel="00000000" w:rsidP="00000000" w:rsidRDefault="00000000" w:rsidRPr="00000000" w14:paraId="00000034">
            <w:pPr>
              <w:spacing w:after="0" w:line="384" w:lineRule="auto"/>
              <w:jc w:val="center"/>
              <w:rPr>
                <w:rFonts w:ascii="Arial" w:cs="Arial" w:eastAsia="Arial" w:hAnsi="Arial"/>
                <w:sz w:val="22"/>
                <w:szCs w:val="22"/>
              </w:rPr>
            </w:pPr>
            <w:bookmarkStart w:colFirst="0" w:colLast="0" w:name="_xey0jvb5cuuu" w:id="0"/>
            <w:bookmarkEnd w:id="0"/>
            <w:r w:rsidDel="00000000" w:rsidR="00000000" w:rsidRPr="00000000">
              <w:rPr>
                <w:rFonts w:ascii="한양신명조" w:cs="한양신명조" w:eastAsia="한양신명조" w:hAnsi="한양신명조"/>
                <w:sz w:val="24"/>
                <w:szCs w:val="24"/>
              </w:rPr>
              <w:drawing>
                <wp:inline distB="114300" distT="114300" distL="114300" distR="114300">
                  <wp:extent cx="4595813" cy="198011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95813" cy="198011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384" w:lineRule="auto"/>
              <w:jc w:val="center"/>
              <w:rPr>
                <w:rFonts w:ascii="한양신명조" w:cs="한양신명조" w:eastAsia="한양신명조" w:hAnsi="한양신명조"/>
                <w:sz w:val="24"/>
                <w:szCs w:val="24"/>
              </w:rPr>
            </w:pPr>
            <w:bookmarkStart w:colFirst="0" w:colLast="0" w:name="_xey0jvb5cuuu" w:id="0"/>
            <w:bookmarkEnd w:id="0"/>
            <w:r w:rsidDel="00000000" w:rsidR="00000000" w:rsidRPr="00000000">
              <w:rPr>
                <w:rFonts w:ascii="한양신명조" w:cs="한양신명조" w:eastAsia="한양신명조" w:hAnsi="한양신명조"/>
                <w:sz w:val="24"/>
                <w:szCs w:val="24"/>
              </w:rPr>
              <w:drawing>
                <wp:inline distB="114300" distT="114300" distL="114300" distR="114300">
                  <wp:extent cx="3038475" cy="216011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8475" cy="21601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8272"/>
          <w:tab w:val="left" w:pos="8320"/>
        </w:tabs>
        <w:spacing w:after="0" w:before="0" w:line="384" w:lineRule="auto"/>
        <w:ind w:left="0" w:right="0" w:firstLine="0"/>
        <w:jc w:val="both"/>
        <w:rPr>
          <w:rFonts w:ascii="한컴바탕" w:cs="한컴바탕" w:eastAsia="한컴바탕" w:hAnsi="한컴바탕"/>
          <w:b w:val="0"/>
          <w:i w:val="0"/>
          <w:smallCaps w:val="0"/>
          <w:strike w:val="0"/>
          <w:color w:val="000000"/>
          <w:sz w:val="20"/>
          <w:szCs w:val="20"/>
          <w:u w:val="none"/>
          <w:shd w:fill="auto" w:val="clear"/>
          <w:vertAlign w:val="baseline"/>
        </w:rPr>
      </w:pPr>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Arial Unicode MS"/>
  <w:font w:name="한컴바탕"/>
  <w:font w:name="한양신명조"/>
  <w:font w:name="휴먼명조"/>
  <w:font w:name="함초롬바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