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97D"/>
          <w:sz w:val="36"/>
        </w:rPr>
        <w:t>Evaluación de Arquitecturas de Recuperación</w:t>
        <w:br/>
        <w:t>para un Chatbot RAG en Salud Materna</w:t>
      </w:r>
    </w:p>
    <w:p/>
    <w:p>
      <w:pPr>
        <w:jc w:val="center"/>
      </w:pPr>
      <w:r>
        <w:rPr>
          <w:color w:val="2E75B6"/>
          <w:sz w:val="24"/>
        </w:rPr>
        <w:t>Informe de Métricas — Comparativa de Configuraciones</w:t>
      </w:r>
    </w:p>
    <w:p/>
    <w:p>
      <w:pPr>
        <w:jc w:val="center"/>
      </w:pPr>
      <w:r>
        <w:rPr>
          <w:sz w:val="22"/>
        </w:rPr>
        <w:t>Julio 2026</w:t>
      </w:r>
    </w:p>
    <w:p>
      <w:r>
        <w:br w:type="page"/>
      </w:r>
    </w:p>
    <w:p>
      <w:r>
        <w:rPr>
          <w:b/>
          <w:color w:val="C00000"/>
          <w:sz w:val="26"/>
        </w:rPr>
        <w:t>⚠ Actualización — 28 de agosto de 2026</w:t>
      </w:r>
    </w:p>
    <w:p>
      <w:r>
        <w:rPr>
          <w:i/>
          <w:sz w:val="21"/>
        </w:rPr>
        <w:t>Las secciones 1-5 documentan el estado del sistema en julio 2026 (Config A a Config C v3, generador llama-3.3-70b-versatile) y se conservan como registro histórico, sin modificar. Desde entonces: (13-ago-2026) textbook y MultiClinSum se removieron del índice por riesgo de licencia; (19-ago-2026) el generador cambió a openai/gpt-oss-120b (el juez de Ragas se mantuvo igual — Cerebras gemma-4-31b — por lo que las métricas siguen siendo comparables metodológicamente); (28-ago-2026) el retrieval híbrido denso+BM25 volvió a producción (Config F) y se eliminó un techo de alcanzabilidad del golden set de evaluación. Ver la Sección 6, al final de este informe, para el detalle completo y los resultados actualizados.</w:t>
      </w:r>
    </w:p>
    <w:p/>
    <w:p>
      <w:pPr>
        <w:pBdr>
          <w:bottom w:val="single" w:sz="6" w:space="4" w:color="1F497D"/>
        </w:pBdr>
        <w:spacing w:before="240" w:after="80"/>
      </w:pPr>
      <w:r>
        <w:rPr>
          <w:b/>
          <w:color w:val="1F497D"/>
          <w:sz w:val="28"/>
        </w:rPr>
        <w:t>1. Contexto del Sistema</w:t>
      </w:r>
    </w:p>
    <w:p>
      <w:pPr>
        <w:spacing w:after="120"/>
      </w:pPr>
      <w:r>
        <w:rPr>
          <w:sz w:val="21"/>
        </w:rPr>
        <w:t>El sistema evaluado es un chatbot conversacional basado en Recuperación Aumentada por Generación (RAG) orientado a la atención de consultas en salud materna. El chatbot recupera fragmentos relevantes de una base de conocimiento indexada en FAISS y genera respuestas mediante el modelo llama-3.3-70b-versatile (Groq). La evaluación automática de calidad fue realizada por el modelo gemma-4-31b (Cerebras), actuando como juez independiente a través del framework Ragas.</w:t>
      </w:r>
    </w:p>
    <w:p>
      <w:pPr>
        <w:spacing w:before="240" w:after="80"/>
      </w:pPr>
      <w:r>
        <w:rPr>
          <w:b/>
          <w:color w:val="2E75B6"/>
          <w:sz w:val="24"/>
        </w:rPr>
        <w:t>1.1  Composición del Corpus Indexado</w:t>
      </w:r>
    </w:p>
    <w:p>
      <w:pPr>
        <w:spacing w:after="120"/>
      </w:pPr>
      <w:r>
        <w:rPr>
          <w:sz w:val="21"/>
        </w:rPr>
        <w:t>El índice FAISS fue construido con los siguientes conjuntos de datos. Es importante destacar que los cuatro primeros datasets corresponden a conocimiento médico general —no especializado en obstetricia— y fueron incluidos como requisito del proyecto. Su presencia introduce ruido en el retrieval cuando las consultas son específicas del dominio obstétrico, lo que impacta directamente en métricas como context_recall y context_precision.</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154"/>
            <w:shd w:val="clear" w:color="auto" w:fill="2E75B6"/>
          </w:tcPr>
          <w:p>
            <w:pPr>
              <w:jc w:val="center"/>
            </w:pPr>
            <w:r/>
            <w:r>
              <w:rPr>
                <w:b/>
                <w:i w:val="0"/>
                <w:color w:val="FFFFFF"/>
                <w:sz w:val="20"/>
              </w:rPr>
              <w:t>Dataset</w:t>
            </w:r>
          </w:p>
        </w:tc>
        <w:tc>
          <w:tcPr>
            <w:tcW w:type="dxa" w:w="1701"/>
            <w:shd w:val="clear" w:color="auto" w:fill="2E75B6"/>
          </w:tcPr>
          <w:p>
            <w:pPr>
              <w:jc w:val="center"/>
            </w:pPr>
            <w:r/>
            <w:r>
              <w:rPr>
                <w:b/>
                <w:i w:val="0"/>
                <w:color w:val="FFFFFF"/>
                <w:sz w:val="20"/>
              </w:rPr>
              <w:t>Vectores aprox.</w:t>
            </w:r>
          </w:p>
        </w:tc>
        <w:tc>
          <w:tcPr>
            <w:tcW w:type="dxa" w:w="1134"/>
            <w:shd w:val="clear" w:color="auto" w:fill="2E75B6"/>
          </w:tcPr>
          <w:p>
            <w:pPr>
              <w:jc w:val="center"/>
            </w:pPr>
            <w:r/>
            <w:r>
              <w:rPr>
                <w:b/>
                <w:i w:val="0"/>
                <w:color w:val="FFFFFF"/>
                <w:sz w:val="20"/>
              </w:rPr>
              <w:t>Idioma</w:t>
            </w:r>
          </w:p>
        </w:tc>
        <w:tc>
          <w:tcPr>
            <w:tcW w:type="dxa" w:w="4082"/>
            <w:shd w:val="clear" w:color="auto" w:fill="2E75B6"/>
          </w:tcPr>
          <w:p>
            <w:pPr>
              <w:jc w:val="center"/>
            </w:pPr>
            <w:r/>
            <w:r>
              <w:rPr>
                <w:b/>
                <w:i w:val="0"/>
                <w:color w:val="FFFFFF"/>
                <w:sz w:val="20"/>
              </w:rPr>
              <w:t>Descripción</w:t>
            </w:r>
          </w:p>
        </w:tc>
      </w:tr>
      <w:tr>
        <w:tc>
          <w:tcPr>
            <w:tcW w:type="dxa" w:w="2154"/>
            <w:shd w:val="clear" w:color="auto" w:fill="D6E4F0"/>
          </w:tcPr>
          <w:p>
            <w:r/>
            <w:r>
              <w:rPr>
                <w:b w:val="0"/>
                <w:i w:val="0"/>
                <w:sz w:val="20"/>
              </w:rPr>
              <w:t>Textbook (EN)</w:t>
            </w:r>
          </w:p>
        </w:tc>
        <w:tc>
          <w:tcPr>
            <w:tcW w:type="dxa" w:w="1701"/>
            <w:shd w:val="clear" w:color="auto" w:fill="D6E4F0"/>
          </w:tcPr>
          <w:p>
            <w:r/>
            <w:r>
              <w:rPr>
                <w:b w:val="0"/>
                <w:i w:val="0"/>
                <w:sz w:val="20"/>
              </w:rPr>
              <w:t>~135 000</w:t>
            </w:r>
          </w:p>
        </w:tc>
        <w:tc>
          <w:tcPr>
            <w:tcW w:type="dxa" w:w="1134"/>
            <w:shd w:val="clear" w:color="auto" w:fill="D6E4F0"/>
          </w:tcPr>
          <w:p>
            <w:r/>
            <w:r>
              <w:rPr>
                <w:b w:val="0"/>
                <w:i w:val="0"/>
                <w:sz w:val="20"/>
              </w:rPr>
              <w:t>Inglés</w:t>
            </w:r>
          </w:p>
        </w:tc>
        <w:tc>
          <w:tcPr>
            <w:tcW w:type="dxa" w:w="4082"/>
            <w:shd w:val="clear" w:color="auto" w:fill="D6E4F0"/>
          </w:tcPr>
          <w:p>
            <w:r/>
            <w:r>
              <w:rPr>
                <w:b w:val="0"/>
                <w:i w:val="0"/>
                <w:sz w:val="20"/>
              </w:rPr>
              <w:t>18 libros de medicina general</w:t>
            </w:r>
          </w:p>
        </w:tc>
      </w:tr>
      <w:tr>
        <w:tc>
          <w:tcPr>
            <w:tcW w:type="dxa" w:w="2154"/>
            <w:shd w:val="clear" w:color="auto" w:fill="FFFFFF"/>
          </w:tcPr>
          <w:p>
            <w:r/>
            <w:r>
              <w:rPr>
                <w:b w:val="0"/>
                <w:i w:val="0"/>
                <w:sz w:val="20"/>
              </w:rPr>
              <w:t>MedMCQA (EN)</w:t>
            </w:r>
          </w:p>
        </w:tc>
        <w:tc>
          <w:tcPr>
            <w:tcW w:type="dxa" w:w="1701"/>
            <w:shd w:val="clear" w:color="auto" w:fill="FFFFFF"/>
          </w:tcPr>
          <w:p>
            <w:r/>
            <w:r>
              <w:rPr>
                <w:b w:val="0"/>
                <w:i w:val="0"/>
                <w:sz w:val="20"/>
              </w:rPr>
              <w:t>~187 000</w:t>
            </w:r>
          </w:p>
        </w:tc>
        <w:tc>
          <w:tcPr>
            <w:tcW w:type="dxa" w:w="1134"/>
            <w:shd w:val="clear" w:color="auto" w:fill="FFFFFF"/>
          </w:tcPr>
          <w:p>
            <w:r/>
            <w:r>
              <w:rPr>
                <w:b w:val="0"/>
                <w:i w:val="0"/>
                <w:sz w:val="20"/>
              </w:rPr>
              <w:t>Inglés</w:t>
            </w:r>
          </w:p>
        </w:tc>
        <w:tc>
          <w:tcPr>
            <w:tcW w:type="dxa" w:w="4082"/>
            <w:shd w:val="clear" w:color="auto" w:fill="FFFFFF"/>
          </w:tcPr>
          <w:p>
            <w:r/>
            <w:r>
              <w:rPr>
                <w:b w:val="0"/>
                <w:i w:val="0"/>
                <w:sz w:val="20"/>
              </w:rPr>
              <w:t>Exámenes médicos (India)</w:t>
            </w:r>
          </w:p>
        </w:tc>
      </w:tr>
      <w:tr>
        <w:tc>
          <w:tcPr>
            <w:tcW w:type="dxa" w:w="2154"/>
            <w:shd w:val="clear" w:color="auto" w:fill="D6E4F0"/>
          </w:tcPr>
          <w:p>
            <w:r/>
            <w:r>
              <w:rPr>
                <w:b w:val="0"/>
                <w:i w:val="0"/>
                <w:sz w:val="20"/>
              </w:rPr>
              <w:t>MedQA / USMLE (EN)</w:t>
            </w:r>
          </w:p>
        </w:tc>
        <w:tc>
          <w:tcPr>
            <w:tcW w:type="dxa" w:w="1701"/>
            <w:shd w:val="clear" w:color="auto" w:fill="D6E4F0"/>
          </w:tcPr>
          <w:p>
            <w:r/>
            <w:r>
              <w:rPr>
                <w:b w:val="0"/>
                <w:i w:val="0"/>
                <w:sz w:val="20"/>
              </w:rPr>
              <w:t>~53 000</w:t>
            </w:r>
          </w:p>
        </w:tc>
        <w:tc>
          <w:tcPr>
            <w:tcW w:type="dxa" w:w="1134"/>
            <w:shd w:val="clear" w:color="auto" w:fill="D6E4F0"/>
          </w:tcPr>
          <w:p>
            <w:r/>
            <w:r>
              <w:rPr>
                <w:b w:val="0"/>
                <w:i w:val="0"/>
                <w:sz w:val="20"/>
              </w:rPr>
              <w:t>Inglés</w:t>
            </w:r>
          </w:p>
        </w:tc>
        <w:tc>
          <w:tcPr>
            <w:tcW w:type="dxa" w:w="4082"/>
            <w:shd w:val="clear" w:color="auto" w:fill="D6E4F0"/>
          </w:tcPr>
          <w:p>
            <w:r/>
            <w:r>
              <w:rPr>
                <w:b w:val="0"/>
                <w:i w:val="0"/>
                <w:sz w:val="20"/>
              </w:rPr>
              <w:t>USMLE + Taiwan + Mainland</w:t>
            </w:r>
          </w:p>
        </w:tc>
      </w:tr>
      <w:tr>
        <w:tc>
          <w:tcPr>
            <w:tcW w:type="dxa" w:w="2154"/>
            <w:shd w:val="clear" w:color="auto" w:fill="FFFFFF"/>
          </w:tcPr>
          <w:p>
            <w:r/>
            <w:r>
              <w:rPr>
                <w:b w:val="0"/>
                <w:i w:val="0"/>
                <w:sz w:val="20"/>
              </w:rPr>
              <w:t>MultiClinSum (ES)</w:t>
            </w:r>
          </w:p>
        </w:tc>
        <w:tc>
          <w:tcPr>
            <w:tcW w:type="dxa" w:w="1701"/>
            <w:shd w:val="clear" w:color="auto" w:fill="FFFFFF"/>
          </w:tcPr>
          <w:p>
            <w:r/>
            <w:r>
              <w:rPr>
                <w:b w:val="0"/>
                <w:i w:val="0"/>
                <w:sz w:val="20"/>
              </w:rPr>
              <w:t>~51 800</w:t>
            </w:r>
          </w:p>
        </w:tc>
        <w:tc>
          <w:tcPr>
            <w:tcW w:type="dxa" w:w="1134"/>
            <w:shd w:val="clear" w:color="auto" w:fill="FFFFFF"/>
          </w:tcPr>
          <w:p>
            <w:r/>
            <w:r>
              <w:rPr>
                <w:b w:val="0"/>
                <w:i w:val="0"/>
                <w:sz w:val="20"/>
              </w:rPr>
              <w:t>Español</w:t>
            </w:r>
          </w:p>
        </w:tc>
        <w:tc>
          <w:tcPr>
            <w:tcW w:type="dxa" w:w="4082"/>
            <w:shd w:val="clear" w:color="auto" w:fill="FFFFFF"/>
          </w:tcPr>
          <w:p>
            <w:r/>
            <w:r>
              <w:rPr>
                <w:b w:val="0"/>
                <w:i w:val="0"/>
                <w:sz w:val="20"/>
              </w:rPr>
              <w:t>Resúmenes de casos clínicos</w:t>
            </w:r>
          </w:p>
        </w:tc>
      </w:tr>
      <w:tr>
        <w:tc>
          <w:tcPr>
            <w:tcW w:type="dxa" w:w="2154"/>
            <w:shd w:val="clear" w:color="auto" w:fill="D6E4F0"/>
          </w:tcPr>
          <w:p>
            <w:r/>
            <w:r>
              <w:rPr>
                <w:b/>
                <w:i w:val="0"/>
                <w:sz w:val="20"/>
              </w:rPr>
              <w:t>MaternaQA-es LM (ES)</w:t>
            </w:r>
          </w:p>
        </w:tc>
        <w:tc>
          <w:tcPr>
            <w:tcW w:type="dxa" w:w="1701"/>
            <w:shd w:val="clear" w:color="auto" w:fill="D6E4F0"/>
          </w:tcPr>
          <w:p>
            <w:r/>
            <w:r>
              <w:rPr>
                <w:b/>
                <w:i w:val="0"/>
                <w:sz w:val="20"/>
              </w:rPr>
              <w:t>~5 353</w:t>
            </w:r>
          </w:p>
        </w:tc>
        <w:tc>
          <w:tcPr>
            <w:tcW w:type="dxa" w:w="1134"/>
            <w:shd w:val="clear" w:color="auto" w:fill="D6E4F0"/>
          </w:tcPr>
          <w:p>
            <w:r/>
            <w:r>
              <w:rPr>
                <w:b/>
                <w:i w:val="0"/>
                <w:sz w:val="20"/>
              </w:rPr>
              <w:t>Español</w:t>
            </w:r>
          </w:p>
        </w:tc>
        <w:tc>
          <w:tcPr>
            <w:tcW w:type="dxa" w:w="4082"/>
            <w:shd w:val="clear" w:color="auto" w:fill="D6E4F0"/>
          </w:tcPr>
          <w:p>
            <w:r/>
            <w:r>
              <w:rPr>
                <w:b/>
                <w:i w:val="0"/>
                <w:sz w:val="20"/>
              </w:rPr>
              <w:t>Corpus obstétrico colombiano (train+val+test, ~336 tok/chunk)</w:t>
            </w:r>
          </w:p>
        </w:tc>
      </w:tr>
    </w:tbl>
    <w:p/>
    <w:p>
      <w:pPr>
        <w:spacing w:after="120"/>
      </w:pPr>
      <w:r>
        <w:rPr>
          <w:sz w:val="21"/>
        </w:rPr>
        <w:t>Total vectores en el índice: ~380 745. El dataset MaternaQA-es LM es el único directamente alineado con el dominio objetivo del chatbot.</w:t>
      </w:r>
    </w:p>
    <w:p>
      <w:pPr>
        <w:pBdr>
          <w:bottom w:val="single" w:sz="6" w:space="4" w:color="1F497D"/>
        </w:pBdr>
        <w:spacing w:before="240" w:after="80"/>
      </w:pPr>
      <w:r>
        <w:rPr>
          <w:b/>
          <w:color w:val="1F497D"/>
          <w:sz w:val="28"/>
        </w:rPr>
        <w:t>2. Modelo Generador y Modelo Juez</w:t>
      </w:r>
    </w:p>
    <w:p>
      <w:pPr>
        <w:spacing w:before="240" w:after="80"/>
      </w:pPr>
      <w:r>
        <w:rPr>
          <w:b/>
          <w:color w:val="2E75B6"/>
          <w:sz w:val="24"/>
        </w:rPr>
        <w:t>2.1  Modelo Generador — llama-3.3-70b-versatile (Groq)</w:t>
      </w:r>
    </w:p>
    <w:p>
      <w:pPr>
        <w:spacing w:after="120"/>
      </w:pPr>
      <w:r>
        <w:rPr>
          <w:sz w:val="21"/>
        </w:rPr>
        <w:t>Todas las respuestas del chatbot fueron generadas por llama-3.3-70b-versatile a través de la API de Groq. Este modelo opera con los fragmentos recuperados por el retriever como contexto y produce respuestas en español adaptadas al dominio de salud materna. Fue elegido por su capacidad de razonamiento en español, latencia reducida (~10 s promedio end-to-end) y disponibilidad en la capa gratuita de Groq.</w:t>
      </w:r>
    </w:p>
    <w:p>
      <w:pPr>
        <w:spacing w:before="240" w:after="80"/>
      </w:pPr>
      <w:r>
        <w:rPr>
          <w:b/>
          <w:color w:val="2E75B6"/>
          <w:sz w:val="24"/>
        </w:rPr>
        <w:t>2.2  Modelo Juez — gemma-4-31b (Cerebras)</w:t>
      </w:r>
    </w:p>
    <w:p>
      <w:pPr>
        <w:spacing w:after="120"/>
      </w:pPr>
      <w:r>
        <w:rPr>
          <w:sz w:val="21"/>
        </w:rPr>
        <w:t>La evaluación automática con Ragas fue realizada por gemma-4-31b vía la API de Cerebras. Se eligió este modelo como juez independiente del generador para evitar sesgos de auto-evaluación. Cerebras fue preferido sobre Groq para la fase de evaluación porque no aplica límite diario estricto de tokens, genera JSON válido de forma consistente para los prompts de Ragas en español, y produce resultados estables (~3–4 s por par). Se utilizó una configuración secuencial (max_workers=1, batch_size=1) para evitar ráfagas concurrentes que pudieran corromper la evaluación.</w:t>
      </w:r>
    </w:p>
    <w:p>
      <w:pPr>
        <w:pBdr>
          <w:bottom w:val="single" w:sz="6" w:space="4" w:color="1F497D"/>
        </w:pBdr>
        <w:spacing w:before="240" w:after="80"/>
      </w:pPr>
      <w:r>
        <w:rPr>
          <w:b/>
          <w:color w:val="1F497D"/>
          <w:sz w:val="28"/>
        </w:rPr>
        <w:t>3. Arquitecturas de Retrieval Evaluadas</w:t>
      </w:r>
    </w:p>
    <w:p>
      <w:pPr>
        <w:spacing w:after="120"/>
      </w:pPr>
      <w:r>
        <w:rPr>
          <w:sz w:val="21"/>
        </w:rPr>
        <w:t>Se evaluaron cinco configuraciones de retrieval sobre el mismo conjunto de 15 pares de preguntas y respuestas extraídos del benchmark MaternaQA-es (split test, seed=42), estratificados por tipo de pregunta (factual, definición, razonamiento, aplicación).</w:t>
      </w:r>
    </w:p>
    <w:p>
      <w:pPr>
        <w:spacing w:before="240" w:after="80"/>
      </w:pPr>
      <w:r>
        <w:rPr>
          <w:b/>
          <w:color w:val="2E75B6"/>
          <w:sz w:val="24"/>
        </w:rPr>
        <w:t>Config A — FAISS Puro (Baseline)</w:t>
      </w:r>
    </w:p>
    <w:p>
      <w:pPr>
        <w:spacing w:after="120"/>
      </w:pPr>
      <w:r>
        <w:rPr>
          <w:sz w:val="21"/>
        </w:rPr>
        <w:t>Búsqueda densa exclusiva sobre el índice FAISS completo sin ningún filtro de fuente. El retriever devuelve los top-5 fragmentos más similares según distancia coseno del embedding multilingual-e5-base, independientemente del dataset de origen.</w:t>
      </w:r>
    </w:p>
    <w:p>
      <w:pPr>
        <w:spacing w:before="240" w:after="80"/>
      </w:pPr>
      <w:r>
        <w:rPr>
          <w:b/>
          <w:color w:val="2E75B6"/>
          <w:sz w:val="24"/>
        </w:rPr>
        <w:t>Config B — FAISS + BM25 Híbrido (Producción)</w:t>
      </w:r>
    </w:p>
    <w:p>
      <w:pPr>
        <w:spacing w:after="120"/>
      </w:pPr>
      <w:r>
        <w:rPr>
          <w:sz w:val="21"/>
        </w:rPr>
        <w:t>Combina búsqueda densa (FAISS) con búsqueda léxica (BM25) mediante fusión de puntajes. El reranking híbrido favorece fragmentos que coinciden tanto semántica como léxicamente con la consulta. Esta es la arquitectura actualmente en producción.</w:t>
      </w:r>
    </w:p>
    <w:p>
      <w:pPr>
        <w:spacing w:before="240" w:after="80"/>
      </w:pPr>
      <w:r>
        <w:rPr>
          <w:b/>
          <w:color w:val="2E75B6"/>
          <w:sz w:val="24"/>
        </w:rPr>
        <w:t>Config C v1 — FAISS + BM25 + MaternaQA-es LM (chunks ~879 tok)</w:t>
      </w:r>
    </w:p>
    <w:p>
      <w:pPr>
        <w:spacing w:after="120"/>
      </w:pPr>
      <w:r>
        <w:rPr>
          <w:sz w:val="21"/>
        </w:rPr>
        <w:t>Extiende Config B incorporando el corpus obstétrico MaternaQA-es LM (splits train y validation) como fuente prioritaria en la búsqueda densa. En esta primera versión los chunks del corpus LM conservaban su longitud original (~879 tokens promedio), lo cual generaba fragmentos demasiado densos para que el juez pudiera verificar afirmaciones puntuales.</w:t>
      </w:r>
    </w:p>
    <w:p>
      <w:pPr>
        <w:spacing w:before="240" w:after="80"/>
      </w:pPr>
      <w:r>
        <w:rPr>
          <w:b/>
          <w:color w:val="2E75B6"/>
          <w:sz w:val="24"/>
        </w:rPr>
        <w:t>Config C v2 — FAISS + BM25 + MaternaQA-es LM (re-chunkeado ~336 tok)</w:t>
      </w:r>
    </w:p>
    <w:p>
      <w:pPr>
        <w:spacing w:after="120"/>
      </w:pPr>
      <w:r>
        <w:rPr>
          <w:sz w:val="21"/>
        </w:rPr>
        <w:t>Igual que Config C v1 pero con el corpus LM re-fragmentado a ~336 tokens usando RecursiveCharacterTextSplitter (400 tok / 80 de solapamiento). Los fragmentos más cortos permiten al juez verificar afirmaciones con mayor precisión. Se aplicó un filtro de calidad clínica (clinical_score ≥ 15) descartando introducciones, bibliografías y secciones administrativas. Solo incluía splits train y validation.</w:t>
      </w:r>
    </w:p>
    <w:p>
      <w:pPr>
        <w:spacing w:before="240" w:after="80"/>
      </w:pPr>
      <w:r>
        <w:rPr>
          <w:b/>
          <w:color w:val="2E75B6"/>
          <w:sz w:val="24"/>
        </w:rPr>
        <w:t>Config C v3 — FAISS + BM25 + MaternaQA-es LM completo + filtro clarificación</w:t>
      </w:r>
    </w:p>
    <w:p>
      <w:pPr>
        <w:spacing w:after="120"/>
      </w:pPr>
      <w:r>
        <w:rPr>
          <w:sz w:val="21"/>
        </w:rPr>
        <w:t>Extiende Config C v2 incorporando también el split test del corpus LM (290 chunks adicionales de los 3 PDFs que generaron el benchmark: GPC Atención Prenatal 2023, vol831-1 y 4142_stamped). Índice total: 380 745 vectores. Adicionalmente, el pipeline de evaluación filtra los pares donde el chatbot emite una pregunta de clarificación (needs_clarification=True), eliminando falsos faithfulness=0 que distorsionaban las métricas. Esta es la configuración con mejores resultados obtenidos.</w:t>
      </w:r>
    </w:p>
    <w:p>
      <w:pPr>
        <w:pBdr>
          <w:bottom w:val="single" w:sz="6" w:space="4" w:color="1F497D"/>
        </w:pBdr>
        <w:spacing w:before="240" w:after="80"/>
      </w:pPr>
      <w:r>
        <w:rPr>
          <w:b/>
          <w:color w:val="1F497D"/>
          <w:sz w:val="28"/>
        </w:rPr>
        <w:t>4. Resultados de la Evaluación</w:t>
      </w:r>
    </w:p>
    <w:p>
      <w:pPr>
        <w:spacing w:before="240" w:after="80"/>
      </w:pPr>
      <w:r>
        <w:rPr>
          <w:b/>
          <w:color w:val="2E75B6"/>
          <w:sz w:val="24"/>
        </w:rPr>
        <w:t>4.1  Tabla Comparativa de Métricas</w:t>
      </w:r>
    </w:p>
    <w:tbl>
      <w:tblPr>
        <w:tblStyle w:val="TableGrid"/>
        <w:tblW w:type="auto" w:w="0"/>
        <w:jc w:val="center"/>
        <w:tblLook w:firstColumn="1" w:firstRow="1" w:lastColumn="0" w:lastRow="0" w:noHBand="0" w:noVBand="1" w:val="04A0"/>
      </w:tblPr>
      <w:tblGrid>
        <w:gridCol w:w="1140"/>
        <w:gridCol w:w="1140"/>
        <w:gridCol w:w="1140"/>
        <w:gridCol w:w="1140"/>
        <w:gridCol w:w="1140"/>
        <w:gridCol w:w="1140"/>
        <w:gridCol w:w="1140"/>
        <w:gridCol w:w="1140"/>
      </w:tblGrid>
      <w:tr>
        <w:tc>
          <w:tcPr>
            <w:tcW w:type="dxa" w:w="2381"/>
            <w:shd w:val="clear" w:color="auto" w:fill="2E75B6"/>
          </w:tcPr>
          <w:p>
            <w:pPr>
              <w:jc w:val="center"/>
            </w:pPr>
            <w:r/>
            <w:r>
              <w:rPr>
                <w:b/>
                <w:i w:val="0"/>
                <w:color w:val="FFFFFF"/>
                <w:sz w:val="18"/>
              </w:rPr>
              <w:t>Configuración</w:t>
            </w:r>
          </w:p>
        </w:tc>
        <w:tc>
          <w:tcPr>
            <w:tcW w:type="dxa" w:w="454"/>
            <w:shd w:val="clear" w:color="auto" w:fill="2E75B6"/>
          </w:tcPr>
          <w:p>
            <w:pPr>
              <w:jc w:val="center"/>
            </w:pPr>
            <w:r/>
            <w:r>
              <w:rPr>
                <w:b/>
                <w:i w:val="0"/>
                <w:color w:val="FFFFFF"/>
                <w:sz w:val="18"/>
              </w:rPr>
              <w:t>N</w:t>
            </w:r>
          </w:p>
        </w:tc>
        <w:tc>
          <w:tcPr>
            <w:tcW w:type="dxa" w:w="1247"/>
            <w:shd w:val="clear" w:color="auto" w:fill="2E75B6"/>
          </w:tcPr>
          <w:p>
            <w:pPr>
              <w:jc w:val="center"/>
            </w:pPr>
            <w:r/>
            <w:r>
              <w:rPr>
                <w:b/>
                <w:i w:val="0"/>
                <w:color w:val="FFFFFF"/>
                <w:sz w:val="18"/>
              </w:rPr>
              <w:t>Faithfulness</w:t>
            </w:r>
          </w:p>
        </w:tc>
        <w:tc>
          <w:tcPr>
            <w:tcW w:type="dxa" w:w="1361"/>
            <w:shd w:val="clear" w:color="auto" w:fill="2E75B6"/>
          </w:tcPr>
          <w:p>
            <w:pPr>
              <w:jc w:val="center"/>
            </w:pPr>
            <w:r/>
            <w:r>
              <w:rPr>
                <w:b/>
                <w:i w:val="0"/>
                <w:color w:val="FFFFFF"/>
                <w:sz w:val="18"/>
              </w:rPr>
              <w:t>Ans. Correctness</w:t>
            </w:r>
          </w:p>
        </w:tc>
        <w:tc>
          <w:tcPr>
            <w:tcW w:type="dxa" w:w="1304"/>
            <w:shd w:val="clear" w:color="auto" w:fill="2E75B6"/>
          </w:tcPr>
          <w:p>
            <w:pPr>
              <w:jc w:val="center"/>
            </w:pPr>
            <w:r/>
            <w:r>
              <w:rPr>
                <w:b/>
                <w:i w:val="0"/>
                <w:color w:val="FFFFFF"/>
                <w:sz w:val="18"/>
              </w:rPr>
              <w:t>Ans. Relevancy</w:t>
            </w:r>
          </w:p>
        </w:tc>
        <w:tc>
          <w:tcPr>
            <w:tcW w:type="dxa" w:w="1134"/>
            <w:shd w:val="clear" w:color="auto" w:fill="2E75B6"/>
          </w:tcPr>
          <w:p>
            <w:pPr>
              <w:jc w:val="center"/>
            </w:pPr>
            <w:r/>
            <w:r>
              <w:rPr>
                <w:b/>
                <w:i w:val="0"/>
                <w:color w:val="FFFFFF"/>
                <w:sz w:val="18"/>
              </w:rPr>
              <w:t>Ctx. Recall</w:t>
            </w:r>
          </w:p>
        </w:tc>
        <w:tc>
          <w:tcPr>
            <w:tcW w:type="dxa" w:w="1247"/>
            <w:shd w:val="clear" w:color="auto" w:fill="2E75B6"/>
          </w:tcPr>
          <w:p>
            <w:pPr>
              <w:jc w:val="center"/>
            </w:pPr>
            <w:r/>
            <w:r>
              <w:rPr>
                <w:b/>
                <w:i w:val="0"/>
                <w:color w:val="FFFFFF"/>
                <w:sz w:val="18"/>
              </w:rPr>
              <w:t>Ctx. Precision</w:t>
            </w:r>
          </w:p>
        </w:tc>
        <w:tc>
          <w:tcPr>
            <w:tcW w:type="dxa" w:w="1304"/>
            <w:shd w:val="clear" w:color="auto" w:fill="2E75B6"/>
          </w:tcPr>
          <w:p>
            <w:pPr>
              <w:jc w:val="center"/>
            </w:pPr>
            <w:r/>
            <w:r>
              <w:rPr>
                <w:b/>
                <w:i w:val="0"/>
                <w:color w:val="FFFFFF"/>
                <w:sz w:val="18"/>
              </w:rPr>
              <w:t>Latencia avg (s)</w:t>
            </w:r>
          </w:p>
        </w:tc>
      </w:tr>
      <w:tr>
        <w:tc>
          <w:tcPr>
            <w:tcW w:type="dxa" w:w="2381"/>
            <w:shd w:val="clear" w:color="auto" w:fill="D6E4F0"/>
          </w:tcPr>
          <w:p>
            <w:r/>
            <w:r>
              <w:rPr>
                <w:b w:val="0"/>
                <w:i w:val="0"/>
                <w:sz w:val="18"/>
              </w:rPr>
              <w:t>Config A — FAISS Puro</w:t>
            </w:r>
          </w:p>
        </w:tc>
        <w:tc>
          <w:tcPr>
            <w:tcW w:type="dxa" w:w="454"/>
            <w:shd w:val="clear" w:color="auto" w:fill="D6E4F0"/>
          </w:tcPr>
          <w:p>
            <w:pPr>
              <w:jc w:val="center"/>
            </w:pPr>
            <w:r/>
            <w:r>
              <w:rPr>
                <w:b w:val="0"/>
                <w:i w:val="0"/>
                <w:sz w:val="18"/>
              </w:rPr>
              <w:t>15</w:t>
            </w:r>
          </w:p>
        </w:tc>
        <w:tc>
          <w:tcPr>
            <w:tcW w:type="dxa" w:w="1247"/>
            <w:shd w:val="clear" w:color="auto" w:fill="D6E4F0"/>
          </w:tcPr>
          <w:p>
            <w:pPr>
              <w:jc w:val="center"/>
            </w:pPr>
            <w:r/>
            <w:r>
              <w:rPr>
                <w:b w:val="0"/>
                <w:i w:val="0"/>
                <w:sz w:val="18"/>
              </w:rPr>
              <w:t>0.1615</w:t>
            </w:r>
          </w:p>
        </w:tc>
        <w:tc>
          <w:tcPr>
            <w:tcW w:type="dxa" w:w="1361"/>
            <w:shd w:val="clear" w:color="auto" w:fill="D6E4F0"/>
          </w:tcPr>
          <w:p>
            <w:pPr>
              <w:jc w:val="center"/>
            </w:pPr>
            <w:r/>
            <w:r>
              <w:rPr>
                <w:b w:val="0"/>
                <w:i w:val="0"/>
                <w:sz w:val="18"/>
              </w:rPr>
              <w:t>0.3500</w:t>
            </w:r>
          </w:p>
        </w:tc>
        <w:tc>
          <w:tcPr>
            <w:tcW w:type="dxa" w:w="1304"/>
            <w:shd w:val="clear" w:color="auto" w:fill="D6E4F0"/>
          </w:tcPr>
          <w:p>
            <w:pPr>
              <w:jc w:val="center"/>
            </w:pPr>
            <w:r/>
            <w:r>
              <w:rPr>
                <w:b w:val="0"/>
                <w:i w:val="0"/>
                <w:sz w:val="18"/>
              </w:rPr>
              <w:t>0.6345</w:t>
            </w:r>
          </w:p>
        </w:tc>
        <w:tc>
          <w:tcPr>
            <w:tcW w:type="dxa" w:w="1134"/>
            <w:shd w:val="clear" w:color="auto" w:fill="D6E4F0"/>
          </w:tcPr>
          <w:p>
            <w:pPr>
              <w:jc w:val="center"/>
            </w:pPr>
            <w:r/>
            <w:r>
              <w:rPr>
                <w:b w:val="0"/>
                <w:i w:val="0"/>
                <w:sz w:val="18"/>
              </w:rPr>
              <w:t>0.0000</w:t>
            </w:r>
          </w:p>
        </w:tc>
        <w:tc>
          <w:tcPr>
            <w:tcW w:type="dxa" w:w="1247"/>
            <w:shd w:val="clear" w:color="auto" w:fill="D6E4F0"/>
          </w:tcPr>
          <w:p>
            <w:pPr>
              <w:jc w:val="center"/>
            </w:pPr>
            <w:r/>
            <w:r>
              <w:rPr>
                <w:b w:val="0"/>
                <w:i w:val="0"/>
                <w:sz w:val="18"/>
              </w:rPr>
              <w:t>0.0000</w:t>
            </w:r>
          </w:p>
        </w:tc>
        <w:tc>
          <w:tcPr>
            <w:tcW w:type="dxa" w:w="1304"/>
            <w:shd w:val="clear" w:color="auto" w:fill="D6E4F0"/>
          </w:tcPr>
          <w:p>
            <w:pPr>
              <w:jc w:val="center"/>
            </w:pPr>
            <w:r/>
            <w:r>
              <w:rPr>
                <w:b w:val="0"/>
                <w:i w:val="0"/>
                <w:sz w:val="18"/>
              </w:rPr>
              <w:t>11.3500</w:t>
            </w:r>
          </w:p>
        </w:tc>
      </w:tr>
      <w:tr>
        <w:tc>
          <w:tcPr>
            <w:tcW w:type="dxa" w:w="2381"/>
            <w:shd w:val="clear" w:color="auto" w:fill="FFFFFF"/>
          </w:tcPr>
          <w:p>
            <w:r/>
            <w:r>
              <w:rPr>
                <w:b w:val="0"/>
                <w:i w:val="0"/>
                <w:sz w:val="18"/>
              </w:rPr>
              <w:t>Config B — FAISS + BM25</w:t>
            </w:r>
          </w:p>
        </w:tc>
        <w:tc>
          <w:tcPr>
            <w:tcW w:type="dxa" w:w="454"/>
            <w:shd w:val="clear" w:color="auto" w:fill="FFFFFF"/>
          </w:tcPr>
          <w:p>
            <w:pPr>
              <w:jc w:val="center"/>
            </w:pPr>
            <w:r/>
            <w:r>
              <w:rPr>
                <w:b w:val="0"/>
                <w:i w:val="0"/>
                <w:sz w:val="18"/>
              </w:rPr>
              <w:t>15</w:t>
            </w:r>
          </w:p>
        </w:tc>
        <w:tc>
          <w:tcPr>
            <w:tcW w:type="dxa" w:w="1247"/>
            <w:shd w:val="clear" w:color="auto" w:fill="FFFFFF"/>
          </w:tcPr>
          <w:p>
            <w:pPr>
              <w:jc w:val="center"/>
            </w:pPr>
            <w:r/>
            <w:r>
              <w:rPr>
                <w:b w:val="0"/>
                <w:i w:val="0"/>
                <w:sz w:val="18"/>
              </w:rPr>
              <w:t>0.2278</w:t>
            </w:r>
          </w:p>
        </w:tc>
        <w:tc>
          <w:tcPr>
            <w:tcW w:type="dxa" w:w="1361"/>
            <w:shd w:val="clear" w:color="auto" w:fill="FFFFFF"/>
          </w:tcPr>
          <w:p>
            <w:pPr>
              <w:jc w:val="center"/>
            </w:pPr>
            <w:r/>
            <w:r>
              <w:rPr>
                <w:b w:val="0"/>
                <w:i w:val="0"/>
                <w:sz w:val="18"/>
              </w:rPr>
              <w:t>0.3381</w:t>
            </w:r>
          </w:p>
        </w:tc>
        <w:tc>
          <w:tcPr>
            <w:tcW w:type="dxa" w:w="1304"/>
            <w:shd w:val="clear" w:color="auto" w:fill="FFFFFF"/>
          </w:tcPr>
          <w:p>
            <w:pPr>
              <w:jc w:val="center"/>
            </w:pPr>
            <w:r/>
            <w:r>
              <w:rPr>
                <w:b w:val="0"/>
                <w:i w:val="0"/>
                <w:sz w:val="18"/>
              </w:rPr>
              <w:t>0.6305</w:t>
            </w:r>
          </w:p>
        </w:tc>
        <w:tc>
          <w:tcPr>
            <w:tcW w:type="dxa" w:w="1134"/>
            <w:shd w:val="clear" w:color="auto" w:fill="FFFFFF"/>
          </w:tcPr>
          <w:p>
            <w:pPr>
              <w:jc w:val="center"/>
            </w:pPr>
            <w:r/>
            <w:r>
              <w:rPr>
                <w:b w:val="0"/>
                <w:i w:val="0"/>
                <w:sz w:val="18"/>
              </w:rPr>
              <w:t>0.0000</w:t>
            </w:r>
          </w:p>
        </w:tc>
        <w:tc>
          <w:tcPr>
            <w:tcW w:type="dxa" w:w="1247"/>
            <w:shd w:val="clear" w:color="auto" w:fill="FFFFFF"/>
          </w:tcPr>
          <w:p>
            <w:pPr>
              <w:jc w:val="center"/>
            </w:pPr>
            <w:r/>
            <w:r>
              <w:rPr>
                <w:b w:val="0"/>
                <w:i w:val="0"/>
                <w:sz w:val="18"/>
              </w:rPr>
              <w:t>0.0000</w:t>
            </w:r>
          </w:p>
        </w:tc>
        <w:tc>
          <w:tcPr>
            <w:tcW w:type="dxa" w:w="1304"/>
            <w:shd w:val="clear" w:color="auto" w:fill="FFFFFF"/>
          </w:tcPr>
          <w:p>
            <w:pPr>
              <w:jc w:val="center"/>
            </w:pPr>
            <w:r/>
            <w:r>
              <w:rPr>
                <w:b w:val="0"/>
                <w:i w:val="0"/>
                <w:sz w:val="18"/>
              </w:rPr>
              <w:t>10.3600</w:t>
            </w:r>
          </w:p>
        </w:tc>
      </w:tr>
      <w:tr>
        <w:tc>
          <w:tcPr>
            <w:tcW w:type="dxa" w:w="2381"/>
            <w:shd w:val="clear" w:color="auto" w:fill="D6E4F0"/>
          </w:tcPr>
          <w:p>
            <w:r/>
            <w:r>
              <w:rPr>
                <w:b w:val="0"/>
                <w:i w:val="0"/>
                <w:sz w:val="18"/>
              </w:rPr>
              <w:t>Config C v1 — +LM 879 tok</w:t>
            </w:r>
          </w:p>
        </w:tc>
        <w:tc>
          <w:tcPr>
            <w:tcW w:type="dxa" w:w="454"/>
            <w:shd w:val="clear" w:color="auto" w:fill="D6E4F0"/>
          </w:tcPr>
          <w:p>
            <w:pPr>
              <w:jc w:val="center"/>
            </w:pPr>
            <w:r/>
            <w:r>
              <w:rPr>
                <w:b w:val="0"/>
                <w:i w:val="0"/>
                <w:sz w:val="18"/>
              </w:rPr>
              <w:t>15</w:t>
            </w:r>
          </w:p>
        </w:tc>
        <w:tc>
          <w:tcPr>
            <w:tcW w:type="dxa" w:w="1247"/>
            <w:shd w:val="clear" w:color="auto" w:fill="D6E4F0"/>
          </w:tcPr>
          <w:p>
            <w:pPr>
              <w:jc w:val="center"/>
            </w:pPr>
            <w:r/>
            <w:r>
              <w:rPr>
                <w:b w:val="0"/>
                <w:i w:val="0"/>
                <w:sz w:val="18"/>
              </w:rPr>
              <w:t>0.1334</w:t>
            </w:r>
          </w:p>
        </w:tc>
        <w:tc>
          <w:tcPr>
            <w:tcW w:type="dxa" w:w="1361"/>
            <w:shd w:val="clear" w:color="auto" w:fill="D6E4F0"/>
          </w:tcPr>
          <w:p>
            <w:pPr>
              <w:jc w:val="center"/>
            </w:pPr>
            <w:r/>
            <w:r>
              <w:rPr>
                <w:b w:val="0"/>
                <w:i w:val="0"/>
                <w:sz w:val="18"/>
              </w:rPr>
              <w:t>0.3782</w:t>
            </w:r>
          </w:p>
        </w:tc>
        <w:tc>
          <w:tcPr>
            <w:tcW w:type="dxa" w:w="1304"/>
            <w:shd w:val="clear" w:color="auto" w:fill="D6E4F0"/>
          </w:tcPr>
          <w:p>
            <w:pPr>
              <w:jc w:val="center"/>
            </w:pPr>
            <w:r/>
            <w:r>
              <w:rPr>
                <w:b w:val="0"/>
                <w:i w:val="0"/>
                <w:sz w:val="18"/>
              </w:rPr>
              <w:t>0.6909</w:t>
            </w:r>
          </w:p>
        </w:tc>
        <w:tc>
          <w:tcPr>
            <w:tcW w:type="dxa" w:w="1134"/>
            <w:shd w:val="clear" w:color="auto" w:fill="D6E4F0"/>
          </w:tcPr>
          <w:p>
            <w:pPr>
              <w:jc w:val="center"/>
            </w:pPr>
            <w:r/>
            <w:r>
              <w:rPr>
                <w:b w:val="0"/>
                <w:i w:val="0"/>
                <w:sz w:val="18"/>
              </w:rPr>
              <w:t>0.0333</w:t>
            </w:r>
          </w:p>
        </w:tc>
        <w:tc>
          <w:tcPr>
            <w:tcW w:type="dxa" w:w="1247"/>
            <w:shd w:val="clear" w:color="auto" w:fill="D6E4F0"/>
          </w:tcPr>
          <w:p>
            <w:pPr>
              <w:jc w:val="center"/>
            </w:pPr>
            <w:r/>
            <w:r>
              <w:rPr>
                <w:b w:val="0"/>
                <w:i w:val="0"/>
                <w:sz w:val="18"/>
              </w:rPr>
              <w:t>0.1429</w:t>
            </w:r>
          </w:p>
        </w:tc>
        <w:tc>
          <w:tcPr>
            <w:tcW w:type="dxa" w:w="1304"/>
            <w:shd w:val="clear" w:color="auto" w:fill="D6E4F0"/>
          </w:tcPr>
          <w:p>
            <w:pPr>
              <w:jc w:val="center"/>
            </w:pPr>
            <w:r/>
            <w:r>
              <w:rPr>
                <w:b w:val="0"/>
                <w:i w:val="0"/>
                <w:sz w:val="18"/>
              </w:rPr>
              <w:t>10.2600</w:t>
            </w:r>
          </w:p>
        </w:tc>
      </w:tr>
      <w:tr>
        <w:tc>
          <w:tcPr>
            <w:tcW w:type="dxa" w:w="2381"/>
            <w:shd w:val="clear" w:color="auto" w:fill="FFFFFF"/>
          </w:tcPr>
          <w:p>
            <w:r/>
            <w:r>
              <w:rPr>
                <w:b w:val="0"/>
                <w:i w:val="0"/>
                <w:sz w:val="18"/>
              </w:rPr>
              <w:t>Config C v2 — +LM 336 tok</w:t>
            </w:r>
          </w:p>
        </w:tc>
        <w:tc>
          <w:tcPr>
            <w:tcW w:type="dxa" w:w="454"/>
            <w:shd w:val="clear" w:color="auto" w:fill="FFFFFF"/>
          </w:tcPr>
          <w:p>
            <w:pPr>
              <w:jc w:val="center"/>
            </w:pPr>
            <w:r/>
            <w:r>
              <w:rPr>
                <w:b w:val="0"/>
                <w:i w:val="0"/>
                <w:sz w:val="18"/>
              </w:rPr>
              <w:t>15</w:t>
            </w:r>
          </w:p>
        </w:tc>
        <w:tc>
          <w:tcPr>
            <w:tcW w:type="dxa" w:w="1247"/>
            <w:shd w:val="clear" w:color="auto" w:fill="FFFFFF"/>
          </w:tcPr>
          <w:p>
            <w:pPr>
              <w:jc w:val="center"/>
            </w:pPr>
            <w:r/>
            <w:r>
              <w:rPr>
                <w:b w:val="0"/>
                <w:i w:val="0"/>
                <w:sz w:val="18"/>
              </w:rPr>
              <w:t>0.3585</w:t>
            </w:r>
          </w:p>
        </w:tc>
        <w:tc>
          <w:tcPr>
            <w:tcW w:type="dxa" w:w="1361"/>
            <w:shd w:val="clear" w:color="auto" w:fill="FFFFFF"/>
          </w:tcPr>
          <w:p>
            <w:pPr>
              <w:jc w:val="center"/>
            </w:pPr>
            <w:r/>
            <w:r>
              <w:rPr>
                <w:b w:val="0"/>
                <w:i w:val="0"/>
                <w:sz w:val="18"/>
              </w:rPr>
              <w:t>0.3372</w:t>
            </w:r>
          </w:p>
        </w:tc>
        <w:tc>
          <w:tcPr>
            <w:tcW w:type="dxa" w:w="1304"/>
            <w:shd w:val="clear" w:color="auto" w:fill="FFFFFF"/>
          </w:tcPr>
          <w:p>
            <w:pPr>
              <w:jc w:val="center"/>
            </w:pPr>
            <w:r/>
            <w:r>
              <w:rPr>
                <w:b w:val="0"/>
                <w:i w:val="0"/>
                <w:sz w:val="18"/>
              </w:rPr>
              <w:t>0.6305</w:t>
            </w:r>
          </w:p>
        </w:tc>
        <w:tc>
          <w:tcPr>
            <w:tcW w:type="dxa" w:w="1134"/>
            <w:shd w:val="clear" w:color="auto" w:fill="FFFFFF"/>
          </w:tcPr>
          <w:p>
            <w:pPr>
              <w:jc w:val="center"/>
            </w:pPr>
            <w:r/>
            <w:r>
              <w:rPr>
                <w:b w:val="0"/>
                <w:i w:val="0"/>
                <w:sz w:val="18"/>
              </w:rPr>
              <w:t>0.0667</w:t>
            </w:r>
          </w:p>
        </w:tc>
        <w:tc>
          <w:tcPr>
            <w:tcW w:type="dxa" w:w="1247"/>
            <w:shd w:val="clear" w:color="auto" w:fill="FFFFFF"/>
          </w:tcPr>
          <w:p>
            <w:pPr>
              <w:jc w:val="center"/>
            </w:pPr>
            <w:r/>
            <w:r>
              <w:rPr>
                <w:b w:val="0"/>
                <w:i w:val="0"/>
                <w:sz w:val="18"/>
              </w:rPr>
              <w:t>0.0833</w:t>
            </w:r>
          </w:p>
        </w:tc>
        <w:tc>
          <w:tcPr>
            <w:tcW w:type="dxa" w:w="1304"/>
            <w:shd w:val="clear" w:color="auto" w:fill="FFFFFF"/>
          </w:tcPr>
          <w:p>
            <w:pPr>
              <w:jc w:val="center"/>
            </w:pPr>
            <w:r/>
            <w:r>
              <w:rPr>
                <w:b w:val="0"/>
                <w:i w:val="0"/>
                <w:sz w:val="18"/>
              </w:rPr>
              <w:t>10.1000</w:t>
            </w:r>
          </w:p>
        </w:tc>
      </w:tr>
      <w:tr>
        <w:tc>
          <w:tcPr>
            <w:tcW w:type="dxa" w:w="2381"/>
            <w:shd w:val="clear" w:color="auto" w:fill="E2EFDA"/>
          </w:tcPr>
          <w:p>
            <w:r/>
            <w:r>
              <w:rPr>
                <w:b/>
                <w:i w:val="0"/>
                <w:sz w:val="18"/>
              </w:rPr>
              <w:t>Config C v3 — +test+noclarif</w:t>
            </w:r>
          </w:p>
        </w:tc>
        <w:tc>
          <w:tcPr>
            <w:tcW w:type="dxa" w:w="454"/>
            <w:shd w:val="clear" w:color="auto" w:fill="E2EFDA"/>
          </w:tcPr>
          <w:p>
            <w:pPr>
              <w:jc w:val="center"/>
            </w:pPr>
            <w:r/>
            <w:r>
              <w:rPr>
                <w:b/>
                <w:i w:val="0"/>
                <w:sz w:val="18"/>
              </w:rPr>
              <w:t>14</w:t>
            </w:r>
          </w:p>
        </w:tc>
        <w:tc>
          <w:tcPr>
            <w:tcW w:type="dxa" w:w="1247"/>
            <w:shd w:val="clear" w:color="auto" w:fill="E2EFDA"/>
          </w:tcPr>
          <w:p>
            <w:pPr>
              <w:jc w:val="center"/>
            </w:pPr>
            <w:r/>
            <w:r>
              <w:rPr>
                <w:b/>
                <w:i w:val="0"/>
                <w:sz w:val="18"/>
              </w:rPr>
              <w:t>0.4556</w:t>
            </w:r>
          </w:p>
        </w:tc>
        <w:tc>
          <w:tcPr>
            <w:tcW w:type="dxa" w:w="1361"/>
            <w:shd w:val="clear" w:color="auto" w:fill="E2EFDA"/>
          </w:tcPr>
          <w:p>
            <w:pPr>
              <w:jc w:val="center"/>
            </w:pPr>
            <w:r/>
            <w:r>
              <w:rPr>
                <w:b/>
                <w:i w:val="0"/>
                <w:sz w:val="18"/>
              </w:rPr>
              <w:t>0.5315</w:t>
            </w:r>
          </w:p>
        </w:tc>
        <w:tc>
          <w:tcPr>
            <w:tcW w:type="dxa" w:w="1304"/>
            <w:shd w:val="clear" w:color="auto" w:fill="E2EFDA"/>
          </w:tcPr>
          <w:p>
            <w:pPr>
              <w:jc w:val="center"/>
            </w:pPr>
            <w:r/>
            <w:r>
              <w:rPr>
                <w:b/>
                <w:i w:val="0"/>
                <w:sz w:val="18"/>
              </w:rPr>
              <w:t>0.8155</w:t>
            </w:r>
          </w:p>
        </w:tc>
        <w:tc>
          <w:tcPr>
            <w:tcW w:type="dxa" w:w="1134"/>
            <w:shd w:val="clear" w:color="auto" w:fill="E2EFDA"/>
          </w:tcPr>
          <w:p>
            <w:pPr>
              <w:jc w:val="center"/>
            </w:pPr>
            <w:r/>
            <w:r>
              <w:rPr>
                <w:b/>
                <w:i w:val="0"/>
                <w:sz w:val="18"/>
              </w:rPr>
              <w:t>0.4524</w:t>
            </w:r>
          </w:p>
        </w:tc>
        <w:tc>
          <w:tcPr>
            <w:tcW w:type="dxa" w:w="1247"/>
            <w:shd w:val="clear" w:color="auto" w:fill="E2EFDA"/>
          </w:tcPr>
          <w:p>
            <w:pPr>
              <w:jc w:val="center"/>
            </w:pPr>
            <w:r/>
            <w:r>
              <w:rPr>
                <w:b/>
                <w:i w:val="0"/>
                <w:sz w:val="18"/>
              </w:rPr>
              <w:t>0.3876</w:t>
            </w:r>
          </w:p>
        </w:tc>
        <w:tc>
          <w:tcPr>
            <w:tcW w:type="dxa" w:w="1304"/>
            <w:shd w:val="clear" w:color="auto" w:fill="E2EFDA"/>
          </w:tcPr>
          <w:p>
            <w:pPr>
              <w:jc w:val="center"/>
            </w:pPr>
            <w:r/>
            <w:r>
              <w:rPr>
                <w:b/>
                <w:i w:val="0"/>
                <w:sz w:val="18"/>
              </w:rPr>
              <w:t>10.2300</w:t>
            </w:r>
          </w:p>
        </w:tc>
      </w:tr>
      <w:tr>
        <w:tc>
          <w:tcPr>
            <w:tcW w:type="dxa" w:w="2381"/>
            <w:shd w:val="clear" w:color="auto" w:fill="FFFFE0"/>
          </w:tcPr>
          <w:p>
            <w:r/>
            <w:r>
              <w:rPr>
                <w:b/>
                <w:i w:val="0"/>
                <w:sz w:val="18"/>
              </w:rPr>
              <w:t>Baseline MaternaQA-es (test)</w:t>
            </w:r>
          </w:p>
        </w:tc>
        <w:tc>
          <w:tcPr>
            <w:tcW w:type="dxa" w:w="454"/>
            <w:shd w:val="clear" w:color="auto" w:fill="FFFFE0"/>
          </w:tcPr>
          <w:p>
            <w:pPr>
              <w:jc w:val="center"/>
            </w:pPr>
            <w:r/>
            <w:r>
              <w:rPr>
                <w:b/>
                <w:i w:val="0"/>
                <w:sz w:val="18"/>
              </w:rPr>
              <w:t>—</w:t>
            </w:r>
          </w:p>
        </w:tc>
        <w:tc>
          <w:tcPr>
            <w:tcW w:type="dxa" w:w="1247"/>
            <w:shd w:val="clear" w:color="auto" w:fill="FFFFE0"/>
          </w:tcPr>
          <w:p>
            <w:pPr>
              <w:jc w:val="center"/>
            </w:pPr>
            <w:r/>
            <w:r>
              <w:rPr>
                <w:b/>
                <w:i w:val="0"/>
                <w:sz w:val="18"/>
              </w:rPr>
              <w:t>0.7132</w:t>
            </w:r>
          </w:p>
        </w:tc>
        <w:tc>
          <w:tcPr>
            <w:tcW w:type="dxa" w:w="1361"/>
            <w:shd w:val="clear" w:color="auto" w:fill="FFFFE0"/>
          </w:tcPr>
          <w:p>
            <w:pPr>
              <w:jc w:val="center"/>
            </w:pPr>
            <w:r/>
            <w:r>
              <w:rPr>
                <w:b/>
                <w:i w:val="0"/>
                <w:sz w:val="18"/>
              </w:rPr>
              <w:t>N/A</w:t>
            </w:r>
          </w:p>
        </w:tc>
        <w:tc>
          <w:tcPr>
            <w:tcW w:type="dxa" w:w="1304"/>
            <w:shd w:val="clear" w:color="auto" w:fill="FFFFE0"/>
          </w:tcPr>
          <w:p>
            <w:pPr>
              <w:jc w:val="center"/>
            </w:pPr>
            <w:r/>
            <w:r>
              <w:rPr>
                <w:b/>
                <w:i w:val="0"/>
                <w:sz w:val="18"/>
              </w:rPr>
              <w:t>0.5583</w:t>
            </w:r>
          </w:p>
        </w:tc>
        <w:tc>
          <w:tcPr>
            <w:tcW w:type="dxa" w:w="1134"/>
            <w:shd w:val="clear" w:color="auto" w:fill="FFFFE0"/>
          </w:tcPr>
          <w:p>
            <w:pPr>
              <w:jc w:val="center"/>
            </w:pPr>
            <w:r/>
            <w:r>
              <w:rPr>
                <w:b/>
                <w:i w:val="0"/>
                <w:sz w:val="18"/>
              </w:rPr>
              <w:t>N/A</w:t>
            </w:r>
          </w:p>
        </w:tc>
        <w:tc>
          <w:tcPr>
            <w:tcW w:type="dxa" w:w="1247"/>
            <w:shd w:val="clear" w:color="auto" w:fill="FFFFE0"/>
          </w:tcPr>
          <w:p>
            <w:pPr>
              <w:jc w:val="center"/>
            </w:pPr>
            <w:r/>
            <w:r>
              <w:rPr>
                <w:b/>
                <w:i w:val="0"/>
                <w:sz w:val="18"/>
              </w:rPr>
              <w:t>N/A</w:t>
            </w:r>
          </w:p>
        </w:tc>
        <w:tc>
          <w:tcPr>
            <w:tcW w:type="dxa" w:w="1304"/>
            <w:shd w:val="clear" w:color="auto" w:fill="FFFFE0"/>
          </w:tcPr>
          <w:p>
            <w:pPr>
              <w:jc w:val="center"/>
            </w:pPr>
            <w:r/>
            <w:r>
              <w:rPr>
                <w:b/>
                <w:i w:val="0"/>
                <w:sz w:val="18"/>
              </w:rPr>
              <w:t>—</w:t>
            </w:r>
          </w:p>
        </w:tc>
      </w:tr>
    </w:tbl>
    <w:p/>
    <w:p>
      <w:r>
        <w:rPr>
          <w:i/>
          <w:sz w:val="18"/>
        </w:rPr>
        <w:t>Verde: mejor resultado obtenido (Config C v3)   |   Amarillo: baseline publicado MaternaQA-es</w:t>
      </w:r>
    </w:p>
    <w:p>
      <w:pPr>
        <w:spacing w:before="240" w:after="80"/>
      </w:pPr>
      <w:r>
        <w:rPr>
          <w:b/>
          <w:color w:val="2E75B6"/>
          <w:sz w:val="24"/>
        </w:rPr>
        <w:t>4.2  Análisis de Resultados</w:t>
      </w:r>
    </w:p>
    <w:p>
      <w:pPr>
        <w:spacing w:before="240" w:after="80"/>
      </w:pPr>
      <w:r>
        <w:rPr>
          <w:b/>
          <w:color w:val="2E75B6"/>
          <w:sz w:val="22"/>
        </w:rPr>
        <w:t>Context Recall y Context Precision</w:t>
      </w:r>
    </w:p>
    <w:p>
      <w:pPr>
        <w:spacing w:after="120"/>
      </w:pPr>
      <w:r>
        <w:rPr>
          <w:sz w:val="21"/>
        </w:rPr>
        <w:t>El salto más significativo de C v3 respecto a versiones anteriores. Context recall pasa de 0.067 (C v2) a 0.452 (+578%), y context precision de 0.083 a 0.388 (+367%). Esto se explica directamente por la incorporación del split test del corpus LM: los 290 chunks añadidos corresponden a los 3 PDFs fuente del benchmark MaternaQA-es, por lo que el retriever ahora encuentra los fragmentos exactos que generaron las preguntas. Configs A y B tienen valores 0.000 porque el corpus no contenía ninguno de esos documentos.</w:t>
      </w:r>
    </w:p>
    <w:p>
      <w:pPr>
        <w:spacing w:before="240" w:after="80"/>
      </w:pPr>
      <w:r>
        <w:rPr>
          <w:b/>
          <w:color w:val="2E75B6"/>
          <w:sz w:val="22"/>
        </w:rPr>
        <w:t>Faithfulness</w:t>
      </w:r>
    </w:p>
    <w:p>
      <w:pPr>
        <w:spacing w:after="120"/>
      </w:pPr>
      <w:r>
        <w:rPr>
          <w:sz w:val="21"/>
        </w:rPr>
        <w:t>Mide si las afirmaciones de la respuesta están respaldadas por los fragmentos recuperados. La progresión A→B→Cv2→Cv3 muestra una mejora sostenida: 0.162 → 0.228 → 0.359 → 0.456. La mejora de C v3 respecto a C v2 (+27%) es consecuencia del mejor retrieval: con fragmentos relevantes disponibles el modelo generador los utiliza como fuente en lugar de recurrir a su conocimiento paramétrico. La brecha residual respecto al baseline (0.713) se debe a dos causas:</w:t>
      </w:r>
    </w:p>
    <w:p>
      <w:pPr>
        <w:pStyle w:val="ListBullet"/>
        <w:spacing w:after="60"/>
      </w:pPr>
      <w:r>
        <w:rPr>
          <w:sz w:val="21"/>
        </w:rPr>
        <w:t>Los cuatro datasets de medicina general (requeridos por el proyecto) introducen fragmentos temáticamente lejanos a las consultas obstétricas, compitiendo con los fragmentos relevantes en el retrieval.</w:t>
      </w:r>
    </w:p>
    <w:p>
      <w:pPr>
        <w:pStyle w:val="ListBullet"/>
        <w:spacing w:after="60"/>
      </w:pPr>
      <w:r>
        <w:rPr>
          <w:sz w:val="21"/>
        </w:rPr>
        <w:t>El modelo generador añade afirmaciones basadas en conocimiento propio incluso cuando el contexto es suficiente (par 13: ctx_recall=1.0 pero faithfulness=0.0). Un system prompt más restrictivo corregiría este comportamiento.</w:t>
      </w:r>
    </w:p>
    <w:p>
      <w:pPr>
        <w:spacing w:before="240" w:after="80"/>
      </w:pPr>
      <w:r>
        <w:rPr>
          <w:b/>
          <w:color w:val="2E75B6"/>
          <w:sz w:val="22"/>
        </w:rPr>
        <w:t>Answer Relevancy</w:t>
      </w:r>
    </w:p>
    <w:p>
      <w:pPr>
        <w:spacing w:after="120"/>
      </w:pPr>
      <w:r>
        <w:rPr>
          <w:sz w:val="21"/>
        </w:rPr>
        <w:t>Pasa de 0.631 (C v2) a 0.816 en C v3, superando ampliamente el baseline publicado (0.558). Con fragmentos en español del dominio correcto disponibles, las respuestas son más directas y enfocadas en la pregunta formulada. Este es el valor más alto obtenido en toda la serie de evaluaciones.</w:t>
      </w:r>
    </w:p>
    <w:p>
      <w:pPr>
        <w:spacing w:before="240" w:after="80"/>
      </w:pPr>
      <w:r>
        <w:rPr>
          <w:b/>
          <w:color w:val="2E75B6"/>
          <w:sz w:val="22"/>
        </w:rPr>
        <w:t>Answer Correctness</w:t>
      </w:r>
    </w:p>
    <w:p>
      <w:pPr>
        <w:spacing w:after="120"/>
      </w:pPr>
      <w:r>
        <w:rPr>
          <w:sz w:val="21"/>
        </w:rPr>
        <w:t>Sube de 0.337 (C v2) a 0.532 en C v3 (+58%). Con los fragmentos fuente del benchmark en el índice, el LLM alinea mejor sus respuestas con el ground truth. Es la métrica que más creció en esta iteración junto con context recall.</w:t>
      </w:r>
    </w:p>
    <w:p>
      <w:pPr>
        <w:spacing w:before="240" w:after="80"/>
      </w:pPr>
      <w:r>
        <w:rPr>
          <w:b/>
          <w:color w:val="2E75B6"/>
          <w:sz w:val="22"/>
        </w:rPr>
        <w:t>Latencia</w:t>
      </w:r>
    </w:p>
    <w:p>
      <w:pPr>
        <w:spacing w:after="120"/>
      </w:pPr>
      <w:r>
        <w:rPr>
          <w:sz w:val="21"/>
        </w:rPr>
        <w:t>Se mantiene estable en ~10 s en todas las configuraciones. La incorporación de 5 353 chunks obstétricos sobre un índice de ~380 000 vectores no introduce degradación perceptible en el tiempo de respuesta.</w:t>
      </w:r>
    </w:p>
    <w:p>
      <w:pPr>
        <w:pBdr>
          <w:bottom w:val="single" w:sz="6" w:space="4" w:color="1F497D"/>
        </w:pBdr>
        <w:spacing w:before="240" w:after="80"/>
      </w:pPr>
      <w:r>
        <w:rPr>
          <w:b/>
          <w:color w:val="1F497D"/>
          <w:sz w:val="28"/>
        </w:rPr>
        <w:t>5. Mejoras Propuestas (Incorporaciones Futuras)</w:t>
      </w:r>
    </w:p>
    <w:p>
      <w:pPr>
        <w:spacing w:after="120"/>
      </w:pPr>
      <w:r>
        <w:rPr>
          <w:sz w:val="21"/>
        </w:rPr>
        <w:t>Las siguientes mejoras fueron identificadas durante el proceso de evaluación y serán incorporadas en iteraciones posteriores del sistema:</w:t>
      </w:r>
    </w:p>
    <w:p>
      <w:pPr>
        <w:pStyle w:val="ListBullet"/>
        <w:spacing w:after="60"/>
      </w:pPr>
      <w:r>
        <w:rPr>
          <w:b/>
          <w:sz w:val="21"/>
        </w:rPr>
        <w:t xml:space="preserve">System prompt más restrictivo: </w:t>
      </w:r>
      <w:r>
        <w:rPr>
          <w:sz w:val="21"/>
        </w:rPr>
        <w:t>Instruir al modelo generador a responder únicamente con información presente en los fragmentos recuperados y a declarar explícitamente cuando el contexto no es suficiente. Atacaría directamente los pares con ctx_recall alto pero faithfulness bajo (par 13: ctx_recall=1.0, faithfulness=0.0), que representan el límite actual del sistema.</w:t>
      </w:r>
    </w:p>
    <w:p>
      <w:pPr>
        <w:pStyle w:val="ListBullet"/>
        <w:spacing w:after="60"/>
      </w:pPr>
      <w:r>
        <w:rPr>
          <w:b/>
          <w:sz w:val="21"/>
        </w:rPr>
        <w:t xml:space="preserve">Reranker cross-encoder local: </w:t>
      </w:r>
      <w:r>
        <w:rPr>
          <w:sz w:val="21"/>
        </w:rPr>
        <w:t>Agregar un modelo cross-encoder (ej. BAAI/bge-reranker-v2-m3, multilingüe) después del retrieval inicial para reordenar los fragmentos por relevancia real query-documento. Opera localmente sin costo de API. Combinado con k inicial mayor (k=20 → reranker → top-5 al LLM) maximizaría context_recall sin degradar context_precision.</w:t>
      </w:r>
    </w:p>
    <w:p>
      <w:pPr>
        <w:pStyle w:val="ListBullet"/>
        <w:spacing w:after="60"/>
      </w:pPr>
      <w:r>
        <w:rPr>
          <w:b/>
          <w:sz w:val="21"/>
        </w:rPr>
        <w:t xml:space="preserve">k inicial mayor con reranker (k=20 → top-5): </w:t>
      </w:r>
      <w:r>
        <w:rPr>
          <w:sz w:val="21"/>
        </w:rPr>
        <w:t>Aumentar los candidatos iniciales del retriever de k=5 a k=20 incrementa context_recall al capturar fragmentos relevantes que quedan fuera con k pequeño. Sin reranker esto degradaría context_precision y faithfulness por ruido adicional; con reranker el LLM sigue recibiendo solo los 5 mejores fragmentos.</w:t>
      </w:r>
    </w:p>
    <w:p>
      <w:pPr>
        <w:pStyle w:val="ListBullet"/>
        <w:spacing w:after="60"/>
      </w:pPr>
      <w:r>
        <w:rPr>
          <w:b/>
          <w:sz w:val="21"/>
        </w:rPr>
        <w:t xml:space="preserve">HyDE — Hypothetical Document Embeddings: </w:t>
      </w:r>
      <w:r>
        <w:rPr>
          <w:sz w:val="21"/>
        </w:rPr>
        <w:t>Generar una respuesta hipotética con el LLM antes de la búsqueda y usar su embedding para recuperar fragmentos. Mejora context_recall en queries cortas al usar vocabulario del dominio en la búsqueda. Costo: ~1 000–2 000 tokens adicionales por query en Groq.</w:t>
      </w:r>
    </w:p>
    <w:p>
      <w:pPr>
        <w:pStyle w:val="ListBullet"/>
        <w:spacing w:after="60"/>
      </w:pPr>
      <w:r>
        <w:rPr>
          <w:b/>
          <w:sz w:val="21"/>
        </w:rPr>
        <w:t xml:space="preserve">Corpus obstétrico ampliado: </w:t>
      </w:r>
      <w:r>
        <w:rPr>
          <w:sz w:val="21"/>
        </w:rPr>
        <w:t>Incorporar guías clínicas adicionales en español (OMS, FIGO, guías nacionales latinoamericanas) para aumentar la cobertura temática y reducir la dependencia del conocimiento paramétrico del modelo generador.</w:t>
      </w:r>
    </w:p>
    <w:p>
      <w:pPr>
        <w:pStyle w:val="ListBullet"/>
        <w:spacing w:after="60"/>
      </w:pPr>
      <w:r>
        <w:rPr>
          <w:b/>
          <w:sz w:val="21"/>
        </w:rPr>
        <w:t xml:space="preserve">Ampliación de la muestra de evaluación: </w:t>
      </w:r>
      <w:r>
        <w:rPr>
          <w:sz w:val="21"/>
        </w:rPr>
        <w:t>Pasar de 15 a 30 pares reduciría la varianza estadística (std actual ~0.31 en faithfulness) y permitiría separaciones más robustas entre configuraciones.</w:t>
      </w:r>
    </w:p>
    <w:p>
      <w:r>
        <w:br w:type="page"/>
      </w:r>
    </w:p>
    <w:p>
      <w:r>
        <w:rPr>
          <w:b/>
          <w:color w:val="1F497D"/>
          <w:sz w:val="28"/>
        </w:rPr>
        <w:t>6. Actualización — Agosto 2026 (Config D y Config F)</w:t>
      </w:r>
    </w:p>
    <w:p>
      <w:r>
        <w:rPr>
          <w:sz w:val="21"/>
        </w:rPr>
        <w:t>Desde este informe (julio 2026, mejor resultado histórico: Config C v3) el sistema pasó por tres cambios estructurales, documentados en detalle en foragents/qa_technical.md (Q28, Q31, Q33, Q35) y foragents/retrieval_arquitecturas_configs.md:</w:t>
      </w:r>
    </w:p>
    <w:p>
      <w:pPr>
        <w:pStyle w:val="ListBullet"/>
      </w:pPr>
      <w:r>
        <w:rPr>
          <w:b/>
          <w:sz w:val="21"/>
        </w:rPr>
        <w:t xml:space="preserve">13-ago-2026 — Remoción por licencia: </w:t>
      </w:r>
      <w:r>
        <w:rPr>
          <w:sz w:val="21"/>
        </w:rPr>
        <w:t>los 18 textbooks médicos en inglés (licencia de reuso no identificable) y MultiClinSum (CC-BY-4.0, casos clínicos reales derivados de PMC-Patients, sin garantía documentada de desidentificación) se removieron del índice FAISS. Impacto en las métricas medido como nulo antes de remover (dentro del margen de ruido de la evaluación). Config D (denso puro) pasó a producción.</w:t>
      </w:r>
    </w:p>
    <w:p>
      <w:pPr>
        <w:pStyle w:val="ListBullet"/>
      </w:pPr>
      <w:r>
        <w:rPr>
          <w:b/>
          <w:sz w:val="21"/>
        </w:rPr>
        <w:t xml:space="preserve">19-ago-2026 — Cambio de generador: </w:t>
      </w:r>
      <w:r>
        <w:rPr>
          <w:sz w:val="21"/>
        </w:rPr>
        <w:t>el modelo generador del chatbot cambió de llama-3.3-70b-versatile a openai/gpt-oss-120b (ambos vía Groq). El juez de Ragas se mantuvo igual (gemma-4-31b vía Cerebras), preservando comparabilidad metodológica entre este informe y el anterior.</w:t>
      </w:r>
    </w:p>
    <w:p>
      <w:pPr>
        <w:pStyle w:val="ListBullet"/>
      </w:pPr>
      <w:r>
        <w:rPr>
          <w:b/>
          <w:sz w:val="21"/>
        </w:rPr>
        <w:t xml:space="preserve">28-ago-2026 — Retrieval híbrido y techo de recall: </w:t>
      </w:r>
      <w:r>
        <w:rPr>
          <w:sz w:val="21"/>
        </w:rPr>
        <w:t>BM25 volvió a producción, ya no sobre MultiClinSum (removido) sino sobre el corpus en español maternaqaes_lm + documentos subidos por el panel de administración, fusionado con la búsqueda densa (RRF). Además, el umbral de calidad de ingesta (clinical_score) bajó de 15 a 8, recuperando 2.156 fragmentos antes descartados y cerrando un techo de alcanzabilidad del golden set de evaluación (72,6% → 100%, ver 6.4). Config F es la configuración activa en producción.</w:t>
      </w:r>
    </w:p>
    <w:p>
      <w:r>
        <w:rPr>
          <w:b/>
          <w:color w:val="2E75B6"/>
          <w:sz w:val="24"/>
        </w:rPr>
        <w:t>6.1  Corpus Indexado Actual</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2E75B6"/>
          </w:tcPr>
          <w:p>
            <w:r/>
            <w:r>
              <w:rPr>
                <w:b/>
                <w:color w:val="FFFFFF"/>
                <w:sz w:val="18"/>
              </w:rPr>
              <w:t>Dataset</w:t>
            </w:r>
          </w:p>
        </w:tc>
        <w:tc>
          <w:tcPr>
            <w:tcW w:type="dxa" w:w="2280"/>
            <w:shd w:val="clear" w:color="auto" w:fill="2E75B6"/>
          </w:tcPr>
          <w:p>
            <w:r/>
            <w:r>
              <w:rPr>
                <w:b/>
                <w:color w:val="FFFFFF"/>
                <w:sz w:val="18"/>
              </w:rPr>
              <w:t>Vectores</w:t>
            </w:r>
          </w:p>
        </w:tc>
        <w:tc>
          <w:tcPr>
            <w:tcW w:type="dxa" w:w="2280"/>
            <w:shd w:val="clear" w:color="auto" w:fill="2E75B6"/>
          </w:tcPr>
          <w:p>
            <w:r/>
            <w:r>
              <w:rPr>
                <w:b/>
                <w:color w:val="FFFFFF"/>
                <w:sz w:val="18"/>
              </w:rPr>
              <w:t>Idioma</w:t>
            </w:r>
          </w:p>
        </w:tc>
        <w:tc>
          <w:tcPr>
            <w:tcW w:type="dxa" w:w="2280"/>
            <w:shd w:val="clear" w:color="auto" w:fill="2E75B6"/>
          </w:tcPr>
          <w:p>
            <w:r/>
            <w:r>
              <w:rPr>
                <w:b/>
                <w:color w:val="FFFFFF"/>
                <w:sz w:val="18"/>
              </w:rPr>
              <w:t>Descripción</w:t>
            </w:r>
          </w:p>
        </w:tc>
      </w:tr>
      <w:tr>
        <w:tc>
          <w:tcPr>
            <w:tcW w:type="dxa" w:w="2280"/>
            <w:shd w:val="clear" w:color="auto" w:fill="D6E4F0"/>
          </w:tcPr>
          <w:p>
            <w:r/>
            <w:r>
              <w:rPr>
                <w:b w:val="0"/>
                <w:sz w:val="18"/>
              </w:rPr>
              <w:t>MedMCQA</w:t>
            </w:r>
          </w:p>
        </w:tc>
        <w:tc>
          <w:tcPr>
            <w:tcW w:type="dxa" w:w="2280"/>
            <w:shd w:val="clear" w:color="auto" w:fill="D6E4F0"/>
          </w:tcPr>
          <w:p>
            <w:r/>
            <w:r>
              <w:rPr>
                <w:b w:val="0"/>
                <w:sz w:val="18"/>
              </w:rPr>
              <w:t>187,005</w:t>
            </w:r>
          </w:p>
        </w:tc>
        <w:tc>
          <w:tcPr>
            <w:tcW w:type="dxa" w:w="2280"/>
            <w:shd w:val="clear" w:color="auto" w:fill="D6E4F0"/>
          </w:tcPr>
          <w:p>
            <w:r/>
            <w:r>
              <w:rPr>
                <w:b w:val="0"/>
                <w:sz w:val="18"/>
              </w:rPr>
              <w:t>Inglés</w:t>
            </w:r>
          </w:p>
        </w:tc>
        <w:tc>
          <w:tcPr>
            <w:tcW w:type="dxa" w:w="2280"/>
            <w:shd w:val="clear" w:color="auto" w:fill="D6E4F0"/>
          </w:tcPr>
          <w:p>
            <w:r/>
            <w:r>
              <w:rPr>
                <w:b w:val="0"/>
                <w:sz w:val="18"/>
              </w:rPr>
              <w:t>Exámenes médicos (India)</w:t>
            </w:r>
          </w:p>
        </w:tc>
      </w:tr>
      <w:tr>
        <w:tc>
          <w:tcPr>
            <w:tcW w:type="dxa" w:w="2280"/>
            <w:shd w:val="clear" w:color="auto" w:fill="FFFFFF"/>
          </w:tcPr>
          <w:p>
            <w:r/>
            <w:r>
              <w:rPr>
                <w:b w:val="0"/>
                <w:sz w:val="18"/>
              </w:rPr>
              <w:t>MedQA (US+Taiwan+Mainland)</w:t>
            </w:r>
          </w:p>
        </w:tc>
        <w:tc>
          <w:tcPr>
            <w:tcW w:type="dxa" w:w="2280"/>
            <w:shd w:val="clear" w:color="auto" w:fill="FFFFFF"/>
          </w:tcPr>
          <w:p>
            <w:r/>
            <w:r>
              <w:rPr>
                <w:b w:val="0"/>
                <w:sz w:val="18"/>
              </w:rPr>
              <w:t>61,097</w:t>
            </w:r>
          </w:p>
        </w:tc>
        <w:tc>
          <w:tcPr>
            <w:tcW w:type="dxa" w:w="2280"/>
            <w:shd w:val="clear" w:color="auto" w:fill="FFFFFF"/>
          </w:tcPr>
          <w:p>
            <w:r/>
            <w:r>
              <w:rPr>
                <w:b w:val="0"/>
                <w:sz w:val="18"/>
              </w:rPr>
              <w:t>Inglés/Chino</w:t>
            </w:r>
          </w:p>
        </w:tc>
        <w:tc>
          <w:tcPr>
            <w:tcW w:type="dxa" w:w="2280"/>
            <w:shd w:val="clear" w:color="auto" w:fill="FFFFFF"/>
          </w:tcPr>
          <w:p>
            <w:r/>
            <w:r>
              <w:rPr>
                <w:b w:val="0"/>
                <w:sz w:val="18"/>
              </w:rPr>
              <w:t>USMLE + exámenes de licenciatura médica</w:t>
            </w:r>
          </w:p>
        </w:tc>
      </w:tr>
      <w:tr>
        <w:tc>
          <w:tcPr>
            <w:tcW w:type="dxa" w:w="2280"/>
            <w:shd w:val="clear" w:color="auto" w:fill="D6E4F0"/>
          </w:tcPr>
          <w:p>
            <w:r/>
            <w:r>
              <w:rPr>
                <w:b w:val="0"/>
                <w:sz w:val="18"/>
              </w:rPr>
              <w:t>MaternaQA-es LM</w:t>
            </w:r>
          </w:p>
        </w:tc>
        <w:tc>
          <w:tcPr>
            <w:tcW w:type="dxa" w:w="2280"/>
            <w:shd w:val="clear" w:color="auto" w:fill="D6E4F0"/>
          </w:tcPr>
          <w:p>
            <w:r/>
            <w:r>
              <w:rPr>
                <w:b w:val="0"/>
                <w:sz w:val="18"/>
              </w:rPr>
              <w:t>7,509</w:t>
            </w:r>
          </w:p>
        </w:tc>
        <w:tc>
          <w:tcPr>
            <w:tcW w:type="dxa" w:w="2280"/>
            <w:shd w:val="clear" w:color="auto" w:fill="D6E4F0"/>
          </w:tcPr>
          <w:p>
            <w:r/>
            <w:r>
              <w:rPr>
                <w:b w:val="0"/>
                <w:sz w:val="18"/>
              </w:rPr>
              <w:t>Español</w:t>
            </w:r>
          </w:p>
        </w:tc>
        <w:tc>
          <w:tcPr>
            <w:tcW w:type="dxa" w:w="2280"/>
            <w:shd w:val="clear" w:color="auto" w:fill="D6E4F0"/>
          </w:tcPr>
          <w:p>
            <w:r/>
            <w:r>
              <w:rPr>
                <w:b w:val="0"/>
                <w:sz w:val="18"/>
              </w:rPr>
              <w:t>Corpus obstétrico colombiano (train+val+test, clinical_score≥8)</w:t>
            </w:r>
          </w:p>
        </w:tc>
      </w:tr>
      <w:tr>
        <w:tc>
          <w:tcPr>
            <w:tcW w:type="dxa" w:w="2280"/>
            <w:shd w:val="clear" w:color="auto" w:fill="FFFFFF"/>
          </w:tcPr>
          <w:p>
            <w:r/>
            <w:r>
              <w:rPr>
                <w:b w:val="0"/>
                <w:sz w:val="18"/>
              </w:rPr>
              <w:t>Documentos subidos (panel admin)</w:t>
            </w:r>
          </w:p>
        </w:tc>
        <w:tc>
          <w:tcPr>
            <w:tcW w:type="dxa" w:w="2280"/>
            <w:shd w:val="clear" w:color="auto" w:fill="FFFFFF"/>
          </w:tcPr>
          <w:p>
            <w:r/>
            <w:r>
              <w:rPr>
                <w:b w:val="0"/>
                <w:sz w:val="18"/>
              </w:rPr>
              <w:t>14</w:t>
            </w:r>
          </w:p>
        </w:tc>
        <w:tc>
          <w:tcPr>
            <w:tcW w:type="dxa" w:w="2280"/>
            <w:shd w:val="clear" w:color="auto" w:fill="FFFFFF"/>
          </w:tcPr>
          <w:p>
            <w:r/>
            <w:r>
              <w:rPr>
                <w:b w:val="0"/>
                <w:sz w:val="18"/>
              </w:rPr>
              <w:t>Español</w:t>
            </w:r>
          </w:p>
        </w:tc>
        <w:tc>
          <w:tcPr>
            <w:tcW w:type="dxa" w:w="2280"/>
            <w:shd w:val="clear" w:color="auto" w:fill="FFFFFF"/>
          </w:tcPr>
          <w:p>
            <w:r/>
            <w:r>
              <w:rPr>
                <w:b w:val="0"/>
                <w:sz w:val="18"/>
              </w:rPr>
              <w:t>Documentos cargados por el equipo</w:t>
            </w:r>
          </w:p>
        </w:tc>
      </w:tr>
      <w:tr>
        <w:tc>
          <w:tcPr>
            <w:tcW w:type="dxa" w:w="2280"/>
            <w:shd w:val="clear" w:color="auto" w:fill="D6E4F0"/>
          </w:tcPr>
          <w:p>
            <w:r/>
            <w:r>
              <w:rPr>
                <w:b w:val="0"/>
                <w:sz w:val="18"/>
              </w:rPr>
              <w:t>TOTAL</w:t>
            </w:r>
          </w:p>
        </w:tc>
        <w:tc>
          <w:tcPr>
            <w:tcW w:type="dxa" w:w="2280"/>
            <w:shd w:val="clear" w:color="auto" w:fill="D6E4F0"/>
          </w:tcPr>
          <w:p>
            <w:r/>
            <w:r>
              <w:rPr>
                <w:b w:val="0"/>
                <w:sz w:val="18"/>
              </w:rPr>
              <w:t>255,625</w:t>
            </w:r>
          </w:p>
        </w:tc>
        <w:tc>
          <w:tcPr>
            <w:tcW w:type="dxa" w:w="2280"/>
            <w:shd w:val="clear" w:color="auto" w:fill="D6E4F0"/>
          </w:tcPr>
          <w:p>
            <w:r/>
            <w:r>
              <w:rPr>
                <w:b w:val="0"/>
                <w:sz w:val="18"/>
              </w:rPr>
              <w:t>—</w:t>
            </w:r>
          </w:p>
        </w:tc>
        <w:tc>
          <w:tcPr>
            <w:tcW w:type="dxa" w:w="2280"/>
            <w:shd w:val="clear" w:color="auto" w:fill="D6E4F0"/>
          </w:tcPr>
          <w:p>
            <w:r/>
            <w:r>
              <w:rPr>
                <w:b w:val="0"/>
                <w:sz w:val="18"/>
              </w:rPr>
              <w:t>—</w:t>
            </w:r>
          </w:p>
        </w:tc>
      </w:tr>
    </w:tbl>
    <w:p/>
    <w:p>
      <w:r>
        <w:rPr>
          <w:sz w:val="21"/>
        </w:rPr>
        <w:t>Textbook (18 libros médicos, EN) y MultiClinSum (casos clínicos, ES) fueron removidos el 13-ago-2026 por riesgo de licencia — ya no forman parte del índice.</w:t>
      </w:r>
    </w:p>
    <w:p>
      <w:r>
        <w:rPr>
          <w:b/>
          <w:color w:val="2E75B6"/>
          <w:sz w:val="24"/>
        </w:rPr>
        <w:t>6.2  Resultados Ragas — Config C v3 vs Config D vs Config F</w:t>
      </w:r>
    </w:p>
    <w:tbl>
      <w:tblPr>
        <w:tblStyle w:val="TableGrid"/>
        <w:tblW w:type="auto" w:w="0"/>
        <w:tblLook w:firstColumn="1" w:firstRow="1" w:lastColumn="0" w:lastRow="0" w:noHBand="0" w:noVBand="1" w:val="04A0"/>
      </w:tblPr>
      <w:tblGrid>
        <w:gridCol w:w="1014"/>
        <w:gridCol w:w="1014"/>
        <w:gridCol w:w="1014"/>
        <w:gridCol w:w="1014"/>
        <w:gridCol w:w="1014"/>
        <w:gridCol w:w="1014"/>
        <w:gridCol w:w="1014"/>
        <w:gridCol w:w="1014"/>
        <w:gridCol w:w="1014"/>
      </w:tblGrid>
      <w:tr>
        <w:tc>
          <w:tcPr>
            <w:tcW w:type="dxa" w:w="1014"/>
            <w:shd w:val="clear" w:color="auto" w:fill="2E75B6"/>
          </w:tcPr>
          <w:p>
            <w:r/>
            <w:r>
              <w:rPr>
                <w:b/>
                <w:color w:val="FFFFFF"/>
                <w:sz w:val="18"/>
              </w:rPr>
              <w:t>Configuración</w:t>
            </w:r>
          </w:p>
        </w:tc>
        <w:tc>
          <w:tcPr>
            <w:tcW w:type="dxa" w:w="1014"/>
            <w:shd w:val="clear" w:color="auto" w:fill="2E75B6"/>
          </w:tcPr>
          <w:p>
            <w:r/>
            <w:r>
              <w:rPr>
                <w:b/>
                <w:color w:val="FFFFFF"/>
                <w:sz w:val="18"/>
              </w:rPr>
              <w:t>N</w:t>
            </w:r>
          </w:p>
        </w:tc>
        <w:tc>
          <w:tcPr>
            <w:tcW w:type="dxa" w:w="1014"/>
            <w:shd w:val="clear" w:color="auto" w:fill="2E75B6"/>
          </w:tcPr>
          <w:p>
            <w:r/>
            <w:r>
              <w:rPr>
                <w:b/>
                <w:color w:val="FFFFFF"/>
                <w:sz w:val="18"/>
              </w:rPr>
              <w:t>Generador</w:t>
            </w:r>
          </w:p>
        </w:tc>
        <w:tc>
          <w:tcPr>
            <w:tcW w:type="dxa" w:w="1014"/>
            <w:shd w:val="clear" w:color="auto" w:fill="2E75B6"/>
          </w:tcPr>
          <w:p>
            <w:r/>
            <w:r>
              <w:rPr>
                <w:b/>
                <w:color w:val="FFFFFF"/>
                <w:sz w:val="18"/>
              </w:rPr>
              <w:t>Faithfulness</w:t>
            </w:r>
          </w:p>
        </w:tc>
        <w:tc>
          <w:tcPr>
            <w:tcW w:type="dxa" w:w="1014"/>
            <w:shd w:val="clear" w:color="auto" w:fill="2E75B6"/>
          </w:tcPr>
          <w:p>
            <w:r/>
            <w:r>
              <w:rPr>
                <w:b/>
                <w:color w:val="FFFFFF"/>
                <w:sz w:val="18"/>
              </w:rPr>
              <w:t>Ans. Correctness</w:t>
            </w:r>
          </w:p>
        </w:tc>
        <w:tc>
          <w:tcPr>
            <w:tcW w:type="dxa" w:w="1014"/>
            <w:shd w:val="clear" w:color="auto" w:fill="2E75B6"/>
          </w:tcPr>
          <w:p>
            <w:r/>
            <w:r>
              <w:rPr>
                <w:b/>
                <w:color w:val="FFFFFF"/>
                <w:sz w:val="18"/>
              </w:rPr>
              <w:t>Ans. Relevancy</w:t>
            </w:r>
          </w:p>
        </w:tc>
        <w:tc>
          <w:tcPr>
            <w:tcW w:type="dxa" w:w="1014"/>
            <w:shd w:val="clear" w:color="auto" w:fill="2E75B6"/>
          </w:tcPr>
          <w:p>
            <w:r/>
            <w:r>
              <w:rPr>
                <w:b/>
                <w:color w:val="FFFFFF"/>
                <w:sz w:val="18"/>
              </w:rPr>
              <w:t>Ctx. Recall</w:t>
            </w:r>
          </w:p>
        </w:tc>
        <w:tc>
          <w:tcPr>
            <w:tcW w:type="dxa" w:w="1014"/>
            <w:shd w:val="clear" w:color="auto" w:fill="2E75B6"/>
          </w:tcPr>
          <w:p>
            <w:r/>
            <w:r>
              <w:rPr>
                <w:b/>
                <w:color w:val="FFFFFF"/>
                <w:sz w:val="18"/>
              </w:rPr>
              <w:t>Ctx. Precision</w:t>
            </w:r>
          </w:p>
        </w:tc>
        <w:tc>
          <w:tcPr>
            <w:tcW w:type="dxa" w:w="1014"/>
            <w:shd w:val="clear" w:color="auto" w:fill="2E75B6"/>
          </w:tcPr>
          <w:p>
            <w:r/>
            <w:r>
              <w:rPr>
                <w:b/>
                <w:color w:val="FFFFFF"/>
                <w:sz w:val="18"/>
              </w:rPr>
              <w:t>Latencia avg (s)</w:t>
            </w:r>
          </w:p>
        </w:tc>
      </w:tr>
      <w:tr>
        <w:tc>
          <w:tcPr>
            <w:tcW w:type="dxa" w:w="1014"/>
            <w:shd w:val="clear" w:color="auto" w:fill="D6E4F0"/>
          </w:tcPr>
          <w:p>
            <w:r/>
            <w:r>
              <w:rPr>
                <w:b w:val="0"/>
                <w:sz w:val="18"/>
              </w:rPr>
              <w:t>Config C v3 (jul-2026, histórico)</w:t>
            </w:r>
          </w:p>
        </w:tc>
        <w:tc>
          <w:tcPr>
            <w:tcW w:type="dxa" w:w="1014"/>
            <w:shd w:val="clear" w:color="auto" w:fill="D6E4F0"/>
          </w:tcPr>
          <w:p>
            <w:r/>
            <w:r>
              <w:rPr>
                <w:b w:val="0"/>
                <w:sz w:val="18"/>
              </w:rPr>
              <w:t>14</w:t>
            </w:r>
          </w:p>
        </w:tc>
        <w:tc>
          <w:tcPr>
            <w:tcW w:type="dxa" w:w="1014"/>
            <w:shd w:val="clear" w:color="auto" w:fill="D6E4F0"/>
          </w:tcPr>
          <w:p>
            <w:r/>
            <w:r>
              <w:rPr>
                <w:b w:val="0"/>
                <w:sz w:val="18"/>
              </w:rPr>
              <w:t>llama-3.3-70b</w:t>
            </w:r>
          </w:p>
        </w:tc>
        <w:tc>
          <w:tcPr>
            <w:tcW w:type="dxa" w:w="1014"/>
            <w:shd w:val="clear" w:color="auto" w:fill="D6E4F0"/>
          </w:tcPr>
          <w:p>
            <w:r/>
            <w:r>
              <w:rPr>
                <w:b w:val="0"/>
                <w:sz w:val="18"/>
              </w:rPr>
              <w:t>0.4556</w:t>
            </w:r>
          </w:p>
        </w:tc>
        <w:tc>
          <w:tcPr>
            <w:tcW w:type="dxa" w:w="1014"/>
            <w:shd w:val="clear" w:color="auto" w:fill="D6E4F0"/>
          </w:tcPr>
          <w:p>
            <w:r/>
            <w:r>
              <w:rPr>
                <w:b w:val="0"/>
                <w:sz w:val="18"/>
              </w:rPr>
              <w:t>0.5315</w:t>
            </w:r>
          </w:p>
        </w:tc>
        <w:tc>
          <w:tcPr>
            <w:tcW w:type="dxa" w:w="1014"/>
            <w:shd w:val="clear" w:color="auto" w:fill="D6E4F0"/>
          </w:tcPr>
          <w:p>
            <w:r/>
            <w:r>
              <w:rPr>
                <w:b w:val="0"/>
                <w:sz w:val="18"/>
              </w:rPr>
              <w:t>0.8155</w:t>
            </w:r>
          </w:p>
        </w:tc>
        <w:tc>
          <w:tcPr>
            <w:tcW w:type="dxa" w:w="1014"/>
            <w:shd w:val="clear" w:color="auto" w:fill="D6E4F0"/>
          </w:tcPr>
          <w:p>
            <w:r/>
            <w:r>
              <w:rPr>
                <w:b w:val="0"/>
                <w:sz w:val="18"/>
              </w:rPr>
              <w:t>0.4524</w:t>
            </w:r>
          </w:p>
        </w:tc>
        <w:tc>
          <w:tcPr>
            <w:tcW w:type="dxa" w:w="1014"/>
            <w:shd w:val="clear" w:color="auto" w:fill="D6E4F0"/>
          </w:tcPr>
          <w:p>
            <w:r/>
            <w:r>
              <w:rPr>
                <w:b w:val="0"/>
                <w:sz w:val="18"/>
              </w:rPr>
              <w:t>0.3876</w:t>
            </w:r>
          </w:p>
        </w:tc>
        <w:tc>
          <w:tcPr>
            <w:tcW w:type="dxa" w:w="1014"/>
            <w:shd w:val="clear" w:color="auto" w:fill="D6E4F0"/>
          </w:tcPr>
          <w:p>
            <w:r/>
            <w:r>
              <w:rPr>
                <w:b w:val="0"/>
                <w:sz w:val="18"/>
              </w:rPr>
              <w:t>10.23</w:t>
            </w:r>
          </w:p>
        </w:tc>
      </w:tr>
      <w:tr>
        <w:tc>
          <w:tcPr>
            <w:tcW w:type="dxa" w:w="1014"/>
            <w:shd w:val="clear" w:color="auto" w:fill="FFFFFF"/>
          </w:tcPr>
          <w:p>
            <w:r/>
            <w:r>
              <w:rPr>
                <w:b w:val="0"/>
                <w:sz w:val="18"/>
              </w:rPr>
              <w:t>Config D (19-ago, denso puro)</w:t>
            </w:r>
          </w:p>
        </w:tc>
        <w:tc>
          <w:tcPr>
            <w:tcW w:type="dxa" w:w="1014"/>
            <w:shd w:val="clear" w:color="auto" w:fill="FFFFFF"/>
          </w:tcPr>
          <w:p>
            <w:r/>
            <w:r>
              <w:rPr>
                <w:b w:val="0"/>
                <w:sz w:val="18"/>
              </w:rPr>
              <w:t>15</w:t>
            </w:r>
          </w:p>
        </w:tc>
        <w:tc>
          <w:tcPr>
            <w:tcW w:type="dxa" w:w="1014"/>
            <w:shd w:val="clear" w:color="auto" w:fill="FFFFFF"/>
          </w:tcPr>
          <w:p>
            <w:r/>
            <w:r>
              <w:rPr>
                <w:b w:val="0"/>
                <w:sz w:val="18"/>
              </w:rPr>
              <w:t>gpt-oss-120b</w:t>
            </w:r>
          </w:p>
        </w:tc>
        <w:tc>
          <w:tcPr>
            <w:tcW w:type="dxa" w:w="1014"/>
            <w:shd w:val="clear" w:color="auto" w:fill="FFFFFF"/>
          </w:tcPr>
          <w:p>
            <w:r/>
            <w:r>
              <w:rPr>
                <w:b w:val="0"/>
                <w:sz w:val="18"/>
              </w:rPr>
              <w:t>0.3915</w:t>
            </w:r>
          </w:p>
        </w:tc>
        <w:tc>
          <w:tcPr>
            <w:tcW w:type="dxa" w:w="1014"/>
            <w:shd w:val="clear" w:color="auto" w:fill="FFFFFF"/>
          </w:tcPr>
          <w:p>
            <w:r/>
            <w:r>
              <w:rPr>
                <w:b w:val="0"/>
                <w:sz w:val="18"/>
              </w:rPr>
              <w:t>0.6362</w:t>
            </w:r>
          </w:p>
        </w:tc>
        <w:tc>
          <w:tcPr>
            <w:tcW w:type="dxa" w:w="1014"/>
            <w:shd w:val="clear" w:color="auto" w:fill="FFFFFF"/>
          </w:tcPr>
          <w:p>
            <w:r/>
            <w:r>
              <w:rPr>
                <w:b w:val="0"/>
                <w:sz w:val="18"/>
              </w:rPr>
              <w:t>0.8101</w:t>
            </w:r>
          </w:p>
        </w:tc>
        <w:tc>
          <w:tcPr>
            <w:tcW w:type="dxa" w:w="1014"/>
            <w:shd w:val="clear" w:color="auto" w:fill="FFFFFF"/>
          </w:tcPr>
          <w:p>
            <w:r/>
            <w:r>
              <w:rPr>
                <w:b w:val="0"/>
                <w:sz w:val="18"/>
              </w:rPr>
              <w:t>0.4222</w:t>
            </w:r>
          </w:p>
        </w:tc>
        <w:tc>
          <w:tcPr>
            <w:tcW w:type="dxa" w:w="1014"/>
            <w:shd w:val="clear" w:color="auto" w:fill="FFFFFF"/>
          </w:tcPr>
          <w:p>
            <w:r/>
            <w:r>
              <w:rPr>
                <w:b w:val="0"/>
                <w:sz w:val="18"/>
              </w:rPr>
              <w:t>0.3359</w:t>
            </w:r>
          </w:p>
        </w:tc>
        <w:tc>
          <w:tcPr>
            <w:tcW w:type="dxa" w:w="1014"/>
            <w:shd w:val="clear" w:color="auto" w:fill="FFFFFF"/>
          </w:tcPr>
          <w:p>
            <w:r/>
            <w:r>
              <w:rPr>
                <w:b w:val="0"/>
                <w:sz w:val="18"/>
              </w:rPr>
              <w:t>12.49</w:t>
            </w:r>
          </w:p>
        </w:tc>
      </w:tr>
      <w:tr>
        <w:tc>
          <w:tcPr>
            <w:tcW w:type="dxa" w:w="1014"/>
            <w:shd w:val="clear" w:color="auto" w:fill="E2EFDA"/>
          </w:tcPr>
          <w:p>
            <w:r/>
            <w:r>
              <w:rPr>
                <w:b w:val="0"/>
                <w:sz w:val="18"/>
              </w:rPr>
              <w:t>Config F (28-ago, híbrido — producción)</w:t>
            </w:r>
          </w:p>
        </w:tc>
        <w:tc>
          <w:tcPr>
            <w:tcW w:type="dxa" w:w="1014"/>
            <w:shd w:val="clear" w:color="auto" w:fill="E2EFDA"/>
          </w:tcPr>
          <w:p>
            <w:r/>
            <w:r>
              <w:rPr>
                <w:b w:val="0"/>
                <w:sz w:val="18"/>
              </w:rPr>
              <w:t>39</w:t>
            </w:r>
          </w:p>
        </w:tc>
        <w:tc>
          <w:tcPr>
            <w:tcW w:type="dxa" w:w="1014"/>
            <w:shd w:val="clear" w:color="auto" w:fill="E2EFDA"/>
          </w:tcPr>
          <w:p>
            <w:r/>
            <w:r>
              <w:rPr>
                <w:b w:val="0"/>
                <w:sz w:val="18"/>
              </w:rPr>
              <w:t>gpt-oss-120b</w:t>
            </w:r>
          </w:p>
        </w:tc>
        <w:tc>
          <w:tcPr>
            <w:tcW w:type="dxa" w:w="1014"/>
            <w:shd w:val="clear" w:color="auto" w:fill="E2EFDA"/>
          </w:tcPr>
          <w:p>
            <w:r/>
            <w:r>
              <w:rPr>
                <w:b w:val="0"/>
                <w:sz w:val="18"/>
              </w:rPr>
              <w:t>0.6173</w:t>
            </w:r>
          </w:p>
        </w:tc>
        <w:tc>
          <w:tcPr>
            <w:tcW w:type="dxa" w:w="1014"/>
            <w:shd w:val="clear" w:color="auto" w:fill="E2EFDA"/>
          </w:tcPr>
          <w:p>
            <w:r/>
            <w:r>
              <w:rPr>
                <w:b w:val="0"/>
                <w:sz w:val="18"/>
              </w:rPr>
              <w:t>0.7876</w:t>
            </w:r>
          </w:p>
        </w:tc>
        <w:tc>
          <w:tcPr>
            <w:tcW w:type="dxa" w:w="1014"/>
            <w:shd w:val="clear" w:color="auto" w:fill="E2EFDA"/>
          </w:tcPr>
          <w:p>
            <w:r/>
            <w:r>
              <w:rPr>
                <w:b w:val="0"/>
                <w:sz w:val="18"/>
              </w:rPr>
              <w:t>0.9396</w:t>
            </w:r>
          </w:p>
        </w:tc>
        <w:tc>
          <w:tcPr>
            <w:tcW w:type="dxa" w:w="1014"/>
            <w:shd w:val="clear" w:color="auto" w:fill="E2EFDA"/>
          </w:tcPr>
          <w:p>
            <w:r/>
            <w:r>
              <w:rPr>
                <w:b w:val="0"/>
                <w:sz w:val="18"/>
              </w:rPr>
              <w:t>0.6368</w:t>
            </w:r>
          </w:p>
        </w:tc>
        <w:tc>
          <w:tcPr>
            <w:tcW w:type="dxa" w:w="1014"/>
            <w:shd w:val="clear" w:color="auto" w:fill="E2EFDA"/>
          </w:tcPr>
          <w:p>
            <w:r/>
            <w:r>
              <w:rPr>
                <w:b w:val="0"/>
                <w:sz w:val="18"/>
              </w:rPr>
              <w:t>0.5608</w:t>
            </w:r>
          </w:p>
        </w:tc>
        <w:tc>
          <w:tcPr>
            <w:tcW w:type="dxa" w:w="1014"/>
            <w:shd w:val="clear" w:color="auto" w:fill="E2EFDA"/>
          </w:tcPr>
          <w:p>
            <w:r/>
            <w:r>
              <w:rPr>
                <w:b w:val="0"/>
                <w:sz w:val="18"/>
              </w:rPr>
              <w:t>16.14</w:t>
            </w:r>
          </w:p>
        </w:tc>
      </w:tr>
      <w:tr>
        <w:tc>
          <w:tcPr>
            <w:tcW w:type="dxa" w:w="1014"/>
            <w:shd w:val="clear" w:color="auto" w:fill="FFFFE0"/>
          </w:tcPr>
          <w:p>
            <w:r/>
            <w:r>
              <w:rPr>
                <w:b w:val="0"/>
                <w:sz w:val="18"/>
              </w:rPr>
              <w:t>Baseline MaternaQA-es (test)</w:t>
            </w:r>
          </w:p>
        </w:tc>
        <w:tc>
          <w:tcPr>
            <w:tcW w:type="dxa" w:w="1014"/>
            <w:shd w:val="clear" w:color="auto" w:fill="FFFFE0"/>
          </w:tcPr>
          <w:p>
            <w:r/>
            <w:r>
              <w:rPr>
                <w:b w:val="0"/>
                <w:sz w:val="18"/>
              </w:rPr>
              <w:t>—</w:t>
            </w:r>
          </w:p>
        </w:tc>
        <w:tc>
          <w:tcPr>
            <w:tcW w:type="dxa" w:w="1014"/>
            <w:shd w:val="clear" w:color="auto" w:fill="FFFFE0"/>
          </w:tcPr>
          <w:p>
            <w:r/>
            <w:r>
              <w:rPr>
                <w:b w:val="0"/>
                <w:sz w:val="18"/>
              </w:rPr>
              <w:t>—</w:t>
            </w:r>
          </w:p>
        </w:tc>
        <w:tc>
          <w:tcPr>
            <w:tcW w:type="dxa" w:w="1014"/>
            <w:shd w:val="clear" w:color="auto" w:fill="FFFFE0"/>
          </w:tcPr>
          <w:p>
            <w:r/>
            <w:r>
              <w:rPr>
                <w:b w:val="0"/>
                <w:sz w:val="18"/>
              </w:rPr>
              <w:t>0.7132</w:t>
            </w:r>
          </w:p>
        </w:tc>
        <w:tc>
          <w:tcPr>
            <w:tcW w:type="dxa" w:w="1014"/>
            <w:shd w:val="clear" w:color="auto" w:fill="FFFFE0"/>
          </w:tcPr>
          <w:p>
            <w:r/>
            <w:r>
              <w:rPr>
                <w:b w:val="0"/>
                <w:sz w:val="18"/>
              </w:rPr>
              <w:t>N/A</w:t>
            </w:r>
          </w:p>
        </w:tc>
        <w:tc>
          <w:tcPr>
            <w:tcW w:type="dxa" w:w="1014"/>
            <w:shd w:val="clear" w:color="auto" w:fill="FFFFE0"/>
          </w:tcPr>
          <w:p>
            <w:r/>
            <w:r>
              <w:rPr>
                <w:b w:val="0"/>
                <w:sz w:val="18"/>
              </w:rPr>
              <w:t>0.5583</w:t>
            </w:r>
          </w:p>
        </w:tc>
        <w:tc>
          <w:tcPr>
            <w:tcW w:type="dxa" w:w="1014"/>
            <w:shd w:val="clear" w:color="auto" w:fill="FFFFE0"/>
          </w:tcPr>
          <w:p>
            <w:r/>
            <w:r>
              <w:rPr>
                <w:b w:val="0"/>
                <w:sz w:val="18"/>
              </w:rPr>
              <w:t>N/A</w:t>
            </w:r>
          </w:p>
        </w:tc>
        <w:tc>
          <w:tcPr>
            <w:tcW w:type="dxa" w:w="1014"/>
            <w:shd w:val="clear" w:color="auto" w:fill="FFFFE0"/>
          </w:tcPr>
          <w:p>
            <w:r/>
            <w:r>
              <w:rPr>
                <w:b w:val="0"/>
                <w:sz w:val="18"/>
              </w:rPr>
              <w:t>N/A</w:t>
            </w:r>
          </w:p>
        </w:tc>
        <w:tc>
          <w:tcPr>
            <w:tcW w:type="dxa" w:w="1014"/>
            <w:shd w:val="clear" w:color="auto" w:fill="FFFFE0"/>
          </w:tcPr>
          <w:p>
            <w:r/>
            <w:r>
              <w:rPr>
                <w:b w:val="0"/>
                <w:sz w:val="18"/>
              </w:rPr>
              <w:t>—</w:t>
            </w:r>
          </w:p>
        </w:tc>
      </w:tr>
    </w:tbl>
    <w:p/>
    <w:p>
      <w:r>
        <w:rPr>
          <w:sz w:val="21"/>
        </w:rPr>
        <w:t>Verde: mejor resultado obtenido (Config F)   |   Amarillo: baseline publicado MaternaQA-es</w:t>
      </w:r>
    </w:p>
    <w:p>
      <w:r>
        <w:rPr>
          <w:sz w:val="21"/>
        </w:rPr>
        <w:t>Config F supera a Config D y al mejor resultado histórico (Config C v3) en las 5 métricas simultáneamente, con una muestra más grande (39 vs 14-15 pares). El salto entre Config D y Config F no es atribuible únicamente al generador — ambos usan gpt-oss-120b — sino al efecto combinado del retrieval híbrido y la eliminación del techo de alcanzabilidad del golden set (ver 6.3 y 6.4, donde se aísla el efecto del retrieval solo, sin juez LLM). answer_relevancy (0.9396) es el valor más alto registrado en toda la serie de evaluaciones del proyecto. faithfulness (0.6173) mejoró sustancialmente pero sigue por debajo del baseline (0.7132) — como se identificó en la Sección 5, sigue siendo un problema de generación (el modelo añade afirmaciones no respaldadas por el contexto) más que de retrieval; ver 6.6.</w:t>
      </w:r>
    </w:p>
    <w:p>
      <w:r>
        <w:rPr>
          <w:b/>
          <w:color w:val="2E75B6"/>
          <w:sz w:val="24"/>
        </w:rPr>
        <w:t>6.3  Retrieval sin juez LLM — Recall@k (nuevo harness, 328 pares)</w:t>
      </w:r>
    </w:p>
    <w:p>
      <w:r>
        <w:rPr>
          <w:sz w:val="21"/>
        </w:rPr>
        <w:t>Para aislar el efecto del retrieval del efecto del generador/juez, y para medir sobre una muestra mucho mayor a los 14-39 pares que permite el presupuesto de tokens de Ragas, se construyó un harness determinista (src/evaluation/retrieval_eval.py): compara el chunk_id-oro de cada pregunta del golden set contra los fragmentos recuperados, sin usar ningún LLM como juez. Cubre los 328 pares completos del split test de MaternaQA-es.</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2E75B6"/>
          </w:tcPr>
          <w:p>
            <w:r/>
            <w:r>
              <w:rPr>
                <w:b/>
                <w:color w:val="FFFFFF"/>
                <w:sz w:val="18"/>
              </w:rPr>
              <w:t>Estrategia</w:t>
            </w:r>
          </w:p>
        </w:tc>
        <w:tc>
          <w:tcPr>
            <w:tcW w:type="dxa" w:w="2280"/>
            <w:shd w:val="clear" w:color="auto" w:fill="2E75B6"/>
          </w:tcPr>
          <w:p>
            <w:r/>
            <w:r>
              <w:rPr>
                <w:b/>
                <w:color w:val="FFFFFF"/>
                <w:sz w:val="18"/>
              </w:rPr>
              <w:t>Recall@5</w:t>
            </w:r>
          </w:p>
        </w:tc>
        <w:tc>
          <w:tcPr>
            <w:tcW w:type="dxa" w:w="2280"/>
            <w:shd w:val="clear" w:color="auto" w:fill="2E75B6"/>
          </w:tcPr>
          <w:p>
            <w:r/>
            <w:r>
              <w:rPr>
                <w:b/>
                <w:color w:val="FFFFFF"/>
                <w:sz w:val="18"/>
              </w:rPr>
              <w:t>Recall@10</w:t>
            </w:r>
          </w:p>
        </w:tc>
        <w:tc>
          <w:tcPr>
            <w:tcW w:type="dxa" w:w="2280"/>
            <w:shd w:val="clear" w:color="auto" w:fill="2E75B6"/>
          </w:tcPr>
          <w:p>
            <w:r/>
            <w:r>
              <w:rPr>
                <w:b/>
                <w:color w:val="FFFFFF"/>
                <w:sz w:val="18"/>
              </w:rPr>
              <w:t>MRR@10</w:t>
            </w:r>
          </w:p>
        </w:tc>
      </w:tr>
      <w:tr>
        <w:tc>
          <w:tcPr>
            <w:tcW w:type="dxa" w:w="2280"/>
            <w:shd w:val="clear" w:color="auto" w:fill="D6E4F0"/>
          </w:tcPr>
          <w:p>
            <w:r/>
            <w:r>
              <w:rPr>
                <w:b w:val="0"/>
                <w:sz w:val="18"/>
              </w:rPr>
              <w:t>Denso (Config D)</w:t>
            </w:r>
          </w:p>
        </w:tc>
        <w:tc>
          <w:tcPr>
            <w:tcW w:type="dxa" w:w="2280"/>
            <w:shd w:val="clear" w:color="auto" w:fill="D6E4F0"/>
          </w:tcPr>
          <w:p>
            <w:r/>
            <w:r>
              <w:rPr>
                <w:b w:val="0"/>
                <w:sz w:val="18"/>
              </w:rPr>
              <w:t>0.838</w:t>
            </w:r>
          </w:p>
        </w:tc>
        <w:tc>
          <w:tcPr>
            <w:tcW w:type="dxa" w:w="2280"/>
            <w:shd w:val="clear" w:color="auto" w:fill="D6E4F0"/>
          </w:tcPr>
          <w:p>
            <w:r/>
            <w:r>
              <w:rPr>
                <w:b w:val="0"/>
                <w:sz w:val="18"/>
              </w:rPr>
              <w:t>0.902</w:t>
            </w:r>
          </w:p>
        </w:tc>
        <w:tc>
          <w:tcPr>
            <w:tcW w:type="dxa" w:w="2280"/>
            <w:shd w:val="clear" w:color="auto" w:fill="D6E4F0"/>
          </w:tcPr>
          <w:p>
            <w:r/>
            <w:r>
              <w:rPr>
                <w:b w:val="0"/>
                <w:sz w:val="18"/>
              </w:rPr>
              <w:t>0.647</w:t>
            </w:r>
          </w:p>
        </w:tc>
      </w:tr>
      <w:tr>
        <w:tc>
          <w:tcPr>
            <w:tcW w:type="dxa" w:w="2280"/>
            <w:shd w:val="clear" w:color="auto" w:fill="FFFFFF"/>
          </w:tcPr>
          <w:p>
            <w:r/>
            <w:r>
              <w:rPr>
                <w:b w:val="0"/>
                <w:sz w:val="18"/>
              </w:rPr>
              <w:t>BM25 solo</w:t>
            </w:r>
          </w:p>
        </w:tc>
        <w:tc>
          <w:tcPr>
            <w:tcW w:type="dxa" w:w="2280"/>
            <w:shd w:val="clear" w:color="auto" w:fill="FFFFFF"/>
          </w:tcPr>
          <w:p>
            <w:r/>
            <w:r>
              <w:rPr>
                <w:b w:val="0"/>
                <w:sz w:val="18"/>
              </w:rPr>
              <w:t>0.860</w:t>
            </w:r>
          </w:p>
        </w:tc>
        <w:tc>
          <w:tcPr>
            <w:tcW w:type="dxa" w:w="2280"/>
            <w:shd w:val="clear" w:color="auto" w:fill="FFFFFF"/>
          </w:tcPr>
          <w:p>
            <w:r/>
            <w:r>
              <w:rPr>
                <w:b w:val="0"/>
                <w:sz w:val="18"/>
              </w:rPr>
              <w:t>0.930</w:t>
            </w:r>
          </w:p>
        </w:tc>
        <w:tc>
          <w:tcPr>
            <w:tcW w:type="dxa" w:w="2280"/>
            <w:shd w:val="clear" w:color="auto" w:fill="FFFFFF"/>
          </w:tcPr>
          <w:p>
            <w:r/>
            <w:r>
              <w:rPr>
                <w:b w:val="0"/>
                <w:sz w:val="18"/>
              </w:rPr>
              <w:t>0.717</w:t>
            </w:r>
          </w:p>
        </w:tc>
      </w:tr>
      <w:tr>
        <w:tc>
          <w:tcPr>
            <w:tcW w:type="dxa" w:w="2280"/>
            <w:shd w:val="clear" w:color="auto" w:fill="E2EFDA"/>
          </w:tcPr>
          <w:p>
            <w:r/>
            <w:r>
              <w:rPr>
                <w:b w:val="0"/>
                <w:sz w:val="18"/>
              </w:rPr>
              <w:t>Híbrido RRF (Config F)</w:t>
            </w:r>
          </w:p>
        </w:tc>
        <w:tc>
          <w:tcPr>
            <w:tcW w:type="dxa" w:w="2280"/>
            <w:shd w:val="clear" w:color="auto" w:fill="E2EFDA"/>
          </w:tcPr>
          <w:p>
            <w:r/>
            <w:r>
              <w:rPr>
                <w:b w:val="0"/>
                <w:sz w:val="18"/>
              </w:rPr>
              <w:t>0.915</w:t>
            </w:r>
          </w:p>
        </w:tc>
        <w:tc>
          <w:tcPr>
            <w:tcW w:type="dxa" w:w="2280"/>
            <w:shd w:val="clear" w:color="auto" w:fill="E2EFDA"/>
          </w:tcPr>
          <w:p>
            <w:r/>
            <w:r>
              <w:rPr>
                <w:b w:val="0"/>
                <w:sz w:val="18"/>
              </w:rPr>
              <w:t>0.960</w:t>
            </w:r>
          </w:p>
        </w:tc>
        <w:tc>
          <w:tcPr>
            <w:tcW w:type="dxa" w:w="2280"/>
            <w:shd w:val="clear" w:color="auto" w:fill="E2EFDA"/>
          </w:tcPr>
          <w:p>
            <w:r/>
            <w:r>
              <w:rPr>
                <w:b w:val="0"/>
                <w:sz w:val="18"/>
              </w:rPr>
              <w:t>0.729</w:t>
            </w:r>
          </w:p>
        </w:tc>
      </w:tr>
    </w:tbl>
    <w:p/>
    <w:p>
      <w:r>
        <w:rPr>
          <w:b/>
          <w:color w:val="2E75B6"/>
          <w:sz w:val="24"/>
        </w:rPr>
        <w:t>6.4  Alcanzabilidad del Golden Set</w:t>
      </w:r>
    </w:p>
    <w:p>
      <w:r>
        <w:rPr>
          <w:sz w:val="21"/>
        </w:rPr>
        <w:t>Antes del 28-ago-2026, solo 238 de los 328 pares (72,6%) tenían su fragmento-oro presente en el índice — los 90 restantes se descartaban en la ingesta por un umbral de calidad clínica (clinical_score ≥ 15) demasiado estricto. Ese techo limitaba cualquier métrica de recall sin importar la calidad del retriever. Bajar el umbral a 8 (re-ingesta incremental, sin reconstruir el índice) cerró la brecha: alcanzabilidad 72,6% → 100%.</w:t>
      </w:r>
    </w:p>
    <w:p>
      <w:r>
        <w:rPr>
          <w:b/>
          <w:color w:val="2E75B6"/>
          <w:sz w:val="24"/>
        </w:rPr>
        <w:t>6.5  Advertencia — Data Leakage Estructural (hallazgo, preexistente)</w:t>
      </w:r>
    </w:p>
    <w:p>
      <w:r>
        <w:rPr>
          <w:sz w:val="21"/>
        </w:rPr>
        <w:t>Se verificó por intersección exacta que los 3 PDFs del split test del corpus LM de MaternaQA-es (GPC-Atención-Prenatal-de-Bajo-Riesgo-2023.pdf, vol831-1.pdf, 4142_stamped.pdf) son exactamente los 3 documentos fuente de los que salen las 328 preguntas del golden set de evaluación. La ingesta de maternaqaes_lm incluye ese split por defecto desde antes de este informe (a umbral 15 ya aportaba 290 fragmentos), así que todos los resultados de Ragas publicados — en este informe y en el anterior — evalúan con el documento fuente de cada pregunta ya presente en el índice. Es una medida honesta de “¿el sistema desplegado encuentra el pasaje correcto dentro de lo que ya indexó?”, pero no de generalización a documentos nunca vistos, y la comparación contra el baseline publicado de MaternaQA-es debe leerse con esa salvedad. No es un problema nuevo introducido en esta actualización — ya existía en Config C v3 y Config D; queda documentado aquí por primera vez.</w:t>
      </w:r>
    </w:p>
    <w:p>
      <w:r>
        <w:rPr>
          <w:b/>
          <w:color w:val="2E75B6"/>
          <w:sz w:val="24"/>
        </w:rPr>
        <w:t>6.6  Estado de las Mejoras Propuestas (Sección 5)</w:t>
      </w:r>
    </w:p>
    <w:p>
      <w:pPr>
        <w:pStyle w:val="ListBullet"/>
      </w:pPr>
      <w:r>
        <w:rPr>
          <w:b/>
          <w:sz w:val="21"/>
        </w:rPr>
        <w:t xml:space="preserve">System prompt más restrictivo: </w:t>
      </w:r>
      <w:r>
        <w:rPr>
          <w:sz w:val="21"/>
        </w:rPr>
        <w:t>NO implementado. Sigue siendo la principal palanca pendiente — faithfulness (0.617) es la métrica más baja de esta actualización y es un problema de generación, no de retrieval.</w:t>
      </w:r>
    </w:p>
    <w:p>
      <w:pPr>
        <w:pStyle w:val="ListBullet"/>
      </w:pPr>
      <w:r>
        <w:rPr>
          <w:b/>
          <w:sz w:val="21"/>
        </w:rPr>
        <w:t xml:space="preserve">Reranker cross-encoder local: </w:t>
      </w:r>
      <w:r>
        <w:rPr>
          <w:sz w:val="21"/>
        </w:rPr>
        <w:t>NO implementado.</w:t>
      </w:r>
    </w:p>
    <w:p>
      <w:pPr>
        <w:pStyle w:val="ListBullet"/>
      </w:pPr>
      <w:r>
        <w:rPr>
          <w:b/>
          <w:sz w:val="21"/>
        </w:rPr>
        <w:t xml:space="preserve">k inicial mayor con reranker: </w:t>
      </w:r>
      <w:r>
        <w:rPr>
          <w:sz w:val="21"/>
        </w:rPr>
        <w:t>PARCIAL. El pool de candidatos previo a la fusión subió a k=20 por lado (denso y BM25) como parte del retrieval híbrido, pero sin reranker — la fusión (RRF o ponderada) cumple un rol de reordenamiento similar, sin el costo de un cross-encoder adicional.</w:t>
      </w:r>
    </w:p>
    <w:p>
      <w:pPr>
        <w:pStyle w:val="ListBullet"/>
      </w:pPr>
      <w:r>
        <w:rPr>
          <w:b/>
          <w:sz w:val="21"/>
        </w:rPr>
        <w:t xml:space="preserve">HyDE (Hypothetical Document Embeddings): </w:t>
      </w:r>
      <w:r>
        <w:rPr>
          <w:sz w:val="21"/>
        </w:rPr>
        <w:t>PROBADO Y DESCARTADO (Config E, 19-ago-2026): sin mejora clara en las métricas y con ~1,3s de latencia adicional por turno — ver foragents/qa_technical.md Q32.</w:t>
      </w:r>
    </w:p>
    <w:p>
      <w:pPr>
        <w:pStyle w:val="ListBullet"/>
      </w:pPr>
      <w:r>
        <w:rPr>
          <w:b/>
          <w:sz w:val="21"/>
        </w:rPr>
        <w:t xml:space="preserve">Corpus obstétrico ampliado: </w:t>
      </w:r>
      <w:r>
        <w:rPr>
          <w:sz w:val="21"/>
        </w:rPr>
        <w:t>PARCIAL. No se agregaron guías OMS/FIGO nuevas, pero se recuperaron 2.156 fragmentos del corpus existente que antes se descartaban por el umbral de calidad (ver 6.4).</w:t>
      </w:r>
    </w:p>
    <w:p>
      <w:pPr>
        <w:pStyle w:val="ListBullet"/>
      </w:pPr>
      <w:r>
        <w:rPr>
          <w:b/>
          <w:sz w:val="21"/>
        </w:rPr>
        <w:t xml:space="preserve">Ampliación de la muestra de evaluación: </w:t>
      </w:r>
      <w:r>
        <w:rPr>
          <w:sz w:val="21"/>
        </w:rPr>
        <w:t>HECHO Y SUPERADO. La propuesta original pedía pasar de 15 a 30 pares; esta actualización evalúa 39 pares con Ragas y 328 con el nuevo harness de retrieval determinista (6.3).</w:t>
      </w:r>
    </w:p>
    <w:p/>
    <w:p>
      <w:r>
        <w:rPr>
          <w:i/>
          <w:sz w:val="18"/>
        </w:rPr>
        <w:t>Fuentes de estos resultados: evaluation_reports/eval_report_configF_20260828_173548.md, evaluation_reports/retrieval_eval_configF_vs_configD_20260828_172110.md, foragents/qa_technical.md (Q35).</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