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666666"/>
          <w:sz w:val="20"/>
          <w:szCs w:val="20"/>
        </w:rPr>
        <w:t xml:space="preserve">PATENT APPLICATION</w:t>
      </w:r>
    </w:p>
    <w:p>
      <w:pPr>
        <w:spacing w:after="60"/>
        <w:jc w:val="center"/>
      </w:pPr>
      <w:r>
        <w:rPr>
          <w:rFonts w:ascii="Times New Roman" w:cs="Times New Roman" w:eastAsia="Times New Roman" w:hAnsi="Times New Roman"/>
          <w:b/>
          <w:bCs/>
          <w:sz w:val="30"/>
          <w:szCs w:val="30"/>
        </w:rPr>
        <w:t xml:space="preserve">SYSTEM AND METHOD FOR ADAPTIVE NEURO-SYMBOLIC</w:t>
      </w:r>
    </w:p>
    <w:p>
      <w:pPr>
        <w:spacing w:after="60"/>
        <w:jc w:val="center"/>
      </w:pPr>
      <w:r>
        <w:rPr>
          <w:rFonts w:ascii="Times New Roman" w:cs="Times New Roman" w:eastAsia="Times New Roman" w:hAnsi="Times New Roman"/>
          <w:b/>
          <w:bCs/>
          <w:sz w:val="30"/>
          <w:szCs w:val="30"/>
        </w:rPr>
        <w:t xml:space="preserve">OPTIMIZATION OF ELECTRIC GRID COMMITMENT</w:t>
      </w:r>
    </w:p>
    <w:p>
      <w:pPr>
        <w:spacing w:after="400"/>
        <w:jc w:val="center"/>
      </w:pPr>
      <w:r>
        <w:rPr>
          <w:rFonts w:ascii="Times New Roman" w:cs="Times New Roman" w:eastAsia="Times New Roman" w:hAnsi="Times New Roman"/>
          <w:color w:val="666666"/>
          <w:sz w:val="20"/>
          <w:szCs w:val="20"/>
        </w:rPr>
        <w:t xml:space="preserve">Applicant: Zengjian Hu  |  Clyde Hill, WA, USA  |  February 2026</w:t>
      </w:r>
    </w:p>
    <w:p>
      <w:pPr>
        <w:pStyle w:val="Heading1"/>
      </w:pPr>
      <w:r>
        <w:t xml:space="preserve">ABSTRACT</w:t>
      </w:r>
    </w:p>
    <w:p>
      <w:pPr>
        <w:spacing w:after="180" w:line="276"/>
      </w:pPr>
      <w:r>
        <w:rPr>
          <w:rFonts w:ascii="Times New Roman" w:cs="Times New Roman" w:eastAsia="Times New Roman" w:hAnsi="Times New Roman"/>
          <w:sz w:val="24"/>
          <w:szCs w:val="24"/>
        </w:rPr>
        <w:t xml:space="preserve">A system and method for accelerating Security-Constrained Unit Commitment (SCUC) using a hybrid neuro-symbolic architecture. A Graph Neural Network encoder transforms a power grid topology and load scenario into per-generator commitment probabilities and a scenario embedding. Confidence parameters derived from these probabilities restrict the search domain of binary commitment variables in a Mixed-Integer Linear Program (MILP), reducing combinatorial complexity. A multi-oracle consensus mechanism combines the GNN predictions with a coarsened mathematical programming oracle to achieve compound speedup. LP-guided hierarchical temporal decomposition enables parallel solution of reduced sub-problems. A Lazy Constraint pool maintains N-1 contingency reliability, and a feasibility recovery loop guarantees valid dispatch under all conditions.</w:t>
      </w:r>
    </w:p>
    <w:p>
      <w:pPr>
        <w:pStyle w:val="Heading1"/>
      </w:pPr>
      <w:r>
        <w:t xml:space="preserve">BACKGROUND</w:t>
      </w:r>
    </w:p>
    <w:p>
      <w:pPr>
        <w:spacing w:after="180" w:line="276"/>
      </w:pPr>
      <w:r>
        <w:rPr>
          <w:rFonts w:ascii="Times New Roman" w:cs="Times New Roman" w:eastAsia="Times New Roman" w:hAnsi="Times New Roman"/>
          <w:sz w:val="24"/>
          <w:szCs w:val="24"/>
        </w:rPr>
        <w:t xml:space="preserve">Security-Constrained Unit Commitment (SCUC) determines which generators must be committed to meet demand subject to transmission constraints. Conventional MILP solvers are computationally expensive, often requiring hours for large grids. Existing machine learning approaches either predict binary solutions directly (risking constraint violations) or use static heuristics that fail during extreme weather events. There is a need for a system that dynamically adjusts its optimization strategy based on scenario-specific volatility.</w:t>
      </w:r>
    </w:p>
    <w:p>
      <w:pPr>
        <w:pStyle w:val="Heading1"/>
      </w:pPr>
      <w:r>
        <w:t xml:space="preserve">DESCRIPTION OF RELATED ART</w:t>
      </w:r>
    </w:p>
    <w:p>
      <w:pPr>
        <w:spacing w:after="180" w:line="276"/>
      </w:pPr>
      <w:r>
        <w:rPr>
          <w:rFonts w:ascii="Times New Roman" w:cs="Times New Roman" w:eastAsia="Times New Roman" w:hAnsi="Times New Roman"/>
          <w:sz w:val="24"/>
          <w:szCs w:val="24"/>
        </w:rPr>
        <w:t xml:space="preserve">Several recent works have explored the use of graph neural networks and machine learning for combinatorial optimization in the context of unit commitment and MILP solving. </w:t>
      </w:r>
      <w:r>
        <w:rPr>
          <w:rFonts w:ascii="Times New Roman" w:cs="Times New Roman" w:eastAsia="Times New Roman" w:hAnsi="Times New Roman"/>
          <w:b/>
          <w:bCs/>
          <w:sz w:val="24"/>
          <w:szCs w:val="24"/>
        </w:rPr>
        <w:t xml:space="preserve">MIP-GNN (Khalil et al., AAAI 2022) </w:t>
      </w:r>
      <w:r>
        <w:rPr>
          <w:rFonts w:ascii="Times New Roman" w:cs="Times New Roman" w:eastAsia="Times New Roman" w:hAnsi="Times New Roman"/>
          <w:sz w:val="24"/>
          <w:szCs w:val="24"/>
        </w:rPr>
        <w:t xml:space="preserve">trains a GNN to predict variable biases for warm-starting a MILP solver. However, MIP-GNN employs static, pre-determined confidence thresholds and does not adapt its fixing aggressiveness to scenario-specific volatility. </w:t>
      </w:r>
      <w:r>
        <w:rPr>
          <w:rFonts w:ascii="Times New Roman" w:cs="Times New Roman" w:eastAsia="Times New Roman" w:hAnsi="Times New Roman"/>
          <w:b/>
          <w:bCs/>
          <w:sz w:val="24"/>
          <w:szCs w:val="24"/>
        </w:rPr>
        <w:t xml:space="preserve">GNN+LNS approaches for UC (2025) </w:t>
      </w:r>
      <w:r>
        <w:rPr>
          <w:rFonts w:ascii="Times New Roman" w:cs="Times New Roman" w:eastAsia="Times New Roman" w:hAnsi="Times New Roman"/>
          <w:sz w:val="24"/>
          <w:szCs w:val="24"/>
        </w:rPr>
        <w:t xml:space="preserve">use a GNN to predict an initial commitment solution and refine it via Large Neighborhood Search. These methods rely on iterative neighborhood destruction and repair rather than a learned policy that configures the solver’s search space prior to invocation. </w:t>
      </w:r>
      <w:r>
        <w:rPr>
          <w:rFonts w:ascii="Times New Roman" w:cs="Times New Roman" w:eastAsia="Times New Roman" w:hAnsi="Times New Roman"/>
          <w:b/>
          <w:bCs/>
          <w:sz w:val="24"/>
          <w:szCs w:val="24"/>
        </w:rPr>
        <w:t xml:space="preserve">Physics-Informed GCN methods (2023) </w:t>
      </w:r>
      <w:r>
        <w:rPr>
          <w:rFonts w:ascii="Times New Roman" w:cs="Times New Roman" w:eastAsia="Times New Roman" w:hAnsi="Times New Roman"/>
          <w:sz w:val="24"/>
          <w:szCs w:val="24"/>
        </w:rPr>
        <w:t xml:space="preserve">apply hierarchical graph convolutional networks as a “neural diving” heuristic for unit commitment. These approaches differ architecturally (hierarchical GCN vs. attention-based encoding with a separate policy agent) and do not include adaptive threshold selection or feasibility recovery mechanisms. </w:t>
      </w:r>
      <w:r>
        <w:rPr>
          <w:rFonts w:ascii="Times New Roman" w:cs="Times New Roman" w:eastAsia="Times New Roman" w:hAnsi="Times New Roman"/>
          <w:b/>
          <w:bCs/>
          <w:sz w:val="24"/>
          <w:szCs w:val="24"/>
        </w:rPr>
        <w:t xml:space="preserve">EP4429070A1 (Hitachi Energy) </w:t>
      </w:r>
      <w:r>
        <w:rPr>
          <w:rFonts w:ascii="Times New Roman" w:cs="Times New Roman" w:eastAsia="Times New Roman" w:hAnsi="Times New Roman"/>
          <w:sz w:val="24"/>
          <w:szCs w:val="24"/>
        </w:rPr>
        <w:t xml:space="preserve">discloses a method for predicting grid inertia from unit commitment outputs but does not address solving the unit commitment problem itself. </w:t>
      </w:r>
      <w:r>
        <w:rPr>
          <w:rFonts w:ascii="Times New Roman" w:cs="Times New Roman" w:eastAsia="Times New Roman" w:hAnsi="Times New Roman"/>
          <w:b/>
          <w:bCs/>
          <w:sz w:val="24"/>
          <w:szCs w:val="24"/>
        </w:rPr>
        <w:t xml:space="preserve">US11894680B2 (Battelle/MISO) </w:t>
      </w:r>
      <w:r>
        <w:rPr>
          <w:rFonts w:ascii="Times New Roman" w:cs="Times New Roman" w:eastAsia="Times New Roman" w:hAnsi="Times New Roman"/>
          <w:sz w:val="24"/>
          <w:szCs w:val="24"/>
        </w:rPr>
        <w:t xml:space="preserve">describes classical optimization techniques for unit commitment without machine learning components. </w:t>
      </w:r>
      <w:r>
        <w:rPr>
          <w:rFonts w:ascii="Times New Roman" w:cs="Times New Roman" w:eastAsia="Times New Roman" w:hAnsi="Times New Roman"/>
          <w:b/>
          <w:bCs/>
          <w:sz w:val="24"/>
          <w:szCs w:val="24"/>
        </w:rPr>
        <w:t xml:space="preserve">Lagrangian relaxation for UC (Ongsakul &amp; Petcharaks, 2004; etc.) </w:t>
      </w:r>
      <w:r>
        <w:rPr>
          <w:rFonts w:ascii="Times New Roman" w:cs="Times New Roman" w:eastAsia="Times New Roman" w:hAnsi="Times New Roman"/>
          <w:sz w:val="24"/>
          <w:szCs w:val="24"/>
        </w:rPr>
        <w:t xml:space="preserve">is a classical decomposition method. Both system-wide and nodal (PTDF-based) variants were investigated and found to achieve only 70% and 50% feasibility respectively.</w:t>
      </w:r>
    </w:p>
    <w:p>
      <w:pPr>
        <w:spacing w:after="180" w:line="276"/>
      </w:pPr>
      <w:r>
        <w:rPr>
          <w:rFonts w:ascii="Times New Roman" w:cs="Times New Roman" w:eastAsia="Times New Roman" w:hAnsi="Times New Roman"/>
          <w:sz w:val="24"/>
          <w:szCs w:val="24"/>
        </w:rPr>
        <w:t xml:space="preserve">The present invention is distinguished from all of the above by the combination of: (1) GNN-derived per-generator commitment probabilities used with confidence parameters to restrict the MILP search domain prior to solving; (2) multi-oracle consensus between heterogeneous oracles (GNN and coarsened MIP) that uses inter-oracle disagreement to identify hard decisions, achieving compound speedup with 100% feasibility; (3) LP-guided hierarchical temporal block decomposition enabling parallel solution of reduced sub-problems; (4) Irreducible Infeasible Subsystem (IIS)-guided feasibility recovery; and (5) integration with lazy N-1 contingency constraint evaluation. No prior art combines these elements.</w:t>
      </w:r>
    </w:p>
    <w:p>
      <w:pPr>
        <w:pStyle w:val="Heading1"/>
      </w:pPr>
      <w:r>
        <w:t xml:space="preserve">SUMMARY OF THE INVENTION</w:t>
      </w:r>
    </w:p>
    <w:p>
      <w:pPr>
        <w:spacing w:after="180" w:line="276"/>
      </w:pPr>
      <w:r>
        <w:rPr>
          <w:rFonts w:ascii="Times New Roman" w:cs="Times New Roman" w:eastAsia="Times New Roman" w:hAnsi="Times New Roman"/>
          <w:sz w:val="24"/>
          <w:szCs w:val="24"/>
        </w:rPr>
        <w:t xml:space="preserve">The invention introduces a neuro-symbolic pre-solve meta-controller for accelerating SCUC. A GNN with a learned message-passing mechanism encodes the grid’s congestion patterns into per-generator commitment probabilities. Confidence parameters—which may be fixed, scenario-adaptive, or determined by a learned policy network—restrict the search domain of binary commitment variables, reducing the combinatorial space presented to the MILP solver. A multi-oracle consensus mechanism combines the GNN with a coarsened MIP oracle, using inter-oracle disagreement to identify hard decisions and fixing agreed-upon variables. LP-guided hierarchical temporal decomposition partitions the planning horizon into parallel sub-problems. The solver operates on a reduced search space, subsequent to all restriction steps, ensuring a sequential pre-solve architecture.</w:t>
      </w:r>
    </w:p>
    <w:p>
      <w:pPr>
        <w:pStyle w:val="Heading1"/>
      </w:pPr>
      <w:r>
        <w:t xml:space="preserve">DRAWINGS</w:t>
      </w:r>
    </w:p>
    <w:p>
      <w:pPr>
        <w:spacing w:before="200"/>
        <w:jc w:val="center"/>
      </w:pPr>
      <w:r>
        <w:drawing>
          <wp:inline distT="0" distB="0" distL="0" distR="0">
            <wp:extent cx="5334000" cy="4267200"/>
            <wp:effectExtent t="0" r="0" b="0" l="0"/>
            <wp:docPr id="1" name="fig1" descr="System architecture block diagram"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267200"/>
                    </a:xfrm>
                    <a:prstGeom prst="rect">
                      <a:avLst/>
                    </a:prstGeom>
                  </pic:spPr>
                </pic:pic>
              </a:graphicData>
            </a:graphic>
          </wp:inline>
        </w:drawing>
      </w:r>
    </w:p>
    <w:p>
      <w:pPr>
        <w:spacing w:before="120" w:after="300"/>
        <w:jc w:val="center"/>
      </w:pPr>
      <w:r>
        <w:rPr>
          <w:rFonts w:ascii="Times New Roman" w:cs="Times New Roman" w:eastAsia="Times New Roman" w:hAnsi="Times New Roman"/>
          <w:b/>
          <w:bCs/>
          <w:sz w:val="22"/>
          <w:szCs w:val="22"/>
        </w:rPr>
        <w:t xml:space="preserve">FIG. 1 — System Architecture</w:t>
      </w:r>
    </w:p>
    <w:p>
      <w:pPr>
        <w:spacing w:before="200"/>
        <w:jc w:val="center"/>
      </w:pPr>
      <w:r>
        <w:drawing>
          <wp:inline distT="0" distB="0" distL="0" distR="0">
            <wp:extent cx="5524500" cy="3562350"/>
            <wp:effectExtent t="0" r="0" b="0" l="0"/>
            <wp:docPr id="1" name="fig2" descr="Static vs adaptive threshold comparis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62350"/>
                    </a:xfrm>
                    <a:prstGeom prst="rect">
                      <a:avLst/>
                    </a:prstGeom>
                  </pic:spPr>
                </pic:pic>
              </a:graphicData>
            </a:graphic>
          </wp:inline>
        </w:drawing>
      </w:r>
    </w:p>
    <w:p>
      <w:pPr>
        <w:spacing w:before="120" w:after="300"/>
        <w:jc w:val="center"/>
      </w:pPr>
      <w:r>
        <w:rPr>
          <w:rFonts w:ascii="Times New Roman" w:cs="Times New Roman" w:eastAsia="Times New Roman" w:hAnsi="Times New Roman"/>
          <w:b/>
          <w:bCs/>
          <w:sz w:val="22"/>
          <w:szCs w:val="22"/>
        </w:rPr>
        <w:t xml:space="preserve">FIG. 2 — Adaptive vs. Static Confidence Parameters</w:t>
      </w:r>
    </w:p>
    <w:p>
      <w:r>
        <w:br w:type="page"/>
      </w:r>
    </w:p>
    <w:p>
      <w:pPr>
        <w:spacing w:before="200"/>
        <w:jc w:val="center"/>
      </w:pPr>
      <w:r>
        <w:drawing>
          <wp:inline distT="0" distB="0" distL="0" distR="0">
            <wp:extent cx="3810000" cy="4629150"/>
            <wp:effectExtent t="0" r="0" b="0" l="0"/>
            <wp:docPr id="1" name="fig3" descr="Feasibility recovery loop flowchart"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629150"/>
                    </a:xfrm>
                    <a:prstGeom prst="rect">
                      <a:avLst/>
                    </a:prstGeom>
                  </pic:spPr>
                </pic:pic>
              </a:graphicData>
            </a:graphic>
          </wp:inline>
        </w:drawing>
      </w:r>
    </w:p>
    <w:p>
      <w:pPr>
        <w:spacing w:before="120" w:after="300"/>
        <w:jc w:val="center"/>
      </w:pPr>
      <w:r>
        <w:rPr>
          <w:rFonts w:ascii="Times New Roman" w:cs="Times New Roman" w:eastAsia="Times New Roman" w:hAnsi="Times New Roman"/>
          <w:b/>
          <w:bCs/>
          <w:sz w:val="22"/>
          <w:szCs w:val="22"/>
        </w:rPr>
        <w:t xml:space="preserve">FIG. 3 — Feasibility Recovery Loop</w:t>
      </w:r>
    </w:p>
    <w:p>
      <w:pPr>
        <w:pStyle w:val="Heading1"/>
      </w:pPr>
      <w:r>
        <w:t xml:space="preserve">DETAILED DESCRIPTION</w:t>
      </w:r>
    </w:p>
    <w:p>
      <w:pPr>
        <w:pStyle w:val="Heading2"/>
      </w:pPr>
      <w:r>
        <w:t xml:space="preserve">A. System Overview (FIG. 1)</w:t>
      </w:r>
    </w:p>
    <w:p>
      <w:pPr>
        <w:spacing w:after="180" w:line="276"/>
      </w:pPr>
      <w:r>
        <w:rPr>
          <w:rFonts w:ascii="Times New Roman" w:cs="Times New Roman" w:eastAsia="Times New Roman" w:hAnsi="Times New Roman"/>
          <w:sz w:val="24"/>
          <w:szCs w:val="24"/>
        </w:rPr>
        <w:t xml:space="preserve">The System operates as a sequential pre-solve meta-controller comprising four modules: Data Ingestion (100), GNN Encoder (102), Confidence Parameter Module (104), and Variable Restriction/Solver Interface (106/108). It does not replace the MILP solver; it reduces the search space presented to it.</w:t>
      </w:r>
    </w:p>
    <w:p>
      <w:pPr>
        <w:pStyle w:val="Heading2"/>
      </w:pPr>
      <w:r>
        <w:t xml:space="preserve">B. Data Ingestion (100)</w:t>
      </w:r>
    </w:p>
    <w:p>
      <w:pPr>
        <w:spacing w:after="180" w:line="276"/>
      </w:pPr>
      <w:r>
        <w:rPr>
          <w:rFonts w:ascii="Times New Roman" w:cs="Times New Roman" w:eastAsia="Times New Roman" w:hAnsi="Times New Roman"/>
          <w:sz w:val="24"/>
          <w:szCs w:val="24"/>
        </w:rPr>
        <w:t xml:space="preserve">Module (100) receives the bus-branch model including: Y-bus admittance matrix, generator parameters (P</w:t>
      </w:r>
      <w:r>
        <w:rPr>
          <w:rFonts w:ascii="Times New Roman" w:cs="Times New Roman" w:eastAsia="Times New Roman" w:hAnsi="Times New Roman"/>
          <w:sz w:val="24"/>
          <w:szCs w:val="24"/>
          <w:vertAlign w:val="subscript"/>
        </w:rPr>
        <w:t xml:space="preserve">min</w:t>
      </w:r>
      <w:r>
        <w:rPr>
          <w:rFonts w:ascii="Times New Roman" w:cs="Times New Roman" w:eastAsia="Times New Roman" w:hAnsi="Times New Roman"/>
          <w:sz w:val="24"/>
          <w:szCs w:val="24"/>
        </w:rPr>
        <w:t xml:space="preserve">, P</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ramp rates, min up/down times, costs), nodal load forecasts, renewable forecasts with uncertainty intervals, and transmission line ratings. These are normalized into a heterogeneous graph G = (V, E) with bus nodes, generator nodes, and transmission line edges, each annotated with feature vectors.</w:t>
      </w:r>
    </w:p>
    <w:p>
      <w:pPr>
        <w:pStyle w:val="Heading2"/>
      </w:pPr>
      <w:r>
        <w:t xml:space="preserve">C. GNN Encoder (102)</w:t>
      </w:r>
    </w:p>
    <w:p>
      <w:pPr>
        <w:spacing w:after="180" w:line="276"/>
      </w:pPr>
      <w:r>
        <w:rPr>
          <w:rFonts w:ascii="Times New Roman" w:cs="Times New Roman" w:eastAsia="Times New Roman" w:hAnsi="Times New Roman"/>
          <w:sz w:val="24"/>
          <w:szCs w:val="24"/>
        </w:rPr>
        <w:t xml:space="preserve">The encoder transforms G into a scenario embedding z ∈ ℝ</w:t>
      </w:r>
      <w:r>
        <w:rPr>
          <w:rFonts w:ascii="Times New Roman" w:cs="Times New Roman" w:eastAsia="Times New Roman" w:hAnsi="Times New Roman"/>
          <w:sz w:val="24"/>
          <w:szCs w:val="24"/>
          <w:vertAlign w:val="superscript"/>
        </w:rPr>
        <w:t xml:space="preserve">d</w:t>
      </w:r>
      <w:r>
        <w:rPr>
          <w:rFonts w:ascii="Times New Roman" w:cs="Times New Roman" w:eastAsia="Times New Roman" w:hAnsi="Times New Roman"/>
          <w:sz w:val="24"/>
          <w:szCs w:val="24"/>
        </w:rPr>
        <w:t xml:space="preserve"> using a message-passing architecture. In the preferred embodiment, a GATv2 network with K message-passing layers and H attention heads (where K ≥ 2 and H ≥ 2) computes congestion-aware node representations via dynamic attention, in which attention coefficients are a function of both source and target node features. A graph-level readout (concatenated mean and max pooling) produces z. The encoder also outputs per-generator commitment probabilities p</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[0,1] via sigmoid projection. Alternative message-passing architectures may be substituted; the invention is not limited to any specific GNN variant. The GNN is trained on historical solved SCUC instances using supervised learning with binary cross-entropy loss. In an alternative embodiment, the GNN may be trained jointly with a policy network via the reward signal described in Section E.</w:t>
      </w:r>
    </w:p>
    <w:p>
      <w:pPr>
        <w:pStyle w:val="Heading2"/>
      </w:pPr>
      <w:r>
        <w:t xml:space="preserve">D. Confidence Parameter Module (104) (FIG. 2)</w:t>
      </w:r>
    </w:p>
    <w:p>
      <w:pPr>
        <w:spacing w:after="180" w:line="276"/>
      </w:pPr>
      <w:r>
        <w:rPr>
          <w:rFonts w:ascii="Times New Roman" w:cs="Times New Roman" w:eastAsia="Times New Roman" w:hAnsi="Times New Roman"/>
          <w:sz w:val="24"/>
          <w:szCs w:val="24"/>
        </w:rPr>
        <w:t xml:space="preserve">The Confidence Parameter Module (104) receives the per-generator commitment probabilities produced by the GNN Encoder and determines one or more confidence parameters for variable restriction. In the preferred embodiment, fixed confidence parameters are selected based on the operator’s risk tolerance and the characteristics of the generator fleet (e.g., τ_high = 0.85, τ_low = 0.15 for normal operations). In an alternative embodiment, the module is a Reinforcement Learning Policy Network receiving the scenario embedding z to output adaptive confidence parameters via a threshold tuple (τ</w:t>
      </w:r>
      <w:r>
        <w:rPr>
          <w:rFonts w:ascii="Times New Roman" w:cs="Times New Roman" w:eastAsia="Times New Roman" w:hAnsi="Times New Roman"/>
          <w:sz w:val="24"/>
          <w:szCs w:val="24"/>
          <w:vertAlign w:val="subscript"/>
        </w:rPr>
        <w:t xml:space="preserve">high</w:t>
      </w:r>
      <w:r>
        <w:rPr>
          <w:rFonts w:ascii="Times New Roman" w:cs="Times New Roman" w:eastAsia="Times New Roman" w:hAnsi="Times New Roman"/>
          <w:sz w:val="24"/>
          <w:szCs w:val="24"/>
        </w:rPr>
        <w:t xml:space="preserve">, τ</w:t>
      </w:r>
      <w:r>
        <w:rPr>
          <w:rFonts w:ascii="Times New Roman" w:cs="Times New Roman" w:eastAsia="Times New Roman" w:hAnsi="Times New Roman"/>
          <w:sz w:val="24"/>
          <w:szCs w:val="24"/>
          <w:vertAlign w:val="subscript"/>
        </w:rPr>
        <w:t xml:space="preserve">low</w:t>
      </w:r>
      <w:r>
        <w:rPr>
          <w:rFonts w:ascii="Times New Roman" w:cs="Times New Roman" w:eastAsia="Times New Roman" w:hAnsi="Times New Roman"/>
          <w:sz w:val="24"/>
          <w:szCs w:val="24"/>
        </w:rPr>
        <w:t xml:space="preserve">) via constrained sigmoids enforcing τ</w:t>
      </w:r>
      <w:r>
        <w:rPr>
          <w:rFonts w:ascii="Times New Roman" w:cs="Times New Roman" w:eastAsia="Times New Roman" w:hAnsi="Times New Roman"/>
          <w:sz w:val="24"/>
          <w:szCs w:val="24"/>
          <w:vertAlign w:val="subscript"/>
        </w:rPr>
        <w:t xml:space="preserve">low</w:t>
      </w:r>
      <w:r>
        <w:rPr>
          <w:rFonts w:ascii="Times New Roman" w:cs="Times New Roman" w:eastAsia="Times New Roman" w:hAnsi="Times New Roman"/>
          <w:sz w:val="24"/>
          <w:szCs w:val="24"/>
        </w:rPr>
        <w:t xml:space="preserve"> &lt; 0.5 &lt; τ</w:t>
      </w:r>
      <w:r>
        <w:rPr>
          <w:rFonts w:ascii="Times New Roman" w:cs="Times New Roman" w:eastAsia="Times New Roman" w:hAnsi="Times New Roman"/>
          <w:sz w:val="24"/>
          <w:szCs w:val="24"/>
          <w:vertAlign w:val="subscript"/>
        </w:rPr>
        <w:t xml:space="preserve">high</w:t>
      </w:r>
      <w:r>
        <w:rPr>
          <w:rFonts w:ascii="Times New Roman" w:cs="Times New Roman" w:eastAsia="Times New Roman" w:hAnsi="Times New Roman"/>
          <w:sz w:val="24"/>
          <w:szCs w:val="24"/>
        </w:rPr>
        <w:t xml:space="preserve">. Alternative embodiments include single thresholds, multi-tier thresholds, or continuous mapping functions.</w:t>
      </w:r>
    </w:p>
    <w:p>
      <w:pPr>
        <w:spacing w:after="180" w:line="276"/>
      </w:pPr>
      <w:r>
        <w:rPr>
          <w:rFonts w:ascii="Times New Roman" w:cs="Times New Roman" w:eastAsia="Times New Roman" w:hAnsi="Times New Roman"/>
          <w:sz w:val="24"/>
          <w:szCs w:val="24"/>
        </w:rPr>
        <w:t xml:space="preserve">In embodiments using a learned policy, in low-volatility scenarios the agent outputs aggressive parameters (τ</w:t>
      </w:r>
      <w:r>
        <w:rPr>
          <w:rFonts w:ascii="Times New Roman" w:cs="Times New Roman" w:eastAsia="Times New Roman" w:hAnsi="Times New Roman"/>
          <w:sz w:val="24"/>
          <w:szCs w:val="24"/>
          <w:vertAlign w:val="subscript"/>
        </w:rPr>
        <w:t xml:space="preserve">high</w:t>
      </w:r>
      <w:r>
        <w:rPr>
          <w:rFonts w:ascii="Times New Roman" w:cs="Times New Roman" w:eastAsia="Times New Roman" w:hAnsi="Times New Roman"/>
          <w:sz w:val="24"/>
          <w:szCs w:val="24"/>
        </w:rPr>
        <w:t xml:space="preserve"> = 0.85, τ</w:t>
      </w:r>
      <w:r>
        <w:rPr>
          <w:rFonts w:ascii="Times New Roman" w:cs="Times New Roman" w:eastAsia="Times New Roman" w:hAnsi="Times New Roman"/>
          <w:sz w:val="24"/>
          <w:szCs w:val="24"/>
          <w:vertAlign w:val="subscript"/>
        </w:rPr>
        <w:t xml:space="preserve">low</w:t>
      </w:r>
      <w:r>
        <w:rPr>
          <w:rFonts w:ascii="Times New Roman" w:cs="Times New Roman" w:eastAsia="Times New Roman" w:hAnsi="Times New Roman"/>
          <w:sz w:val="24"/>
          <w:szCs w:val="24"/>
        </w:rPr>
        <w:t xml:space="preserve"> = 0.15), restricting ~85% of variables. In high-volatility scenarios, conservative parameters (τ</w:t>
      </w:r>
      <w:r>
        <w:rPr>
          <w:rFonts w:ascii="Times New Roman" w:cs="Times New Roman" w:eastAsia="Times New Roman" w:hAnsi="Times New Roman"/>
          <w:sz w:val="24"/>
          <w:szCs w:val="24"/>
          <w:vertAlign w:val="subscript"/>
        </w:rPr>
        <w:t xml:space="preserve">high</w:t>
      </w:r>
      <w:r>
        <w:rPr>
          <w:rFonts w:ascii="Times New Roman" w:cs="Times New Roman" w:eastAsia="Times New Roman" w:hAnsi="Times New Roman"/>
          <w:sz w:val="24"/>
          <w:szCs w:val="24"/>
        </w:rPr>
        <w:t xml:space="preserve"> = 0.99, τ</w:t>
      </w:r>
      <w:r>
        <w:rPr>
          <w:rFonts w:ascii="Times New Roman" w:cs="Times New Roman" w:eastAsia="Times New Roman" w:hAnsi="Times New Roman"/>
          <w:sz w:val="24"/>
          <w:szCs w:val="24"/>
          <w:vertAlign w:val="subscript"/>
        </w:rPr>
        <w:t xml:space="preserve">low</w:t>
      </w:r>
      <w:r>
        <w:rPr>
          <w:rFonts w:ascii="Times New Roman" w:cs="Times New Roman" w:eastAsia="Times New Roman" w:hAnsi="Times New Roman"/>
          <w:sz w:val="24"/>
          <w:szCs w:val="24"/>
        </w:rPr>
        <w:t xml:space="preserve"> = 0.01) leave ~98% of variables free.</w:t>
      </w:r>
    </w:p>
    <w:p>
      <w:pPr>
        <w:spacing w:after="180" w:line="276"/>
      </w:pPr>
      <w:r>
        <w:rPr>
          <w:rFonts w:ascii="Times New Roman" w:cs="Times New Roman" w:eastAsia="Times New Roman" w:hAnsi="Times New Roman"/>
          <w:sz w:val="24"/>
          <w:szCs w:val="24"/>
        </w:rPr>
        <w:t xml:space="preserve">In a further preferred embodiment, the confidence parameters are differentiated by generator type. Baseload generators (e.g., nuclear, large coal), whose commitment status is highly predictable across scenarios, receive more aggressive parameters, allowing the system to fix these units with high confidence. Peaking generators (e.g., gas turbines, fast-start units), whose commitment is more sensitive to load uncertainty and congestion, receive more conservative parameters, preserving solver flexibility for these marginal units. The per-generator-type refinement may be implemented as a set of type-specific threshold offsets applied to the global confidence parameters, or as separate output heads in a learned policy network for each generator class.</w:t>
      </w:r>
    </w:p>
    <w:p>
      <w:pPr>
        <w:pStyle w:val="Heading2"/>
      </w:pPr>
      <w:r>
        <w:t xml:space="preserve">E. Training</w:t>
      </w:r>
    </w:p>
    <w:p>
      <w:pPr>
        <w:spacing w:after="180" w:line="276"/>
      </w:pPr>
      <w:r>
        <w:rPr>
          <w:rFonts w:ascii="Times New Roman" w:cs="Times New Roman" w:eastAsia="Times New Roman" w:hAnsi="Times New Roman"/>
          <w:sz w:val="24"/>
          <w:szCs w:val="24"/>
        </w:rPr>
        <w:t xml:space="preserve">The GNN Encoder is trained via supervised learning on historical solved SCUC instances, using binary cross-entropy loss on per-generator commitment labels augmented with synthetic stress scenarios. In embodiments employing an RL Policy Network, joint training uses reward R = -α·T</w:t>
      </w:r>
      <w:r>
        <w:rPr>
          <w:rFonts w:ascii="Times New Roman" w:cs="Times New Roman" w:eastAsia="Times New Roman" w:hAnsi="Times New Roman"/>
          <w:sz w:val="24"/>
          <w:szCs w:val="24"/>
          <w:vertAlign w:val="subscript"/>
        </w:rPr>
        <w:t xml:space="preserve">solve</w:t>
      </w:r>
      <w:r>
        <w:rPr>
          <w:rFonts w:ascii="Times New Roman" w:cs="Times New Roman" w:eastAsia="Times New Roman" w:hAnsi="Times New Roman"/>
          <w:sz w:val="24"/>
          <w:szCs w:val="24"/>
        </w:rPr>
        <w:t xml:space="preserve"> + β·𝟙</w:t>
      </w:r>
      <w:r>
        <w:rPr>
          <w:rFonts w:ascii="Times New Roman" w:cs="Times New Roman" w:eastAsia="Times New Roman" w:hAnsi="Times New Roman"/>
          <w:sz w:val="24"/>
          <w:szCs w:val="24"/>
          <w:vertAlign w:val="subscript"/>
        </w:rPr>
        <w:t xml:space="preserve">feasible</w:t>
      </w:r>
      <w:r>
        <w:rPr>
          <w:rFonts w:ascii="Times New Roman" w:cs="Times New Roman" w:eastAsia="Times New Roman" w:hAnsi="Times New Roman"/>
          <w:sz w:val="24"/>
          <w:szCs w:val="24"/>
        </w:rPr>
        <w:t xml:space="preserve"> - γ·ΔC, where T</w:t>
      </w:r>
      <w:r>
        <w:rPr>
          <w:rFonts w:ascii="Times New Roman" w:cs="Times New Roman" w:eastAsia="Times New Roman" w:hAnsi="Times New Roman"/>
          <w:sz w:val="24"/>
          <w:szCs w:val="24"/>
          <w:vertAlign w:val="subscript"/>
        </w:rPr>
        <w:t xml:space="preserve">solve</w:t>
      </w:r>
      <w:r>
        <w:rPr>
          <w:rFonts w:ascii="Times New Roman" w:cs="Times New Roman" w:eastAsia="Times New Roman" w:hAnsi="Times New Roman"/>
          <w:sz w:val="24"/>
          <w:szCs w:val="24"/>
        </w:rPr>
        <w:t xml:space="preserve"> is wall-clock time, 𝟙</w:t>
      </w:r>
      <w:r>
        <w:rPr>
          <w:rFonts w:ascii="Times New Roman" w:cs="Times New Roman" w:eastAsia="Times New Roman" w:hAnsi="Times New Roman"/>
          <w:sz w:val="24"/>
          <w:szCs w:val="24"/>
          <w:vertAlign w:val="subscript"/>
        </w:rPr>
        <w:t xml:space="preserve">feasible</w:t>
      </w:r>
      <w:r>
        <w:rPr>
          <w:rFonts w:ascii="Times New Roman" w:cs="Times New Roman" w:eastAsia="Times New Roman" w:hAnsi="Times New Roman"/>
          <w:sz w:val="24"/>
          <w:szCs w:val="24"/>
        </w:rPr>
        <w:t xml:space="preserve"> is a binary feasibility indicator (weighted heavily, e.g. β = 100), and ΔC is the optimality gap relative to the unreduced solution. Curriculum learning may progressively introduce higher-volatility instances. Suitable policy gradient algorithms include REINFORCE, PPO, or contextual bandit formulations.</w:t>
      </w:r>
    </w:p>
    <w:p>
      <w:pPr>
        <w:pStyle w:val="Heading2"/>
      </w:pPr>
      <w:r>
        <w:t xml:space="preserve">F. Variable Restriction (106/108)</w:t>
      </w:r>
    </w:p>
    <w:p>
      <w:pPr>
        <w:spacing w:after="180" w:line="276"/>
      </w:pPr>
      <w:r>
        <w:rPr>
          <w:rFonts w:ascii="Times New Roman" w:cs="Times New Roman" w:eastAsia="Times New Roman" w:hAnsi="Times New Roman"/>
          <w:sz w:val="24"/>
          <w:szCs w:val="24"/>
        </w:rPr>
        <w:t xml:space="preserve">The Wrapper restricts each generator’s binary variable based on p</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and the confidence parameters: p</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&gt; τ</w:t>
      </w:r>
      <w:r>
        <w:rPr>
          <w:rFonts w:ascii="Times New Roman" w:cs="Times New Roman" w:eastAsia="Times New Roman" w:hAnsi="Times New Roman"/>
          <w:sz w:val="24"/>
          <w:szCs w:val="24"/>
          <w:vertAlign w:val="subscript"/>
        </w:rPr>
        <w:t xml:space="preserve">high</w:t>
      </w:r>
      <w:r>
        <w:rPr>
          <w:rFonts w:ascii="Times New Roman" w:cs="Times New Roman" w:eastAsia="Times New Roman" w:hAnsi="Times New Roman"/>
          <w:sz w:val="24"/>
          <w:szCs w:val="24"/>
        </w:rPr>
        <w:t xml:space="preserve"> → restrict toward ON; p</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&lt; τ</w:t>
      </w:r>
      <w:r>
        <w:rPr>
          <w:rFonts w:ascii="Times New Roman" w:cs="Times New Roman" w:eastAsia="Times New Roman" w:hAnsi="Times New Roman"/>
          <w:sz w:val="24"/>
          <w:szCs w:val="24"/>
          <w:vertAlign w:val="subscript"/>
        </w:rPr>
        <w:t xml:space="preserve">low</w:t>
      </w:r>
      <w:r>
        <w:rPr>
          <w:rFonts w:ascii="Times New Roman" w:cs="Times New Roman" w:eastAsia="Times New Roman" w:hAnsi="Times New Roman"/>
          <w:sz w:val="24"/>
          <w:szCs w:val="24"/>
        </w:rPr>
        <w:t xml:space="preserve"> → restrict toward OFF; otherwise leave unrestricted. In the preferred embodiment, restriction is strict fixing via solver bound modification (u</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 1 or 0). Alternatives include bound tightening, branching priorities, or warm-start injection. The reduced MILP is solved subsequent to all restriction steps. The restriction mechanism is solver-agnostic and compatible with a plurality of commercial and open-source MILP solvers.</w:t>
      </w:r>
    </w:p>
    <w:p>
      <w:pPr>
        <w:pStyle w:val="Heading2"/>
      </w:pPr>
      <w:r>
        <w:t xml:space="preserve">G. Lazy Constraints and N-1 Security</w:t>
      </w:r>
    </w:p>
    <w:p>
      <w:pPr>
        <w:spacing w:after="180" w:line="276"/>
      </w:pPr>
      <w:r>
        <w:rPr>
          <w:rFonts w:ascii="Times New Roman" w:cs="Times New Roman" w:eastAsia="Times New Roman" w:hAnsi="Times New Roman"/>
          <w:sz w:val="24"/>
          <w:szCs w:val="24"/>
        </w:rPr>
        <w:t xml:space="preserve">The System uses a lazy constraint callback: the solver proceeds without the full N-1 constraint set. When an incumbent solution is found, it is evaluated against all single-element contingencies via PTDF/LODF computation. Violated constraints are added dynamically, avoiding the combinatorial explosion of pre-loading tens of thousands of contingency constraints.</w:t>
      </w:r>
    </w:p>
    <w:p>
      <w:pPr>
        <w:pStyle w:val="Heading2"/>
      </w:pPr>
      <w:r>
        <w:t xml:space="preserve">H. Feasibility Recovery Loop (FIG. 3)</w:t>
      </w:r>
    </w:p>
    <w:p>
      <w:pPr>
        <w:spacing w:after="180" w:line="276"/>
      </w:pPr>
      <w:r>
        <w:rPr>
          <w:rFonts w:ascii="Times New Roman" w:cs="Times New Roman" w:eastAsia="Times New Roman" w:hAnsi="Times New Roman"/>
          <w:sz w:val="24"/>
          <w:szCs w:val="24"/>
        </w:rPr>
        <w:t xml:space="preserve">If the reduced MILP is infeasible, the System retrieves the Irreducible Infeasible Subsystem (IIS) and performs targeted relaxation: τ’</w:t>
      </w:r>
      <w:r>
        <w:rPr>
          <w:rFonts w:ascii="Times New Roman" w:cs="Times New Roman" w:eastAsia="Times New Roman" w:hAnsi="Times New Roman"/>
          <w:sz w:val="24"/>
          <w:szCs w:val="24"/>
          <w:vertAlign w:val="subscript"/>
        </w:rPr>
        <w:t xml:space="preserve">high</w:t>
      </w:r>
      <w:r>
        <w:rPr>
          <w:rFonts w:ascii="Times New Roman" w:cs="Times New Roman" w:eastAsia="Times New Roman" w:hAnsi="Times New Roman"/>
          <w:sz w:val="24"/>
          <w:szCs w:val="24"/>
        </w:rPr>
        <w:t xml:space="preserve"> = τ</w:t>
      </w:r>
      <w:r>
        <w:rPr>
          <w:rFonts w:ascii="Times New Roman" w:cs="Times New Roman" w:eastAsia="Times New Roman" w:hAnsi="Times New Roman"/>
          <w:sz w:val="24"/>
          <w:szCs w:val="24"/>
          <w:vertAlign w:val="subscript"/>
        </w:rPr>
        <w:t xml:space="preserve">high</w:t>
      </w:r>
      <w:r>
        <w:rPr>
          <w:rFonts w:ascii="Times New Roman" w:cs="Times New Roman" w:eastAsia="Times New Roman" w:hAnsi="Times New Roman"/>
          <w:sz w:val="24"/>
          <w:szCs w:val="24"/>
        </w:rPr>
        <w:t xml:space="preserve"> + δ, τ’</w:t>
      </w:r>
      <w:r>
        <w:rPr>
          <w:rFonts w:ascii="Times New Roman" w:cs="Times New Roman" w:eastAsia="Times New Roman" w:hAnsi="Times New Roman"/>
          <w:sz w:val="24"/>
          <w:szCs w:val="24"/>
          <w:vertAlign w:val="subscript"/>
        </w:rPr>
        <w:t xml:space="preserve">low</w:t>
      </w:r>
      <w:r>
        <w:rPr>
          <w:rFonts w:ascii="Times New Roman" w:cs="Times New Roman" w:eastAsia="Times New Roman" w:hAnsi="Times New Roman"/>
          <w:sz w:val="24"/>
          <w:szCs w:val="24"/>
        </w:rPr>
        <w:t xml:space="preserve"> = τ</w:t>
      </w:r>
      <w:r>
        <w:rPr>
          <w:rFonts w:ascii="Times New Roman" w:cs="Times New Roman" w:eastAsia="Times New Roman" w:hAnsi="Times New Roman"/>
          <w:sz w:val="24"/>
          <w:szCs w:val="24"/>
          <w:vertAlign w:val="subscript"/>
        </w:rPr>
        <w:t xml:space="preserve">low</w:t>
      </w:r>
      <w:r>
        <w:rPr>
          <w:rFonts w:ascii="Times New Roman" w:cs="Times New Roman" w:eastAsia="Times New Roman" w:hAnsi="Times New Roman"/>
          <w:sz w:val="24"/>
          <w:szCs w:val="24"/>
        </w:rPr>
        <w:t xml:space="preserve"> - δ (δ = 0.05 default). IIS-implicated generators are preferentially unrestricted. The loop repeats up to M = 5 iterations. If still infeasible, all restrictions are released and the full MILP is solved as a fallback.</w:t>
      </w:r>
    </w:p>
    <w:p>
      <w:pPr>
        <w:pStyle w:val="Heading2"/>
      </w:pPr>
      <w:r>
        <w:t xml:space="preserve">I. Performance Results</w:t>
      </w:r>
    </w:p>
    <w:p>
      <w:pPr>
        <w:spacing w:after="180" w:line="276"/>
      </w:pPr>
      <w:r>
        <w:t xml:space="preserve">The system was evaluated on the ACTIVSg2000 test system (2,000 buses, 432 generators, 3,206 branches, 24-hour horizon) using the HiGHS solver (v1.11.0) with 4 threads and 0.5% MIP gap tolerance. Baseline solves: 200–410 seconds per scenario.</w:t>
        <w:br/>
        <w:br/>
        <w:t xml:space="preserve">GNN Model Accuracy (45 test scenarios): 90.9% overall commitment accuracy, 89.5% on 273 swing generators, ON-recall 93.5%, calibration ECE=0.021. Per-fuel: CT/Peaker 99.3%, Coal 92.0%, CCGT 88.7%.</w:t>
        <w:br/>
        <w:br/>
        <w:t xml:space="preserve">GNN Warm-Start (10 scenarios, threshold 0.85): 10/10 feasible, 3.8× mean speedup, 0.18% gap. Multi-threshold sweep: 0.85→3.9×/0.14% gap; 0.90→3.2×/0.09%; 0.95→2.2×/0.06%. Hierarchical Decomposition Alone: 3.9× mean, 1.10% gap.</w:t>
        <w:br/>
        <w:br/>
        <w:t xml:space="preserve">Multi-Oracle Consensus Ensemble (10 scenarios): 10/10 feasible, 6.4× wall-clock speedup (median 4.7×), 3.1× CPU-time speedup, 0.79% gap (max 1.34%), zero fallbacks—a 1.7× compound improvement over either technique alone.</w:t>
        <w:br/>
        <w:br/>
        <w:t xml:space="preserve">Comparison with Classical Lagrangian Relaxation: Ensemble 10/10 feasible, 6.4×, 0.79% gap. System-wide LR: 7/10 feasible, 7.2×, 0.21% gap. Nodal LR (PTDF congestion): 5/10 feasible, 5.1×, 1.56% gap. LR’s per-generator decomposition fundamentally cannot capture network coupling; the proposed consensus maintains 100% feasibility (Wilcoxon p &lt; 0.01).</w:t>
        <w:br/>
        <w:br/>
        <w:t xml:space="preserve">Cross-System Generalization: ACTIVSg200 (200 buses): 6.2×, 0.01% gap. ACTIVSg2000: 3.9×, 1.10% gap. case2383wp (Polish, 2,383 buses): 3.7×, 0.00% gap. The method generalizes across grid topologies, generator fleet compositions, and system sizes.</w:t>
      </w:r>
    </w:p>
    <w:p>
      <w:pPr>
        <w:spacing w:after="180" w:line="276"/>
      </w:pPr>
      <w:r>
        <w:t>The lazy N-1 mechanism (Claim 5) has been validated on ACTIVSg2000 using PTDF/LODF-based screening, converging within 2–3 iterations by adding only binding contingency constraints.</w:t>
      </w:r>
    </w:p>
    <w:p>
      <w:pPr>
        <w:pStyle w:val="Heading2"/>
      </w:pPr>
      <w:r>
        <w:t xml:space="preserve">J. LP-Guided Temporal Block Decomposition</w:t>
      </w:r>
    </w:p>
    <w:p>
      <w:pPr>
        <w:spacing w:after="180" w:line="276"/>
      </w:pPr>
      <w:r>
        <w:rPr>
          <w:rFonts w:ascii="Times New Roman" w:cs="Times New Roman" w:eastAsia="Times New Roman" w:hAnsi="Times New Roman"/>
          <w:sz w:val="24"/>
          <w:szCs w:val="24"/>
        </w:rPr>
        <w:t xml:space="preserve">In another embodiment, the system decomposes the planning horizon into overlapping temporal blocks solved as independent MIPs of reduced dimensionality. The full-horizon unit commitment is first solved as a linear programming (LP) relaxation, yielding fractional commitment values that approximate the optimal schedule in a fraction of MIP solve time. The horizon of T periods is partitioned into B overlapping blocks, each with designated core hours and overlap hours sized to accommodate minimum up/down time constraints (e.g., T=24, B=3 with 4-hour overlaps). For each block after the first, LP-derived boundary states (rounded commitments, dispatch levels, cumulative on/off durations) decouple the blocks temporally.</w:t>
      </w:r>
    </w:p>
    <w:p>
      <w:pPr>
        <w:spacing w:after="180" w:line="276"/>
      </w:pPr>
      <w:r>
        <w:rPr>
          <w:rFonts w:ascii="Times New Roman" w:cs="Times New Roman" w:eastAsia="Times New Roman" w:hAnsi="Times New Roman"/>
          <w:sz w:val="24"/>
          <w:szCs w:val="24"/>
        </w:rPr>
        <w:t xml:space="preserve">Each block subproblem uses the same constraints as the full-horizon problem with additional boundary constraints (startup/shutdown linking, ramp continuity, minimum up/down history). Commitment variables are fixed using LP guidance: if the relaxation value exceeds a threshold (e.g., 0.95), the binary is fixed; below the complement, likewise—reducing free variables by approximately 99%. Blocks may be solved in parallel, and the final solution is assembled by concatenating core-hour values. The decomposition may be combined with the GNN warm-start method of Sections C–F.</w:t>
      </w:r>
    </w:p>
    <w:p>
      <w:pPr>
        <w:pStyle w:val="Heading2"/>
      </w:pPr>
      <w:r>
        <w:t xml:space="preserve">K. Multi-Oracle Consensus for Accelerated Unit Commitment</w:t>
      </w:r>
    </w:p>
    <w:p>
      <w:pPr>
        <w:spacing w:after="180" w:line="276"/>
      </w:pPr>
      <w:r>
        <w:rPr>
          <w:rFonts w:ascii="Times New Roman" w:cs="Times New Roman" w:eastAsia="Times New Roman" w:hAnsi="Times New Roman"/>
          <w:sz w:val="24"/>
          <w:szCs w:val="24"/>
        </w:rPr>
        <w:t xml:space="preserve">In a further embodiment, the system employs a multi-oracle consensus mechanism combining the GNN (Section C) with a coarsened mathematical programming oracle. Two independent oracles are evaluated: (i) a Coarsened MIP Oracle that partitions the horizon into K super-periods of H hours each (e.g., K=8, H=3), aggregates parameters, and solves a reduced MIP to yield a coarse commitment schedule; and (ii) the GNN Oracle, which produces per-generator commitment probabilities and confidence scores via Monte Carlo dropout in 1–2 seconds.</w:t>
      </w:r>
    </w:p>
    <w:p>
      <w:pPr>
        <w:spacing w:after="180" w:line="276"/>
      </w:pPr>
      <w:r>
        <w:rPr>
          <w:rFonts w:ascii="Times New Roman" w:cs="Times New Roman" w:eastAsia="Times New Roman" w:hAnsi="Times New Roman"/>
          <w:sz w:val="24"/>
          <w:szCs w:val="24"/>
        </w:rPr>
        <w:t xml:space="preserve">Where both oracles agree with high confidence, the commitment variable is fixed; where they disagree, it is left free for exact optimization. For each temporal block subproblem, a priority chain ensures correctness: (a) boundary constraints enforcing temporal continuity—highest priority; (b) coupling constraints enforcing consistency with the coarsened MIP—second priority; (c) consensus restrictions—third priority, applied only to variables not already fixed. If any block is infeasible after consensus restriction, it is rebuilt without consensus and re-solved. Block solutions are concatenated into a full-horizon schedule.</w:t>
      </w:r>
    </w:p>
    <w:p>
      <w:pPr>
        <w:spacing w:after="180" w:line="276"/>
      </w:pPr>
      <w:r>
        <w:rPr>
          <w:rFonts w:ascii="Times New Roman" w:cs="Times New Roman" w:eastAsia="Times New Roman" w:hAnsi="Times New Roman"/>
          <w:sz w:val="24"/>
          <w:szCs w:val="24"/>
        </w:rPr>
        <w:t xml:space="preserve">The framework admits several variants: (i) GNN-Augmented Hierarchical (~5.9× speedup); (ii) Consensus Ensemble (~6.4× wall-clock speedup, sub-1.4% gap, 100% feasibility—preferred); (iii) GNN-Only (fastest but 60% feasible). A triple-oracle variant incorporating Lagrangian relaxation was investigated but abandoned due to LR’s unreliability (70% and 50% feasible for system-wide and nodal variants respectively).</w:t>
      </w:r>
    </w:p>
    <w:p>
      <w:r>
        <w:br w:type="page"/>
      </w:r>
    </w:p>
    <w:p>
      <w:pPr>
        <w:pStyle w:val="Heading1"/>
      </w:pPr>
      <w:r>
        <w:t xml:space="preserve">CLAIMS</w:t>
      </w:r>
    </w:p>
    <w:p>
      <w:pPr>
        <w:spacing w:after="180" w:line="276"/>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 computer-implemented method for generating a dispatch schedule to physically control a power generation fleet connected to an electrical transmission grid, the method performed by one or more processors and comprising:</w:t>
      </w:r>
    </w:p>
    <w:p>
      <w:pPr>
        <w:spacing w:after="180" w:line="276"/>
        <w:ind w:left="720"/>
      </w:pPr>
      <w:r>
        <w:rPr>
          <w:rFonts w:ascii="Times New Roman" w:cs="Times New Roman" w:eastAsia="Times New Roman" w:hAnsi="Times New Roman"/>
          <w:sz w:val="24"/>
          <w:szCs w:val="24"/>
        </w:rPr>
        <w:t xml:space="preserve">(a) receiving a grid state data set comprising a transmission network topology, generator operational parameters, and load forecast values for a plurality of buses on the electrical transmission grid;</w:t>
      </w:r>
    </w:p>
    <w:p>
      <w:pPr>
        <w:spacing w:after="180" w:line="276"/>
        <w:ind w:left="720"/>
      </w:pPr>
      <w:r>
        <w:rPr>
          <w:rFonts w:ascii="Times New Roman" w:cs="Times New Roman" w:eastAsia="Times New Roman" w:hAnsi="Times New Roman"/>
          <w:sz w:val="24"/>
          <w:szCs w:val="24"/>
        </w:rPr>
        <w:t xml:space="preserve">(b) constructing a graph representation of the electrical transmission grid, wherein nodes represent buses and generators and edges represent transmission lines;</w:t>
      </w:r>
    </w:p>
    <w:p>
      <w:pPr>
        <w:spacing w:after="180" w:line="276"/>
        <w:ind w:left="720"/>
      </w:pPr>
      <w:r>
        <w:rPr>
          <w:rFonts w:ascii="Times New Roman" w:cs="Times New Roman" w:eastAsia="Times New Roman" w:hAnsi="Times New Roman"/>
          <w:sz w:val="24"/>
          <w:szCs w:val="24"/>
        </w:rPr>
        <w:t xml:space="preserve">(c) encoding the graph representation into a scenario embedding vector and per-generator commitment probability values using a trained Graph Neural Network employing a learned message-passing mechanism that aggregates features from neighboring nodes;</w:t>
      </w:r>
    </w:p>
    <w:p>
      <w:pPr>
        <w:spacing w:after="180" w:line="276"/>
        <w:ind w:left="720"/>
      </w:pPr>
      <w:r>
        <w:rPr>
          <w:rFonts w:ascii="Times New Roman" w:cs="Times New Roman" w:eastAsia="Times New Roman" w:hAnsi="Times New Roman"/>
          <w:sz w:val="24"/>
          <w:szCs w:val="24"/>
        </w:rPr>
        <w:t xml:space="preserve">(d) determining a set of one or more confidence parameters for restricting the binary commitment variables based on the per-generator commitment probability values;</w:t>
      </w:r>
    </w:p>
    <w:p>
      <w:pPr>
        <w:spacing w:after="180" w:line="276"/>
        <w:ind w:left="720"/>
      </w:pPr>
      <w:r>
        <w:rPr>
          <w:rFonts w:ascii="Times New Roman" w:cs="Times New Roman" w:eastAsia="Times New Roman" w:hAnsi="Times New Roman"/>
          <w:sz w:val="24"/>
          <w:szCs w:val="24"/>
        </w:rPr>
        <w:t xml:space="preserve">(e) for each generator, selectively restricting a search domain of a binary commitment variable based on the per-generator commitment probability and the confidence parameters, comprising: restricting toward an ON state when the commitment probability exceeds a first confidence parameter; restricting toward an OFF state when the commitment probability is below a second confidence parameter; and leaving unrestricted when between said parameters;</w:t>
      </w:r>
    </w:p>
    <w:p>
      <w:pPr>
        <w:spacing w:after="180" w:line="276"/>
        <w:ind w:left="720"/>
      </w:pPr>
      <w:r>
        <w:rPr>
          <w:rFonts w:ascii="Times New Roman" w:cs="Times New Roman" w:eastAsia="Times New Roman" w:hAnsi="Times New Roman"/>
          <w:sz w:val="24"/>
          <w:szCs w:val="24"/>
        </w:rPr>
        <w:t xml:space="preserve">(f) subsequent to said restricting step, solving a reduced Mixed-Integer Linear Program comprising the restricted and unrestricted binary commitment variables to generate the dispatch schedule; and</w:t>
      </w:r>
    </w:p>
    <w:p>
      <w:pPr>
        <w:spacing w:after="180" w:line="276"/>
        <w:ind w:left="720"/>
      </w:pPr>
      <w:r>
        <w:rPr>
          <w:rFonts w:ascii="Times New Roman" w:cs="Times New Roman" w:eastAsia="Times New Roman" w:hAnsi="Times New Roman"/>
          <w:sz w:val="24"/>
          <w:szCs w:val="24"/>
        </w:rPr>
        <w:t xml:space="preserve">(g) transmitting the dispatch schedule to a grid control system to effectuate physical dispatch of generators.</w:t>
      </w:r>
    </w:p>
    <w:p>
      <w:pPr>
        <w:spacing w:after="180" w:line="276"/>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method of Claim 1, further comprising a feasibility recovery loop comprising: detecting infeasibility of the reduced MILP; widening the confidence parameters to produce a relaxed parameter set; unrestricting one or more previously restricted variables; and re-solving the MILP with the relaxed parameters.</w:t>
      </w:r>
    </w:p>
    <w:p>
      <w:pPr>
        <w:spacing w:after="180" w:line="276"/>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method of Claim 2, further comprising: retrieving an Irreducible Infeasible Subsystem identifying conflicting constraints; and preferentially unrestricting variables associated with generators implicated in the IIS.</w:t>
      </w:r>
    </w:p>
    <w:p>
      <w:pPr>
        <w:spacing w:after="180" w:line="276"/>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The method of Claim 2, wherein the recovery loop executes for a maximum of M iterations, and upon exhaustion all restrictions are released and the full MILP is solved.</w:t>
      </w:r>
    </w:p>
    <w:p>
      <w:pPr>
        <w:spacing w:after="180" w:line="276"/>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The method of Claim 1, further comprising enforcing N-1 contingency constraints via a lazy constraint callback that evaluates incumbent integer solutions against single-element contingency scenarios and dynamically adds violated constraints.</w:t>
      </w:r>
    </w:p>
    <w:p>
      <w:pPr>
        <w:spacing w:after="180" w:line="276"/>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The method of Claim 1, wherein the Graph Neural Network is trained on historical grid data augmented with synthetic stress scenarios using supervised learning with binary cross-entropy loss on per-generator commitment labels.</w:t>
      </w:r>
    </w:p>
    <w:p>
      <w:pPr>
        <w:spacing w:after="180" w:line="276"/>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The method of Claim 1, wherein the message-passing mechanism comprises a Graph Attention Network version 2 (GATv2) with multi-head attention computing coefficients as a function of both source and target node features, and the scenario embedding is generated via global mean and/or max pooling.</w:t>
      </w:r>
    </w:p>
    <w:p>
      <w:pPr>
        <w:spacing w:after="180" w:line="276"/>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The method of Claim 1, further comprising:</w:t>
      </w:r>
    </w:p>
    <w:p>
      <w:pPr>
        <w:spacing w:after="180" w:line="276"/>
        <w:ind w:left="720"/>
      </w:pPr>
      <w:r>
        <w:rPr>
          <w:rFonts w:ascii="Times New Roman" w:cs="Times New Roman" w:eastAsia="Times New Roman" w:hAnsi="Times New Roman"/>
          <w:sz w:val="24"/>
          <w:szCs w:val="24"/>
        </w:rPr>
        <w:t xml:space="preserve">(a) solving the unit commitment problem as a linear programming relaxation over the full planning horizon to obtain fractional commitment values for each generator at each time period;</w:t>
      </w:r>
    </w:p>
    <w:p>
      <w:pPr>
        <w:spacing w:after="180" w:line="276"/>
        <w:ind w:left="720"/>
      </w:pPr>
      <w:r>
        <w:rPr>
          <w:rFonts w:ascii="Times New Roman" w:cs="Times New Roman" w:eastAsia="Times New Roman" w:hAnsi="Times New Roman"/>
          <w:sz w:val="24"/>
          <w:szCs w:val="24"/>
        </w:rPr>
        <w:t xml:space="preserve">(b) partitioning the planning horizon into a plurality of overlapping temporal blocks, each block comprising a set of core hours and overlap hours, wherein the overlap hours provide temporal context for inter-temporal constraints;</w:t>
      </w:r>
    </w:p>
    <w:p>
      <w:pPr>
        <w:spacing w:after="180" w:line="276"/>
        <w:ind w:left="720"/>
      </w:pPr>
      <w:r>
        <w:rPr>
          <w:rFonts w:ascii="Times New Roman" w:cs="Times New Roman" w:eastAsia="Times New Roman" w:hAnsi="Times New Roman"/>
          <w:sz w:val="24"/>
          <w:szCs w:val="24"/>
        </w:rPr>
        <w:t xml:space="preserve">(c) for each temporal block after the first, extracting boundary coupling states from the LP relaxation solution, comprising rounded commitment states, dispatch levels, and cumulative on/off durations at the block boundary;</w:t>
      </w:r>
    </w:p>
    <w:p>
      <w:pPr>
        <w:spacing w:after="180" w:line="276"/>
        <w:ind w:left="720"/>
      </w:pPr>
      <w:r>
        <w:rPr>
          <w:rFonts w:ascii="Times New Roman" w:cs="Times New Roman" w:eastAsia="Times New Roman" w:hAnsi="Times New Roman"/>
          <w:sz w:val="24"/>
          <w:szCs w:val="24"/>
        </w:rPr>
        <w:t xml:space="preserve">(d) constructing an independent mixed-integer subproblem for each temporal block with boundary constraints derived from step (c) and with binary commitment variables fixed according to the LP relaxation values;</w:t>
      </w:r>
    </w:p>
    <w:p>
      <w:pPr>
        <w:spacing w:after="180" w:line="276"/>
        <w:ind w:left="720"/>
      </w:pPr>
      <w:r>
        <w:rPr>
          <w:rFonts w:ascii="Times New Roman" w:cs="Times New Roman" w:eastAsia="Times New Roman" w:hAnsi="Times New Roman"/>
          <w:sz w:val="24"/>
          <w:szCs w:val="24"/>
        </w:rPr>
        <w:t xml:space="preserve">(e) solving the plurality of block subproblems; and</w:t>
      </w:r>
    </w:p>
    <w:p>
      <w:pPr>
        <w:spacing w:after="180" w:line="276"/>
        <w:ind w:left="720"/>
      </w:pPr>
      <w:r>
        <w:rPr>
          <w:rFonts w:ascii="Times New Roman" w:cs="Times New Roman" w:eastAsia="Times New Roman" w:hAnsi="Times New Roman"/>
          <w:sz w:val="24"/>
          <w:szCs w:val="24"/>
        </w:rPr>
        <w:t xml:space="preserve">(f) assembling a full-horizon solution by extracting the core-hour solutions from each block.</w:t>
      </w:r>
    </w:p>
    <w:p>
      <w:pPr>
        <w:spacing w:after="180" w:line="276"/>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A computer-implemented method for generating a dispatch schedule to physically control a power generation fleet connected to an electrical transmission grid, the method performed by one or more processors and comprising:</w:t>
      </w:r>
    </w:p>
    <w:p>
      <w:pPr>
        <w:spacing w:after="180" w:line="276"/>
        <w:ind w:left="720"/>
      </w:pPr>
      <w:r>
        <w:rPr>
          <w:rFonts w:ascii="Times New Roman" w:cs="Times New Roman" w:eastAsia="Times New Roman" w:hAnsi="Times New Roman"/>
          <w:sz w:val="24"/>
          <w:szCs w:val="24"/>
        </w:rPr>
        <w:t xml:space="preserve">(a) receiving a grid state data set comprising a transmission network topology, generator operational parameters, and load forecast values for a plurality of time periods;</w:t>
      </w:r>
    </w:p>
    <w:p>
      <w:pPr>
        <w:spacing w:after="180" w:line="276"/>
        <w:ind w:left="720"/>
      </w:pPr>
      <w:r>
        <w:rPr>
          <w:rFonts w:ascii="Times New Roman" w:cs="Times New Roman" w:eastAsia="Times New Roman" w:hAnsi="Times New Roman"/>
          <w:sz w:val="24"/>
          <w:szCs w:val="24"/>
        </w:rPr>
        <w:t xml:space="preserve">(b) encoding the grid state data set using a trained Graph Neural Network to obtain, for each generator and each time period, a commitment probability and an associated confidence score;</w:t>
      </w:r>
    </w:p>
    <w:p>
      <w:pPr>
        <w:spacing w:after="180" w:line="276"/>
        <w:ind w:left="720"/>
      </w:pPr>
      <w:r>
        <w:rPr>
          <w:rFonts w:ascii="Times New Roman" w:cs="Times New Roman" w:eastAsia="Times New Roman" w:hAnsi="Times New Roman"/>
          <w:sz w:val="24"/>
          <w:szCs w:val="24"/>
        </w:rPr>
        <w:t xml:space="preserve">(c) partitioning the planning horizon into a plurality of super-periods, each super-period comprising a contiguous subset of time periods;</w:t>
      </w:r>
    </w:p>
    <w:p>
      <w:pPr>
        <w:spacing w:after="180" w:line="276"/>
        <w:ind w:left="720"/>
      </w:pPr>
      <w:r>
        <w:rPr>
          <w:rFonts w:ascii="Times New Roman" w:cs="Times New Roman" w:eastAsia="Times New Roman" w:hAnsi="Times New Roman"/>
          <w:sz w:val="24"/>
          <w:szCs w:val="24"/>
        </w:rPr>
        <w:t xml:space="preserve">(d) constructing a coarsened unit commitment problem by aggregating generator parameters and loads to the super-period resolution, and solving the coarsened problem as a mixed-integer program to obtain a first commitment schedule;</w:t>
      </w:r>
    </w:p>
    <w:p>
      <w:pPr>
        <w:spacing w:after="180" w:line="276"/>
        <w:ind w:left="720"/>
      </w:pPr>
      <w:r>
        <w:rPr>
          <w:rFonts w:ascii="Times New Roman" w:cs="Times New Roman" w:eastAsia="Times New Roman" w:hAnsi="Times New Roman"/>
          <w:sz w:val="24"/>
          <w:szCs w:val="24"/>
        </w:rPr>
        <w:t xml:space="preserve">(e) computing a consensus mask identifying generator-time-period pairs where the first commitment schedule from step (d) and the commitment probabilities from step (b) agree and the confidence score exceeds a predetermined threshold;</w:t>
      </w:r>
    </w:p>
    <w:p>
      <w:pPr>
        <w:spacing w:after="180" w:line="276"/>
        <w:ind w:left="720"/>
      </w:pPr>
      <w:r>
        <w:rPr>
          <w:rFonts w:ascii="Times New Roman" w:cs="Times New Roman" w:eastAsia="Times New Roman" w:hAnsi="Times New Roman"/>
          <w:sz w:val="24"/>
          <w:szCs w:val="24"/>
        </w:rPr>
        <w:t xml:space="preserve">(f) constructing a plurality of independent sub-problems, one for each super-period, wherein commitment variables identified by the consensus mask are fixed to the agreed-upon value and remaining commitment variables are left free;</w:t>
      </w:r>
    </w:p>
    <w:p>
      <w:pPr>
        <w:spacing w:after="180" w:line="276"/>
        <w:ind w:left="720"/>
      </w:pPr>
      <w:r>
        <w:rPr>
          <w:rFonts w:ascii="Times New Roman" w:cs="Times New Roman" w:eastAsia="Times New Roman" w:hAnsi="Times New Roman"/>
          <w:sz w:val="24"/>
          <w:szCs w:val="24"/>
        </w:rPr>
        <w:t xml:space="preserve">(g) solving the plurality of sub-problems;</w:t>
      </w:r>
    </w:p>
    <w:p>
      <w:pPr>
        <w:spacing w:after="180" w:line="276"/>
        <w:ind w:left="720"/>
      </w:pPr>
      <w:r>
        <w:rPr>
          <w:rFonts w:ascii="Times New Roman" w:cs="Times New Roman" w:eastAsia="Times New Roman" w:hAnsi="Times New Roman"/>
          <w:sz w:val="24"/>
          <w:szCs w:val="24"/>
        </w:rPr>
        <w:t xml:space="preserve">(h) assembling a full-horizon commitment schedule from the sub-problem solutions; and</w:t>
      </w:r>
    </w:p>
    <w:p>
      <w:pPr>
        <w:spacing w:after="180" w:line="276"/>
        <w:ind w:left="720"/>
      </w:pPr>
      <w:r>
        <w:rPr>
          <w:rFonts w:ascii="Times New Roman" w:cs="Times New Roman" w:eastAsia="Times New Roman" w:hAnsi="Times New Roman"/>
          <w:sz w:val="24"/>
          <w:szCs w:val="24"/>
        </w:rPr>
        <w:t xml:space="preserve">(i) transmitting the dispatch schedule to a grid control system to effectuate physical dispatch of generators.</w:t>
      </w:r>
    </w:p>
    <w:p>
      <w:pPr>
        <w:spacing w:after="180" w:line="276"/>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The method of Claim 9, wherein step (f) further comprises applying a priority chain to each sub-problem such that: (i) boundary constraints enforcing temporal continuity at the interface between adjacent super-periods are applied first and may not be overridden; (ii) coupling constraints enforcing consistency with the first commitment schedule are applied second; and (iii) consensus variable restrictions from step (e) are applied third, only to variables not already fixed by steps (i) or (ii).</w:t>
      </w:r>
    </w:p>
    <w:p>
      <w:pPr>
        <w:spacing w:after="180" w:line="276"/>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The method of Claim 9, further comprising: for each sub-problem that is determined to be infeasible after applying the consensus variable restrictions, rebuilding the sub-problem without the consensus restrictions while retaining the boundary and coupling constraints, and re-solving the rebuilt sub-problem.</w:t>
      </w:r>
    </w:p>
    <w:p>
      <w:pPr>
        <w:spacing w:after="180" w:line="276"/>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The method of Claim 1, wherein the confidence parameters comprise a threshold value, and restricting comprises constraining the variable to a predicted state when the commitment probability’s distance from 0.5 exceeds the threshold.</w:t>
      </w:r>
    </w:p>
    <w:p>
      <w:pPr>
        <w:spacing w:after="180" w:line="276"/>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The method of Claim 1, wherein restricting the search domain comprises constraining the variable to a single integer value by modifying a variable bound via a solver application programming interface.</w:t>
      </w:r>
    </w:p>
    <w:p>
      <w:pPr>
        <w:spacing w:after="180" w:line="276"/>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The method of Claim 1, wherein the confidence parameters are differentiated by generator type, such that baseload generators receive more aggressive parameters and peaking generators receive more conservative parameters.</w:t>
      </w:r>
    </w:p>
    <w:p>
      <w:pPr>
        <w:spacing w:after="180" w:line="276"/>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A system for generating a dispatch schedule to control a physical power generation fleet, comprising:</w:t>
      </w:r>
    </w:p>
    <w:p>
      <w:pPr>
        <w:spacing w:after="180" w:line="276"/>
        <w:ind w:left="720"/>
      </w:pPr>
      <w:r>
        <w:rPr>
          <w:rFonts w:ascii="Times New Roman" w:cs="Times New Roman" w:eastAsia="Times New Roman" w:hAnsi="Times New Roman"/>
          <w:sz w:val="24"/>
          <w:szCs w:val="24"/>
        </w:rPr>
        <w:t xml:space="preserve">one or more processors;</w:t>
      </w:r>
    </w:p>
    <w:p>
      <w:pPr>
        <w:spacing w:after="180" w:line="276"/>
        <w:ind w:left="720"/>
      </w:pPr>
      <w:r>
        <w:rPr>
          <w:rFonts w:ascii="Times New Roman" w:cs="Times New Roman" w:eastAsia="Times New Roman" w:hAnsi="Times New Roman"/>
          <w:sz w:val="24"/>
          <w:szCs w:val="24"/>
        </w:rPr>
        <w:t xml:space="preserve">a memory storing instructions that, when executed, cause the system to: encode a grid state data set into per-generator commitment probabilities using a Graph Neural Network with a learned message-passing mechanism; determine one or more confidence parameters for restricting binary commitment variables based on the per-generator commitment probabilities; selectively restrict a search domain of binary commitment variables based on the probabilities and confidence parameters; subsequent to said restricting, solve a reduced Mixed-Integer Linear Program to produce the dispatch schedule; and output the dispatch schedule for physical dispatch of generators.</w:t>
      </w:r>
    </w:p>
    <w:p>
      <w:pPr>
        <w:spacing w:after="180" w:line="276"/>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The system of Claim 15, further comprising instructions to execute a feasibility recovery loop that iteratively relaxes the confidence parameters and re-solves upon infeasibility.</w:t>
      </w:r>
    </w:p>
    <w:p>
      <w:pPr>
        <w:spacing w:after="180" w:line="276"/>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The system of Claim 15, further comprising instructions to enforce N-1 contingency constraints via a lazy constraint callback evaluating incumbent solutions against single-element contingencies.</w:t>
      </w:r>
    </w:p>
    <w:p>
      <w:pPr>
        <w:spacing w:after="180" w:line="276"/>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A non-transitory computer-readable medium storing instructions that, when executed by one or more processors, cause the processors to: encode a grid state data set into per-generator commitment probabilities using a Graph Neural Network with a learned message-passing mechanism; determine one or more confidence parameters for restricting binary commitment variables based on the per-generator commitment probabilities; selectively restrict a search domain of binary commitment variables; subsequent to said restricting, solve a reduced Mixed-Integer Linear Program to generate a dispatch schedule; and output the dispatch schedule for physical dispatch of a power generation fleet.</w:t>
      </w:r>
    </w:p>
    <w:p>
      <w:pPr>
        <w:spacing w:after="180" w:line="276"/>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A computer-implemented method of training a graph neural network for optimizing dispatch of a physical power generation fleet, comprising:</w:t>
      </w:r>
    </w:p>
    <w:p>
      <w:pPr>
        <w:spacing w:after="180" w:line="276"/>
        <w:ind w:left="720"/>
      </w:pPr>
      <w:r>
        <w:rPr>
          <w:rFonts w:ascii="Times New Roman" w:cs="Times New Roman" w:eastAsia="Times New Roman" w:hAnsi="Times New Roman"/>
          <w:sz w:val="24"/>
          <w:szCs w:val="24"/>
        </w:rPr>
        <w:t xml:space="preserve">(a) obtaining a training corpus of solved SCUC problem instances;</w:t>
      </w:r>
    </w:p>
    <w:p>
      <w:pPr>
        <w:spacing w:after="180" w:line="276"/>
        <w:ind w:left="720"/>
      </w:pPr>
      <w:r>
        <w:rPr>
          <w:rFonts w:ascii="Times New Roman" w:cs="Times New Roman" w:eastAsia="Times New Roman" w:hAnsi="Times New Roman"/>
          <w:sz w:val="24"/>
          <w:szCs w:val="24"/>
        </w:rPr>
        <w:t xml:space="preserve">(b) extracting graph-structured features and binary commitment labels from each instance;</w:t>
      </w:r>
    </w:p>
    <w:p>
      <w:pPr>
        <w:spacing w:after="180" w:line="276"/>
        <w:ind w:left="720"/>
      </w:pPr>
      <w:r>
        <w:rPr>
          <w:rFonts w:ascii="Times New Roman" w:cs="Times New Roman" w:eastAsia="Times New Roman" w:hAnsi="Times New Roman"/>
          <w:sz w:val="24"/>
          <w:szCs w:val="24"/>
        </w:rPr>
        <w:t xml:space="preserve">(c) training the graph neural network with binary cross-entropy loss weighted by generator classification, with swing generators receiving higher weight;</w:t>
      </w:r>
    </w:p>
    <w:p>
      <w:pPr>
        <w:spacing w:after="180" w:line="276"/>
        <w:ind w:left="720"/>
      </w:pPr>
      <w:r>
        <w:rPr>
          <w:rFonts w:ascii="Times New Roman" w:cs="Times New Roman" w:eastAsia="Times New Roman" w:hAnsi="Times New Roman"/>
          <w:sz w:val="24"/>
          <w:szCs w:val="24"/>
        </w:rPr>
        <w:t xml:space="preserve">(d) calibrating prediction confidence via Monte Carlo dropout inference.</w:t>
      </w:r>
    </w:p>
    <w:p>
      <w:pPr>
        <w:spacing w:after="180" w:line="276"/>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A system for generating a dispatch schedule to control a physical power generation fleet, comprising: one or more processors; a memory storing instructions that, when executed, cause the system to perform the method of Claim 9.</w:t>
      </w:r>
    </w:p>
    <w:p>
      <w:r>
        <w:br w:type="page"/>
      </w:r>
    </w:p>
    <w:p>
      <w:pPr>
        <w:pStyle w:val="Heading1"/>
      </w:pPr>
      <w:r>
        <w:t xml:space="preserve">PROSECUTION STRATEGY NOTES</w:t>
      </w:r>
    </w:p>
    <w:p>
      <w:pPr>
        <w:pStyle w:val="Heading2"/>
      </w:pPr>
      <w:r>
        <w:t xml:space="preserve">Section 101 (Eligibility)</w:t>
      </w:r>
    </w:p>
    <w:p>
      <w:pPr>
        <w:spacing w:after="180" w:line="276"/>
      </w:pPr>
      <w:r>
        <w:rPr>
          <w:rFonts w:ascii="Times New Roman" w:cs="Times New Roman" w:eastAsia="Times New Roman" w:hAnsi="Times New Roman"/>
          <w:sz w:val="24"/>
          <w:szCs w:val="24"/>
        </w:rPr>
        <w:t xml:space="preserve">Claims are anchored to physical dispatch of real generators. The invention produces a measurable improvement in solver computation time—not merely an abstract optimization. Claim 19 (training) is rooted in the physical purpose of the trained agent.</w:t>
      </w:r>
    </w:p>
    <w:p>
      <w:pPr>
        <w:pStyle w:val="Heading2"/>
      </w:pPr>
      <w:r>
        <w:t xml:space="preserve">Section 103 (Obviousness)</w:t>
      </w:r>
    </w:p>
    <w:p>
      <w:pPr>
        <w:spacing w:after="180" w:line="276"/>
      </w:pPr>
      <w:r>
        <w:rPr>
          <w:rFonts w:ascii="Times New Roman" w:cs="Times New Roman" w:eastAsia="Times New Roman" w:hAnsi="Times New Roman"/>
          <w:sz w:val="24"/>
          <w:szCs w:val="24"/>
        </w:rPr>
        <w:t xml:space="preserve">The key non-obvious elements are: (1) GNN-derived confidence-based variable restriction as a pre-solve step (Claims 1–8); (2) multi-oracle consensus between heterogeneous oracles (GNN + coarsened MIP) using disagreement-as-uncertainty (Claim 9, now independent—the strongest implemented claim with 6.4× speedup and 100% feasibility); and (3) LP-guided hierarchical temporal decomposition enabling parallel block solves with ~99% variable reduction (Claim 8). Prior art uses static cutoffs or different paradigms entirely. Classical Lagrangian relaxation achieves only 50–70% feasibility due to network-blind decomposition. The multi-oracle consensus is not found in any prior art. See the Description of Related Art for detailed differentiation.</w:t>
      </w:r>
    </w:p>
    <w:p>
      <w:pPr>
        <w:pStyle w:val="Heading2"/>
      </w:pPr>
      <w:r>
        <w:t xml:space="preserve">Distinction from US 11,894,680 (PNNL)</w:t>
      </w:r>
    </w:p>
    <w:p>
      <w:pPr>
        <w:spacing w:after="180" w:line="276"/>
      </w:pPr>
      <w:r>
        <w:rPr>
          <w:rFonts w:ascii="Times New Roman" w:cs="Times New Roman" w:eastAsia="Times New Roman" w:hAnsi="Times New Roman"/>
          <w:sz w:val="24"/>
          <w:szCs w:val="24"/>
        </w:rPr>
        <w:t xml:space="preserve">The “subsequent to said restricting step” limitation in Claims 1, 9, 15, and 18 establishes a sequential pre-solve architecture, distinct from PNNL’s concurrent/parallel ML-MILP approach.</w:t>
      </w:r>
    </w:p>
    <w:p>
      <w:pPr>
        <w:pStyle w:val="Heading2"/>
      </w:pPr>
      <w:r>
        <w:t xml:space="preserve">Design-Around Resistance</w:t>
      </w:r>
    </w:p>
    <w:p>
      <w:pPr>
        <w:spacing w:after="180" w:line="276"/>
      </w:pPr>
      <w:r>
        <w:rPr>
          <w:rFonts w:ascii="Times New Roman" w:cs="Times New Roman" w:eastAsia="Times New Roman" w:hAnsi="Times New Roman"/>
          <w:sz w:val="24"/>
          <w:szCs w:val="24"/>
        </w:rPr>
        <w:t xml:space="preserve">Three independent claims provide layered coverage: Claim 1 covers the GNN-based variable restriction pipeline (any GNN, any confidence parameter scheme, any restriction method); Claim 9 independently covers the multi-oracle consensus mechanism (GNN + coarsened MIP, with priority chain and per-block fallback); Claim 15 mirrors Claim 1 as a system claim, and Claim 20 mirrors Claim 9. RL-based adaptive thresholds are preserved in the description as an alternative embodiment. Claims 8–11 cover hierarchical decomposition and multi-oracle consensus—the strongest implemented claims with demonstrated 6.4× speedup and 100% feasibility.</w:t>
      </w:r>
    </w:p>
    <w:p>
      <w:pPr>
        <w:pStyle w:val="Heading2"/>
      </w:pPr>
      <w:r>
        <w:t xml:space="preserve">Training Claim</w:t>
      </w:r>
    </w:p>
    <w:p>
      <w:pPr>
        <w:spacing w:after="180" w:line="276"/>
      </w:pPr>
      <w:r>
        <w:rPr>
          <w:rFonts w:ascii="Times New Roman" w:cs="Times New Roman" w:eastAsia="Times New Roman" w:hAnsi="Times New Roman"/>
          <w:sz w:val="24"/>
          <w:szCs w:val="24"/>
        </w:rPr>
        <w:t xml:space="preserve">Claim 19 captures the act of training a graph neural network, addressing foreign-training scenarios where only trained weights are exported to U.S. utilities. Provides basis under § 271(a) and § 271(f).</w:t>
      </w:r>
    </w:p>
    <w:p>
      <w:pPr>
        <w:pStyle w:val="Heading2"/>
      </w:pPr>
      <w:r>
        <w:t xml:space="preserve">Provisional Filing Strategy</w:t>
      </w:r>
    </w:p>
    <w:p>
      <w:pPr>
        <w:spacing w:after="180" w:line="276"/>
      </w:pPr>
      <w:r>
        <w:t xml:space="preserve">The current results (ACTIVSg2000 and three additional test systems, 10-scenario benchmarks with real v2 scenario data) are sufficient for a provisional filing to secure priority date. Strongest implemented claims: multi-oracle consensus (Claims 9–11) with 6.4× speedup and 100% feasibility; hierarchical decomposition (Claim 8) with 3.9× standalone speedup across three test systems; lazy N-1 constraints (Claim 5) fully validated. Within the provisional period, the applicant should: (1) implement IIS-based feasibility recovery (Claims 2–4; and (3) generate additional results on 3,000+ bus systems.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PRIVILEGED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ff0999ccbe2158ee90f2ee932867cd5c0eb634e.png"/><Relationship Id="rId9" Type="http://schemas.openxmlformats.org/officeDocument/2006/relationships/image" Target="media/8b0d35e7b690bcde3c9003639f32c3a914e4c1af.png"/><Relationship Id="rId10" Type="http://schemas.openxmlformats.org/officeDocument/2006/relationships/image" Target="media/954ba8a6b54cab10c3a8bdc30c4a4b998fc5e363.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2026-02-12T17:15:27.927Z</dcterms:created>
  <dcterms:modified xsi:type="dcterms:W3CDTF">2026-02-12T17:15:27.929Z</dcterms:modified>
</cp:coreProperties>
</file>

<file path=docProps/custom.xml><?xml version="1.0" encoding="utf-8"?>
<Properties xmlns="http://schemas.openxmlformats.org/officeDocument/2006/custom-properties" xmlns:vt="http://schemas.openxmlformats.org/officeDocument/2006/docPropsVTypes"/>
</file>