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UBP Client Attrition API</w:t>
      </w:r>
    </w:p>
    <w:p>
      <w:pPr>
        <w:jc w:val="center"/>
      </w:pPr>
      <w:r>
        <w:rPr>
          <w:b/>
          <w:color w:val="505050"/>
          <w:sz w:val="28"/>
        </w:rPr>
        <w:t>Rule-Based Product Recommender System</w:t>
      </w:r>
    </w:p>
    <w:p>
      <w:pPr>
        <w:jc w:val="center"/>
      </w:pPr>
      <w:r>
        <w:rPr>
          <w:i/>
          <w:color w:val="787878"/>
          <w:sz w:val="22"/>
        </w:rPr>
        <w:t>Technical Design &amp; Business Logic Documentation</w:t>
      </w:r>
    </w:p>
    <w:p>
      <w:r>
        <w:rPr>
          <w:sz w:val="20"/>
        </w:rPr>
        <w:t>UnionBank of the Philippines  ·  Data Science Team</w:t>
      </w:r>
    </w:p>
    <w:p/>
    <w:p>
      <w:r>
        <w:br w:type="page"/>
      </w:r>
    </w:p>
    <w:p>
      <w:pPr>
        <w:pStyle w:val="Heading1"/>
      </w:pPr>
      <w:r>
        <w:rPr>
          <w:color w:val="1F4E79"/>
        </w:rPr>
        <w:t>1. Overview</w:t>
      </w:r>
    </w:p>
    <w:p>
      <w:r>
        <w:rPr>
          <w:b w:val="0"/>
          <w:i w:val="0"/>
          <w:sz w:val="22"/>
        </w:rPr>
        <w:t>The recommender system is a rule-based engine embedded in the UBP Attrition API. It runs immediately after the attrition prediction pipeline and produces a prioritised list of up to five UnionBank product recommendations for each client. Its purpose is to give relationship managers a concrete, actionable next step based on the client's financial profile and predicted attrition risk.</w:t>
      </w:r>
    </w:p>
    <w:p>
      <w:pPr>
        <w:pStyle w:val="Heading2"/>
      </w:pPr>
      <w:r>
        <w:t>1.1  Why Rule-Based and Not ML-Based?</w:t>
      </w:r>
    </w:p>
    <w:p>
      <w:r>
        <w:rPr>
          <w:b w:val="0"/>
          <w:i w:val="0"/>
          <w:sz w:val="22"/>
        </w:rPr>
        <w:t>The EDA phase of the attrition model project established that all available features carry near-zero discriminative signal for churn prediction (Cohen's d &lt; 0.03 for all continuous features; Cramér's V &lt; 0.01 for all categorical features). The best model achieved a PR-AUC of 0.0495 — approximately equal to the random baseline of 0.05 on a 5% positive-rate dataset.</w:t>
      </w:r>
    </w:p>
    <w:p>
      <w:r>
        <w:rPr>
          <w:b w:val="0"/>
          <w:i w:val="0"/>
          <w:sz w:val="22"/>
        </w:rPr>
        <w:t>Building a second ML model on top of an already weak signal would amplify noise rather than add value. Rule-based logic anchored on observable, auditable client attributes — income, card tier, tenure, engagement — is more interpretable, more defensible to bank governance, and more immediately actionable for a relationship manager.</w:t>
      </w:r>
    </w:p>
    <w:p/>
    <w:p>
      <w:pPr>
        <w:pStyle w:val="Heading1"/>
      </w:pPr>
      <w:r>
        <w:rPr>
          <w:color w:val="1F4E79"/>
        </w:rPr>
        <w:t>2. System Architecture</w:t>
      </w:r>
    </w:p>
    <w:p>
      <w:r>
        <w:rPr>
          <w:b w:val="0"/>
          <w:i w:val="0"/>
          <w:sz w:val="22"/>
        </w:rPr>
        <w:t>The recommender is entirely downstream of the attrition pipeline. It does not affect model training, feature engineering, or serialization. The data flow is:</w:t>
      </w:r>
    </w:p>
    <w:p>
      <w:pPr>
        <w:ind w:left="432" w:right="432"/>
        <w:shd w:fill="F2F2F2"/>
      </w:pPr>
      <w:r>
        <w:rPr>
          <w:rFonts w:ascii="Courier New" w:hAnsi="Courier New"/>
          <w:sz w:val="18"/>
        </w:rPr>
        <w:t>Raw client features (11 fields)</w:t>
        <w:br/>
        <w:t xml:space="preserve">         │</w:t>
        <w:br/>
        <w:t xml:space="preserve">         ▼</w:t>
        <w:br/>
        <w:t xml:space="preserve">  pipeline.predict_proba()        ← sklearn inference pipeline</w:t>
        <w:br/>
        <w:t xml:space="preserve">         │</w:t>
        <w:br/>
        <w:t xml:space="preserve">         ▼</w:t>
        <w:br/>
        <w:t xml:space="preserve">  attrition_probability (float)</w:t>
        <w:br/>
        <w:t xml:space="preserve">         │</w:t>
        <w:br/>
        <w:t xml:space="preserve">         ├── + original raw features</w:t>
        <w:br/>
        <w:t xml:space="preserve">         ▼</w:t>
        <w:br/>
        <w:t xml:space="preserve">  get_recommendations()           ← api/recommender.py</w:t>
        <w:br/>
        <w:t xml:space="preserve">         │</w:t>
        <w:br/>
        <w:t xml:space="preserve">         ▼</w:t>
        <w:br/>
        <w:t xml:space="preserve">  RecommendationBundle            ← returned in API response</w:t>
      </w:r>
    </w:p>
    <w:p>
      <w:r>
        <w:rPr>
          <w:b w:val="0"/>
          <w:i w:val="0"/>
          <w:sz w:val="22"/>
        </w:rPr>
        <w:t>The recommender receives the attrition probability and all 11 raw input features. It derives additional signals internally (income tier, risk tier, life stage, credit utilization) and applies five independent rule layers.</w:t>
      </w:r>
    </w:p>
    <w:p/>
    <w:p>
      <w:pPr>
        <w:pStyle w:val="Heading1"/>
      </w:pPr>
      <w:r>
        <w:rPr>
          <w:color w:val="1F4E79"/>
        </w:rPr>
        <w:t>3. Input Features Used by the Recommender</w:t>
      </w:r>
    </w:p>
    <w:p>
      <w:r>
        <w:rPr>
          <w:b w:val="0"/>
          <w:i w:val="0"/>
          <w:sz w:val="22"/>
        </w:rPr>
        <w:t>The following features are passed from the API to the recommender. Features marked 'Unused' are accepted for forward compatibility but intentionally excluded from rules — the EDA confirmed Cramér's V &lt; 0.01 for Gender, MaritalStatus, EducationLevel, and Country, meaning they have no meaningful relationship with any outcome.</w:t>
      </w:r>
    </w:p>
    <w:p/>
    <w:tbl>
      <w:tblPr>
        <w:tblStyle w:val="TableGrid"/>
        <w:tblW w:type="auto" w:w="0"/>
        <w:jc w:val="left"/>
        <w:tblLook w:firstColumn="1" w:firstRow="1" w:lastColumn="0" w:lastRow="0" w:noHBand="0" w:noVBand="1" w:val="04A0"/>
      </w:tblPr>
      <w:tblGrid>
        <w:gridCol w:w="2196"/>
        <w:gridCol w:w="2196"/>
        <w:gridCol w:w="2196"/>
        <w:gridCol w:w="2196"/>
      </w:tblGrid>
      <w:tr>
        <w:tc>
          <w:tcPr>
            <w:tcW w:type="dxa" w:w="2304"/>
            <w:shd w:fill="1F4E79" w:color="FFFFFF"/>
          </w:tcPr>
          <w:p>
            <w:r>
              <w:rPr>
                <w:b/>
                <w:color w:val="FFFFFF"/>
                <w:sz w:val="20"/>
              </w:rPr>
              <w:t>Feature</w:t>
            </w:r>
          </w:p>
        </w:tc>
        <w:tc>
          <w:tcPr>
            <w:tcW w:type="dxa" w:w="1728"/>
            <w:shd w:fill="1F4E79" w:color="FFFFFF"/>
          </w:tcPr>
          <w:p>
            <w:r>
              <w:rPr>
                <w:b/>
                <w:color w:val="FFFFFF"/>
                <w:sz w:val="20"/>
              </w:rPr>
              <w:t>Type</w:t>
            </w:r>
          </w:p>
        </w:tc>
        <w:tc>
          <w:tcPr>
            <w:tcW w:type="dxa" w:w="1584"/>
            <w:shd w:fill="1F4E79" w:color="FFFFFF"/>
          </w:tcPr>
          <w:p>
            <w:r>
              <w:rPr>
                <w:b/>
                <w:color w:val="FFFFFF"/>
                <w:sz w:val="20"/>
              </w:rPr>
              <w:t>Used In Rules</w:t>
            </w:r>
          </w:p>
        </w:tc>
        <w:tc>
          <w:tcPr>
            <w:tcW w:type="dxa" w:w="3312"/>
            <w:shd w:fill="1F4E79" w:color="FFFFFF"/>
          </w:tcPr>
          <w:p>
            <w:r>
              <w:rPr>
                <w:b/>
                <w:color w:val="FFFFFF"/>
                <w:sz w:val="20"/>
              </w:rPr>
              <w:t>Reason If Unused</w:t>
            </w:r>
          </w:p>
        </w:tc>
      </w:tr>
      <w:tr>
        <w:tc>
          <w:tcPr>
            <w:tcW w:type="dxa" w:w="2304"/>
          </w:tcPr>
          <w:p>
            <w:r>
              <w:rPr>
                <w:sz w:val="20"/>
              </w:rPr>
              <w:t>attrition_probability</w:t>
            </w:r>
          </w:p>
        </w:tc>
        <w:tc>
          <w:tcPr>
            <w:tcW w:type="dxa" w:w="1728"/>
          </w:tcPr>
          <w:p>
            <w:r>
              <w:rPr>
                <w:sz w:val="20"/>
              </w:rPr>
              <w:t>float [0,1]</w:t>
            </w:r>
          </w:p>
        </w:tc>
        <w:tc>
          <w:tcPr>
            <w:tcW w:type="dxa" w:w="1584"/>
          </w:tcPr>
          <w:p>
            <w:r>
              <w:rPr>
                <w:sz w:val="20"/>
              </w:rPr>
              <w:t>Yes</w:t>
            </w:r>
          </w:p>
        </w:tc>
        <w:tc>
          <w:tcPr>
            <w:tcW w:type="dxa" w:w="3312"/>
          </w:tcPr>
          <w:p>
            <w:r>
              <w:rPr>
                <w:sz w:val="20"/>
              </w:rPr>
            </w:r>
          </w:p>
        </w:tc>
      </w:tr>
      <w:tr>
        <w:tc>
          <w:tcPr>
            <w:tcW w:type="dxa" w:w="2304"/>
          </w:tcPr>
          <w:p>
            <w:r>
              <w:rPr>
                <w:sz w:val="20"/>
              </w:rPr>
              <w:t>Age</w:t>
            </w:r>
          </w:p>
        </w:tc>
        <w:tc>
          <w:tcPr>
            <w:tcW w:type="dxa" w:w="1728"/>
          </w:tcPr>
          <w:p>
            <w:r>
              <w:rPr>
                <w:sz w:val="20"/>
              </w:rPr>
              <w:t>int</w:t>
            </w:r>
          </w:p>
        </w:tc>
        <w:tc>
          <w:tcPr>
            <w:tcW w:type="dxa" w:w="1584"/>
          </w:tcPr>
          <w:p>
            <w:r>
              <w:rPr>
                <w:sz w:val="20"/>
              </w:rPr>
              <w:t>Yes</w:t>
            </w:r>
          </w:p>
        </w:tc>
        <w:tc>
          <w:tcPr>
            <w:tcW w:type="dxa" w:w="3312"/>
          </w:tcPr>
          <w:p>
            <w:r>
              <w:rPr>
                <w:sz w:val="20"/>
              </w:rPr>
            </w:r>
          </w:p>
        </w:tc>
      </w:tr>
      <w:tr>
        <w:tc>
          <w:tcPr>
            <w:tcW w:type="dxa" w:w="2304"/>
          </w:tcPr>
          <w:p>
            <w:r>
              <w:rPr>
                <w:sz w:val="20"/>
              </w:rPr>
              <w:t>Income</w:t>
            </w:r>
          </w:p>
        </w:tc>
        <w:tc>
          <w:tcPr>
            <w:tcW w:type="dxa" w:w="1728"/>
          </w:tcPr>
          <w:p>
            <w:r>
              <w:rPr>
                <w:sz w:val="20"/>
              </w:rPr>
              <w:t>float (PHP/yr)</w:t>
            </w:r>
          </w:p>
        </w:tc>
        <w:tc>
          <w:tcPr>
            <w:tcW w:type="dxa" w:w="1584"/>
          </w:tcPr>
          <w:p>
            <w:r>
              <w:rPr>
                <w:sz w:val="20"/>
              </w:rPr>
              <w:t>Yes</w:t>
            </w:r>
          </w:p>
        </w:tc>
        <w:tc>
          <w:tcPr>
            <w:tcW w:type="dxa" w:w="3312"/>
          </w:tcPr>
          <w:p>
            <w:r>
              <w:rPr>
                <w:sz w:val="20"/>
              </w:rPr>
            </w:r>
          </w:p>
        </w:tc>
      </w:tr>
      <w:tr>
        <w:tc>
          <w:tcPr>
            <w:tcW w:type="dxa" w:w="2304"/>
          </w:tcPr>
          <w:p>
            <w:r>
              <w:rPr>
                <w:sz w:val="20"/>
              </w:rPr>
              <w:t>CreditLimit</w:t>
            </w:r>
          </w:p>
        </w:tc>
        <w:tc>
          <w:tcPr>
            <w:tcW w:type="dxa" w:w="1728"/>
          </w:tcPr>
          <w:p>
            <w:r>
              <w:rPr>
                <w:sz w:val="20"/>
              </w:rPr>
              <w:t>float</w:t>
            </w:r>
          </w:p>
        </w:tc>
        <w:tc>
          <w:tcPr>
            <w:tcW w:type="dxa" w:w="1584"/>
          </w:tcPr>
          <w:p>
            <w:r>
              <w:rPr>
                <w:sz w:val="20"/>
              </w:rPr>
              <w:t>Yes</w:t>
            </w:r>
          </w:p>
        </w:tc>
        <w:tc>
          <w:tcPr>
            <w:tcW w:type="dxa" w:w="3312"/>
          </w:tcPr>
          <w:p>
            <w:r>
              <w:rPr>
                <w:sz w:val="20"/>
              </w:rPr>
            </w:r>
          </w:p>
        </w:tc>
      </w:tr>
      <w:tr>
        <w:tc>
          <w:tcPr>
            <w:tcW w:type="dxa" w:w="2304"/>
          </w:tcPr>
          <w:p>
            <w:r>
              <w:rPr>
                <w:sz w:val="20"/>
              </w:rPr>
              <w:t>TotalTransactions</w:t>
            </w:r>
          </w:p>
        </w:tc>
        <w:tc>
          <w:tcPr>
            <w:tcW w:type="dxa" w:w="1728"/>
          </w:tcPr>
          <w:p>
            <w:r>
              <w:rPr>
                <w:sz w:val="20"/>
              </w:rPr>
              <w:t>int</w:t>
            </w:r>
          </w:p>
        </w:tc>
        <w:tc>
          <w:tcPr>
            <w:tcW w:type="dxa" w:w="1584"/>
          </w:tcPr>
          <w:p>
            <w:r>
              <w:rPr>
                <w:sz w:val="20"/>
              </w:rPr>
              <w:t>Yes</w:t>
            </w:r>
          </w:p>
        </w:tc>
        <w:tc>
          <w:tcPr>
            <w:tcW w:type="dxa" w:w="3312"/>
          </w:tcPr>
          <w:p>
            <w:r>
              <w:rPr>
                <w:sz w:val="20"/>
              </w:rPr>
            </w:r>
          </w:p>
        </w:tc>
      </w:tr>
      <w:tr>
        <w:tc>
          <w:tcPr>
            <w:tcW w:type="dxa" w:w="2304"/>
          </w:tcPr>
          <w:p>
            <w:r>
              <w:rPr>
                <w:sz w:val="20"/>
              </w:rPr>
              <w:t>TotalSpend</w:t>
            </w:r>
          </w:p>
        </w:tc>
        <w:tc>
          <w:tcPr>
            <w:tcW w:type="dxa" w:w="1728"/>
          </w:tcPr>
          <w:p>
            <w:r>
              <w:rPr>
                <w:sz w:val="20"/>
              </w:rPr>
              <w:t>float</w:t>
            </w:r>
          </w:p>
        </w:tc>
        <w:tc>
          <w:tcPr>
            <w:tcW w:type="dxa" w:w="1584"/>
          </w:tcPr>
          <w:p>
            <w:r>
              <w:rPr>
                <w:sz w:val="20"/>
              </w:rPr>
              <w:t>Yes</w:t>
            </w:r>
          </w:p>
        </w:tc>
        <w:tc>
          <w:tcPr>
            <w:tcW w:type="dxa" w:w="3312"/>
          </w:tcPr>
          <w:p>
            <w:r>
              <w:rPr>
                <w:sz w:val="20"/>
              </w:rPr>
            </w:r>
          </w:p>
        </w:tc>
      </w:tr>
      <w:tr>
        <w:tc>
          <w:tcPr>
            <w:tcW w:type="dxa" w:w="2304"/>
          </w:tcPr>
          <w:p>
            <w:r>
              <w:rPr>
                <w:sz w:val="20"/>
              </w:rPr>
              <w:t>Tenure</w:t>
            </w:r>
          </w:p>
        </w:tc>
        <w:tc>
          <w:tcPr>
            <w:tcW w:type="dxa" w:w="1728"/>
          </w:tcPr>
          <w:p>
            <w:r>
              <w:rPr>
                <w:sz w:val="20"/>
              </w:rPr>
              <w:t>int (months)</w:t>
            </w:r>
          </w:p>
        </w:tc>
        <w:tc>
          <w:tcPr>
            <w:tcW w:type="dxa" w:w="1584"/>
          </w:tcPr>
          <w:p>
            <w:r>
              <w:rPr>
                <w:sz w:val="20"/>
              </w:rPr>
              <w:t>Yes</w:t>
            </w:r>
          </w:p>
        </w:tc>
        <w:tc>
          <w:tcPr>
            <w:tcW w:type="dxa" w:w="3312"/>
          </w:tcPr>
          <w:p>
            <w:r>
              <w:rPr>
                <w:sz w:val="20"/>
              </w:rPr>
            </w:r>
          </w:p>
        </w:tc>
      </w:tr>
      <w:tr>
        <w:tc>
          <w:tcPr>
            <w:tcW w:type="dxa" w:w="2304"/>
          </w:tcPr>
          <w:p>
            <w:r>
              <w:rPr>
                <w:sz w:val="20"/>
              </w:rPr>
              <w:t>CardType</w:t>
            </w:r>
          </w:p>
        </w:tc>
        <w:tc>
          <w:tcPr>
            <w:tcW w:type="dxa" w:w="1728"/>
          </w:tcPr>
          <w:p>
            <w:r>
              <w:rPr>
                <w:sz w:val="20"/>
              </w:rPr>
              <w:t>str</w:t>
            </w:r>
          </w:p>
        </w:tc>
        <w:tc>
          <w:tcPr>
            <w:tcW w:type="dxa" w:w="1584"/>
          </w:tcPr>
          <w:p>
            <w:r>
              <w:rPr>
                <w:sz w:val="20"/>
              </w:rPr>
              <w:t>Yes</w:t>
            </w:r>
          </w:p>
        </w:tc>
        <w:tc>
          <w:tcPr>
            <w:tcW w:type="dxa" w:w="3312"/>
          </w:tcPr>
          <w:p>
            <w:r>
              <w:rPr>
                <w:sz w:val="20"/>
              </w:rPr>
            </w:r>
          </w:p>
        </w:tc>
      </w:tr>
      <w:tr>
        <w:tc>
          <w:tcPr>
            <w:tcW w:type="dxa" w:w="2304"/>
          </w:tcPr>
          <w:p>
            <w:r>
              <w:rPr>
                <w:sz w:val="20"/>
              </w:rPr>
              <w:t>Gender</w:t>
            </w:r>
          </w:p>
        </w:tc>
        <w:tc>
          <w:tcPr>
            <w:tcW w:type="dxa" w:w="1728"/>
          </w:tcPr>
          <w:p>
            <w:r>
              <w:rPr>
                <w:sz w:val="20"/>
              </w:rPr>
              <w:t>str</w:t>
            </w:r>
          </w:p>
        </w:tc>
        <w:tc>
          <w:tcPr>
            <w:tcW w:type="dxa" w:w="1584"/>
          </w:tcPr>
          <w:p>
            <w:r>
              <w:rPr>
                <w:sz w:val="20"/>
              </w:rPr>
              <w:t>No</w:t>
            </w:r>
          </w:p>
        </w:tc>
        <w:tc>
          <w:tcPr>
            <w:tcW w:type="dxa" w:w="3312"/>
          </w:tcPr>
          <w:p>
            <w:r>
              <w:rPr>
                <w:sz w:val="20"/>
              </w:rPr>
              <w:t>Cramér's V &lt; 0.01 in EDA</w:t>
            </w:r>
          </w:p>
        </w:tc>
      </w:tr>
      <w:tr>
        <w:tc>
          <w:tcPr>
            <w:tcW w:type="dxa" w:w="2304"/>
          </w:tcPr>
          <w:p>
            <w:r>
              <w:rPr>
                <w:sz w:val="20"/>
              </w:rPr>
              <w:t>EducationLevel</w:t>
            </w:r>
          </w:p>
        </w:tc>
        <w:tc>
          <w:tcPr>
            <w:tcW w:type="dxa" w:w="1728"/>
          </w:tcPr>
          <w:p>
            <w:r>
              <w:rPr>
                <w:sz w:val="20"/>
              </w:rPr>
              <w:t>str</w:t>
            </w:r>
          </w:p>
        </w:tc>
        <w:tc>
          <w:tcPr>
            <w:tcW w:type="dxa" w:w="1584"/>
          </w:tcPr>
          <w:p>
            <w:r>
              <w:rPr>
                <w:sz w:val="20"/>
              </w:rPr>
              <w:t>No</w:t>
            </w:r>
          </w:p>
        </w:tc>
        <w:tc>
          <w:tcPr>
            <w:tcW w:type="dxa" w:w="3312"/>
          </w:tcPr>
          <w:p>
            <w:r>
              <w:rPr>
                <w:sz w:val="20"/>
              </w:rPr>
              <w:t>Cramér's V &lt; 0.01 in EDA</w:t>
            </w:r>
          </w:p>
        </w:tc>
      </w:tr>
      <w:tr>
        <w:tc>
          <w:tcPr>
            <w:tcW w:type="dxa" w:w="2304"/>
          </w:tcPr>
          <w:p>
            <w:r>
              <w:rPr>
                <w:sz w:val="20"/>
              </w:rPr>
              <w:t>MaritalStatus</w:t>
            </w:r>
          </w:p>
        </w:tc>
        <w:tc>
          <w:tcPr>
            <w:tcW w:type="dxa" w:w="1728"/>
          </w:tcPr>
          <w:p>
            <w:r>
              <w:rPr>
                <w:sz w:val="20"/>
              </w:rPr>
              <w:t>str</w:t>
            </w:r>
          </w:p>
        </w:tc>
        <w:tc>
          <w:tcPr>
            <w:tcW w:type="dxa" w:w="1584"/>
          </w:tcPr>
          <w:p>
            <w:r>
              <w:rPr>
                <w:sz w:val="20"/>
              </w:rPr>
              <w:t>No</w:t>
            </w:r>
          </w:p>
        </w:tc>
        <w:tc>
          <w:tcPr>
            <w:tcW w:type="dxa" w:w="3312"/>
          </w:tcPr>
          <w:p>
            <w:r>
              <w:rPr>
                <w:sz w:val="20"/>
              </w:rPr>
              <w:t>Cramér's V &lt; 0.01 in EDA</w:t>
            </w:r>
          </w:p>
        </w:tc>
      </w:tr>
      <w:tr>
        <w:tc>
          <w:tcPr>
            <w:tcW w:type="dxa" w:w="2304"/>
          </w:tcPr>
          <w:p>
            <w:r>
              <w:rPr>
                <w:sz w:val="20"/>
              </w:rPr>
              <w:t>Country</w:t>
            </w:r>
          </w:p>
        </w:tc>
        <w:tc>
          <w:tcPr>
            <w:tcW w:type="dxa" w:w="1728"/>
          </w:tcPr>
          <w:p>
            <w:r>
              <w:rPr>
                <w:sz w:val="20"/>
              </w:rPr>
              <w:t>str</w:t>
            </w:r>
          </w:p>
        </w:tc>
        <w:tc>
          <w:tcPr>
            <w:tcW w:type="dxa" w:w="1584"/>
          </w:tcPr>
          <w:p>
            <w:r>
              <w:rPr>
                <w:sz w:val="20"/>
              </w:rPr>
              <w:t>No</w:t>
            </w:r>
          </w:p>
        </w:tc>
        <w:tc>
          <w:tcPr>
            <w:tcW w:type="dxa" w:w="3312"/>
          </w:tcPr>
          <w:p>
            <w:r>
              <w:rPr>
                <w:sz w:val="20"/>
              </w:rPr>
              <w:t>Target-encoded SD = 0.0068</w:t>
            </w:r>
          </w:p>
        </w:tc>
      </w:tr>
    </w:tbl>
    <w:p/>
    <w:p>
      <w:pPr>
        <w:pStyle w:val="Heading1"/>
      </w:pPr>
      <w:r>
        <w:rPr>
          <w:color w:val="1F4E79"/>
        </w:rPr>
        <w:t>4. Derived Signals</w:t>
      </w:r>
    </w:p>
    <w:p>
      <w:r>
        <w:rPr>
          <w:b w:val="0"/>
          <w:i w:val="0"/>
          <w:sz w:val="22"/>
        </w:rPr>
        <w:t>Before the rule layers execute, four signals are derived from the raw inputs. These are computed at runtime — not features from the ML pipeline.</w:t>
      </w:r>
    </w:p>
    <w:p/>
    <w:tbl>
      <w:tblPr>
        <w:tblStyle w:val="TableGrid"/>
        <w:tblW w:type="auto" w:w="0"/>
        <w:jc w:val="left"/>
        <w:tblLook w:firstColumn="1" w:firstRow="1" w:lastColumn="0" w:lastRow="0" w:noHBand="0" w:noVBand="1" w:val="04A0"/>
      </w:tblPr>
      <w:tblGrid>
        <w:gridCol w:w="2928"/>
        <w:gridCol w:w="2928"/>
        <w:gridCol w:w="2928"/>
      </w:tblGrid>
      <w:tr>
        <w:tc>
          <w:tcPr>
            <w:tcW w:type="dxa" w:w="2016"/>
            <w:shd w:fill="1F4E79" w:color="FFFFFF"/>
          </w:tcPr>
          <w:p>
            <w:r>
              <w:rPr>
                <w:b/>
                <w:color w:val="FFFFFF"/>
                <w:sz w:val="20"/>
              </w:rPr>
              <w:t>Derived Signal</w:t>
            </w:r>
          </w:p>
        </w:tc>
        <w:tc>
          <w:tcPr>
            <w:tcW w:type="dxa" w:w="4032"/>
            <w:shd w:fill="1F4E79" w:color="FFFFFF"/>
          </w:tcPr>
          <w:p>
            <w:r>
              <w:rPr>
                <w:b/>
                <w:color w:val="FFFFFF"/>
                <w:sz w:val="20"/>
              </w:rPr>
              <w:t>Formula / Logic</w:t>
            </w:r>
          </w:p>
        </w:tc>
        <w:tc>
          <w:tcPr>
            <w:tcW w:type="dxa" w:w="2880"/>
            <w:shd w:fill="1F4E79" w:color="FFFFFF"/>
          </w:tcPr>
          <w:p>
            <w:r>
              <w:rPr>
                <w:b/>
                <w:color w:val="FFFFFF"/>
                <w:sz w:val="20"/>
              </w:rPr>
              <w:t>Purpose</w:t>
            </w:r>
          </w:p>
        </w:tc>
      </w:tr>
      <w:tr>
        <w:tc>
          <w:tcPr>
            <w:tcW w:type="dxa" w:w="2016"/>
          </w:tcPr>
          <w:p>
            <w:r>
              <w:rPr>
                <w:sz w:val="20"/>
              </w:rPr>
              <w:t>income_tier</w:t>
            </w:r>
          </w:p>
        </w:tc>
        <w:tc>
          <w:tcPr>
            <w:tcW w:type="dxa" w:w="4032"/>
          </w:tcPr>
          <w:p>
            <w:r>
              <w:rPr>
                <w:sz w:val="20"/>
              </w:rPr>
              <w:t>Entry (&lt;360k) / Standard (360k–1.2M) / Premium (1.2M–3M) / Wealth (&gt;3M)</w:t>
            </w:r>
          </w:p>
        </w:tc>
        <w:tc>
          <w:tcPr>
            <w:tcW w:type="dxa" w:w="2880"/>
          </w:tcPr>
          <w:p>
            <w:r>
              <w:rPr>
                <w:sz w:val="20"/>
              </w:rPr>
              <w:t>Primary driver for product eligibility and cross-sell targeting</w:t>
            </w:r>
          </w:p>
        </w:tc>
      </w:tr>
      <w:tr>
        <w:tc>
          <w:tcPr>
            <w:tcW w:type="dxa" w:w="2016"/>
          </w:tcPr>
          <w:p>
            <w:r>
              <w:rPr>
                <w:sz w:val="20"/>
              </w:rPr>
              <w:t>risk_tier</w:t>
            </w:r>
          </w:p>
        </w:tc>
        <w:tc>
          <w:tcPr>
            <w:tcW w:type="dxa" w:w="4032"/>
          </w:tcPr>
          <w:p>
            <w:r>
              <w:rPr>
                <w:sz w:val="20"/>
              </w:rPr>
              <w:t>Critical (≥0.65) / High (≥0.45) / Moderate (≥0.25) / Low (&lt;0.25)</w:t>
            </w:r>
          </w:p>
        </w:tc>
        <w:tc>
          <w:tcPr>
            <w:tcW w:type="dxa" w:w="2880"/>
          </w:tcPr>
          <w:p>
            <w:r>
              <w:rPr>
                <w:sz w:val="20"/>
              </w:rPr>
              <w:t>Overlay for retention rule activation. Acknowledged as weak signal.</w:t>
            </w:r>
          </w:p>
        </w:tc>
      </w:tr>
      <w:tr>
        <w:tc>
          <w:tcPr>
            <w:tcW w:type="dxa" w:w="2016"/>
          </w:tcPr>
          <w:p>
            <w:r>
              <w:rPr>
                <w:sz w:val="20"/>
              </w:rPr>
              <w:t>utilization</w:t>
            </w:r>
          </w:p>
        </w:tc>
        <w:tc>
          <w:tcPr>
            <w:tcW w:type="dxa" w:w="4032"/>
          </w:tcPr>
          <w:p>
            <w:r>
              <w:rPr>
                <w:sz w:val="20"/>
              </w:rPr>
              <w:t>TotalSpend / CreditLimit</w:t>
            </w:r>
          </w:p>
        </w:tc>
        <w:tc>
          <w:tcPr>
            <w:tcW w:type="dxa" w:w="2880"/>
          </w:tcPr>
          <w:p>
            <w:r>
              <w:rPr>
                <w:sz w:val="20"/>
              </w:rPr>
              <w:t>Engagement health indicator. &lt; 15% = underusing; &gt; 85% = credit stress.</w:t>
            </w:r>
          </w:p>
        </w:tc>
      </w:tr>
      <w:tr>
        <w:tc>
          <w:tcPr>
            <w:tcW w:type="dxa" w:w="2016"/>
          </w:tcPr>
          <w:p>
            <w:r>
              <w:rPr>
                <w:sz w:val="20"/>
              </w:rPr>
              <w:t>life_stage</w:t>
            </w:r>
          </w:p>
        </w:tc>
        <w:tc>
          <w:tcPr>
            <w:tcW w:type="dxa" w:w="4032"/>
          </w:tcPr>
          <w:p>
            <w:r>
              <w:rPr>
                <w:sz w:val="20"/>
              </w:rPr>
              <w:t>Age &lt; 30: Young Professional; 30–39: Early Career; 40–54: Mid Career; 55+: Pre-Retirement</w:t>
            </w:r>
          </w:p>
        </w:tc>
        <w:tc>
          <w:tcPr>
            <w:tcW w:type="dxa" w:w="2880"/>
          </w:tcPr>
          <w:p>
            <w:r>
              <w:rPr>
                <w:sz w:val="20"/>
              </w:rPr>
              <w:t>Drives life-stage product recommendations (EON, home loan, BancAssurance)</w:t>
            </w:r>
          </w:p>
        </w:tc>
      </w:tr>
    </w:tbl>
    <w:p/>
    <w:p>
      <w:pPr>
        <w:pStyle w:val="Heading1"/>
      </w:pPr>
      <w:r>
        <w:rPr>
          <w:color w:val="1F4E79"/>
        </w:rPr>
        <w:t>5. Income Tier Thresholds</w:t>
      </w:r>
    </w:p>
    <w:p>
      <w:r>
        <w:rPr>
          <w:b w:val="0"/>
          <w:i w:val="0"/>
          <w:sz w:val="22"/>
        </w:rPr>
        <w:t>Thresholds are derived from Bangko Sentral ng Pilipinas (BSP) consumer banking income segmentation guidelines and UnionBank's published card eligibility requirements. The dataset Income field is treated as annual PHP income.</w:t>
      </w:r>
    </w:p>
    <w:p/>
    <w:tbl>
      <w:tblPr>
        <w:tblStyle w:val="TableGrid"/>
        <w:tblW w:type="auto" w:w="0"/>
        <w:jc w:val="left"/>
        <w:tblLook w:firstColumn="1" w:firstRow="1" w:lastColumn="0" w:lastRow="0" w:noHBand="0" w:noVBand="1" w:val="04A0"/>
      </w:tblPr>
      <w:tblGrid>
        <w:gridCol w:w="2196"/>
        <w:gridCol w:w="2196"/>
        <w:gridCol w:w="2196"/>
        <w:gridCol w:w="2196"/>
      </w:tblGrid>
      <w:tr>
        <w:tc>
          <w:tcPr>
            <w:tcW w:type="dxa" w:w="1584"/>
            <w:shd w:fill="1F4E79" w:color="FFFFFF"/>
          </w:tcPr>
          <w:p>
            <w:r>
              <w:rPr>
                <w:b/>
                <w:color w:val="FFFFFF"/>
                <w:sz w:val="20"/>
              </w:rPr>
              <w:t>Tier</w:t>
            </w:r>
          </w:p>
        </w:tc>
        <w:tc>
          <w:tcPr>
            <w:tcW w:type="dxa" w:w="2592"/>
            <w:shd w:fill="1F4E79" w:color="FFFFFF"/>
          </w:tcPr>
          <w:p>
            <w:r>
              <w:rPr>
                <w:b/>
                <w:color w:val="FFFFFF"/>
                <w:sz w:val="20"/>
              </w:rPr>
              <w:t>Annual Income (PHP)</w:t>
            </w:r>
          </w:p>
        </w:tc>
        <w:tc>
          <w:tcPr>
            <w:tcW w:type="dxa" w:w="2160"/>
            <w:shd w:fill="1F4E79" w:color="FFFFFF"/>
          </w:tcPr>
          <w:p>
            <w:r>
              <w:rPr>
                <w:b/>
                <w:color w:val="FFFFFF"/>
                <w:sz w:val="20"/>
              </w:rPr>
              <w:t>Monthly Equivalent</w:t>
            </w:r>
          </w:p>
        </w:tc>
        <w:tc>
          <w:tcPr>
            <w:tcW w:type="dxa" w:w="4032"/>
            <w:shd w:fill="1F4E79" w:color="FFFFFF"/>
          </w:tcPr>
          <w:p>
            <w:r>
              <w:rPr>
                <w:b/>
                <w:color w:val="FFFFFF"/>
                <w:sz w:val="20"/>
              </w:rPr>
              <w:t>Typical Products</w:t>
            </w:r>
          </w:p>
        </w:tc>
      </w:tr>
      <w:tr>
        <w:tc>
          <w:tcPr>
            <w:tcW w:type="dxa" w:w="1584"/>
          </w:tcPr>
          <w:p>
            <w:r>
              <w:rPr>
                <w:sz w:val="20"/>
              </w:rPr>
              <w:t>Entry</w:t>
            </w:r>
          </w:p>
        </w:tc>
        <w:tc>
          <w:tcPr>
            <w:tcW w:type="dxa" w:w="2592"/>
          </w:tcPr>
          <w:p>
            <w:r>
              <w:rPr>
                <w:sz w:val="20"/>
              </w:rPr>
              <w:t>&lt; 360,000</w:t>
            </w:r>
          </w:p>
        </w:tc>
        <w:tc>
          <w:tcPr>
            <w:tcW w:type="dxa" w:w="2160"/>
          </w:tcPr>
          <w:p>
            <w:r>
              <w:rPr>
                <w:sz w:val="20"/>
              </w:rPr>
              <w:t>&lt; 30,000</w:t>
            </w:r>
          </w:p>
        </w:tc>
        <w:tc>
          <w:tcPr>
            <w:tcW w:type="dxa" w:w="4032"/>
          </w:tcPr>
          <w:p>
            <w:r>
              <w:rPr>
                <w:sz w:val="20"/>
              </w:rPr>
              <w:t>EON, Blue Card, basic savings</w:t>
            </w:r>
          </w:p>
        </w:tc>
      </w:tr>
      <w:tr>
        <w:tc>
          <w:tcPr>
            <w:tcW w:type="dxa" w:w="1584"/>
          </w:tcPr>
          <w:p>
            <w:r>
              <w:rPr>
                <w:sz w:val="20"/>
              </w:rPr>
              <w:t>Standard</w:t>
            </w:r>
          </w:p>
        </w:tc>
        <w:tc>
          <w:tcPr>
            <w:tcW w:type="dxa" w:w="2592"/>
          </w:tcPr>
          <w:p>
            <w:r>
              <w:rPr>
                <w:sz w:val="20"/>
              </w:rPr>
              <w:t>360,000 – 1,200,000</w:t>
            </w:r>
          </w:p>
        </w:tc>
        <w:tc>
          <w:tcPr>
            <w:tcW w:type="dxa" w:w="2160"/>
          </w:tcPr>
          <w:p>
            <w:r>
              <w:rPr>
                <w:sz w:val="20"/>
              </w:rPr>
              <w:t>30k – 100k</w:t>
            </w:r>
          </w:p>
        </w:tc>
        <w:tc>
          <w:tcPr>
            <w:tcW w:type="dxa" w:w="4032"/>
          </w:tcPr>
          <w:p>
            <w:r>
              <w:rPr>
                <w:sz w:val="20"/>
              </w:rPr>
              <w:t>Silver Card, personal loan, auto loan</w:t>
            </w:r>
          </w:p>
        </w:tc>
      </w:tr>
      <w:tr>
        <w:tc>
          <w:tcPr>
            <w:tcW w:type="dxa" w:w="1584"/>
          </w:tcPr>
          <w:p>
            <w:r>
              <w:rPr>
                <w:sz w:val="20"/>
              </w:rPr>
              <w:t>Premium</w:t>
            </w:r>
          </w:p>
        </w:tc>
        <w:tc>
          <w:tcPr>
            <w:tcW w:type="dxa" w:w="2592"/>
          </w:tcPr>
          <w:p>
            <w:r>
              <w:rPr>
                <w:sz w:val="20"/>
              </w:rPr>
              <w:t>1.2M – 3,000,000</w:t>
            </w:r>
          </w:p>
        </w:tc>
        <w:tc>
          <w:tcPr>
            <w:tcW w:type="dxa" w:w="2160"/>
          </w:tcPr>
          <w:p>
            <w:r>
              <w:rPr>
                <w:sz w:val="20"/>
              </w:rPr>
              <w:t>100k – 250k</w:t>
            </w:r>
          </w:p>
        </w:tc>
        <w:tc>
          <w:tcPr>
            <w:tcW w:type="dxa" w:w="4032"/>
          </w:tcPr>
          <w:p>
            <w:r>
              <w:rPr>
                <w:sz w:val="20"/>
              </w:rPr>
              <w:t>Gold Card, UITF, home loan, Priority Banking</w:t>
            </w:r>
          </w:p>
        </w:tc>
      </w:tr>
      <w:tr>
        <w:tc>
          <w:tcPr>
            <w:tcW w:type="dxa" w:w="1584"/>
          </w:tcPr>
          <w:p>
            <w:r>
              <w:rPr>
                <w:sz w:val="20"/>
              </w:rPr>
              <w:t>Wealth</w:t>
            </w:r>
          </w:p>
        </w:tc>
        <w:tc>
          <w:tcPr>
            <w:tcW w:type="dxa" w:w="2592"/>
          </w:tcPr>
          <w:p>
            <w:r>
              <w:rPr>
                <w:sz w:val="20"/>
              </w:rPr>
              <w:t>&gt; 3,000,000</w:t>
            </w:r>
          </w:p>
        </w:tc>
        <w:tc>
          <w:tcPr>
            <w:tcW w:type="dxa" w:w="2160"/>
          </w:tcPr>
          <w:p>
            <w:r>
              <w:rPr>
                <w:sz w:val="20"/>
              </w:rPr>
              <w:t>&gt; 250k</w:t>
            </w:r>
          </w:p>
        </w:tc>
        <w:tc>
          <w:tcPr>
            <w:tcW w:type="dxa" w:w="4032"/>
          </w:tcPr>
          <w:p>
            <w:r>
              <w:rPr>
                <w:sz w:val="20"/>
              </w:rPr>
              <w:t>Black Card, Wealth Management, GlobalLinker</w:t>
            </w:r>
          </w:p>
        </w:tc>
      </w:tr>
    </w:tbl>
    <w:p/>
    <w:p>
      <w:pPr>
        <w:pStyle w:val="Heading1"/>
      </w:pPr>
      <w:r>
        <w:rPr>
          <w:color w:val="1F4E79"/>
        </w:rPr>
        <w:t>6. Card Upgrade Eligibility</w:t>
      </w:r>
    </w:p>
    <w:p>
      <w:r>
        <w:rPr>
          <w:b w:val="0"/>
          <w:i w:val="0"/>
          <w:sz w:val="22"/>
        </w:rPr>
        <w:t>The recommender follows UnionBank's published card hierarchy: Blue → Silver → Gold → Black. Upgrade eligibility is checked by comparing the client's annual income against the minimum income requirement for the next tier. Only one upgrade step is recommended at a time.</w:t>
      </w:r>
    </w:p>
    <w:p/>
    <w:tbl>
      <w:tblPr>
        <w:tblStyle w:val="TableGrid"/>
        <w:tblW w:type="auto" w:w="0"/>
        <w:jc w:val="left"/>
        <w:tblLook w:firstColumn="1" w:firstRow="1" w:lastColumn="0" w:lastRow="0" w:noHBand="0" w:noVBand="1" w:val="04A0"/>
      </w:tblPr>
      <w:tblGrid>
        <w:gridCol w:w="2928"/>
        <w:gridCol w:w="2928"/>
        <w:gridCol w:w="2928"/>
      </w:tblGrid>
      <w:tr>
        <w:tc>
          <w:tcPr>
            <w:tcW w:type="dxa" w:w="2160"/>
            <w:shd w:fill="1F4E79" w:color="FFFFFF"/>
          </w:tcPr>
          <w:p>
            <w:r>
              <w:rPr>
                <w:b/>
                <w:color w:val="FFFFFF"/>
                <w:sz w:val="20"/>
              </w:rPr>
              <w:t>Upgrade To</w:t>
            </w:r>
          </w:p>
        </w:tc>
        <w:tc>
          <w:tcPr>
            <w:tcW w:type="dxa" w:w="3600"/>
            <w:shd w:fill="1F4E79" w:color="FFFFFF"/>
          </w:tcPr>
          <w:p>
            <w:r>
              <w:rPr>
                <w:b/>
                <w:color w:val="FFFFFF"/>
                <w:sz w:val="20"/>
              </w:rPr>
              <w:t>Minimum Annual Income (PHP)</w:t>
            </w:r>
          </w:p>
        </w:tc>
        <w:tc>
          <w:tcPr>
            <w:tcW w:type="dxa" w:w="2880"/>
            <w:shd w:fill="1F4E79" w:color="FFFFFF"/>
          </w:tcPr>
          <w:p>
            <w:r>
              <w:rPr>
                <w:b/>
                <w:color w:val="FFFFFF"/>
                <w:sz w:val="20"/>
              </w:rPr>
              <w:t>Monthly Equivalent</w:t>
            </w:r>
          </w:p>
        </w:tc>
      </w:tr>
      <w:tr>
        <w:tc>
          <w:tcPr>
            <w:tcW w:type="dxa" w:w="2160"/>
          </w:tcPr>
          <w:p>
            <w:r>
              <w:rPr>
                <w:sz w:val="20"/>
              </w:rPr>
              <w:t>Silver</w:t>
            </w:r>
          </w:p>
        </w:tc>
        <w:tc>
          <w:tcPr>
            <w:tcW w:type="dxa" w:w="3600"/>
          </w:tcPr>
          <w:p>
            <w:r>
              <w:rPr>
                <w:sz w:val="20"/>
              </w:rPr>
              <w:t>480,000</w:t>
            </w:r>
          </w:p>
        </w:tc>
        <w:tc>
          <w:tcPr>
            <w:tcW w:type="dxa" w:w="2880"/>
          </w:tcPr>
          <w:p>
            <w:r>
              <w:rPr>
                <w:sz w:val="20"/>
              </w:rPr>
              <w:t>PHP 40,000</w:t>
            </w:r>
          </w:p>
        </w:tc>
      </w:tr>
      <w:tr>
        <w:tc>
          <w:tcPr>
            <w:tcW w:type="dxa" w:w="2160"/>
          </w:tcPr>
          <w:p>
            <w:r>
              <w:rPr>
                <w:sz w:val="20"/>
              </w:rPr>
              <w:t>Gold</w:t>
            </w:r>
          </w:p>
        </w:tc>
        <w:tc>
          <w:tcPr>
            <w:tcW w:type="dxa" w:w="3600"/>
          </w:tcPr>
          <w:p>
            <w:r>
              <w:rPr>
                <w:sz w:val="20"/>
              </w:rPr>
              <w:t>1,200,000</w:t>
            </w:r>
          </w:p>
        </w:tc>
        <w:tc>
          <w:tcPr>
            <w:tcW w:type="dxa" w:w="2880"/>
          </w:tcPr>
          <w:p>
            <w:r>
              <w:rPr>
                <w:sz w:val="20"/>
              </w:rPr>
              <w:t>PHP 100,000</w:t>
            </w:r>
          </w:p>
        </w:tc>
      </w:tr>
      <w:tr>
        <w:tc>
          <w:tcPr>
            <w:tcW w:type="dxa" w:w="2160"/>
          </w:tcPr>
          <w:p>
            <w:r>
              <w:rPr>
                <w:sz w:val="20"/>
              </w:rPr>
              <w:t>Black</w:t>
            </w:r>
          </w:p>
        </w:tc>
        <w:tc>
          <w:tcPr>
            <w:tcW w:type="dxa" w:w="3600"/>
          </w:tcPr>
          <w:p>
            <w:r>
              <w:rPr>
                <w:sz w:val="20"/>
              </w:rPr>
              <w:t>3,000,000</w:t>
            </w:r>
          </w:p>
        </w:tc>
        <w:tc>
          <w:tcPr>
            <w:tcW w:type="dxa" w:w="2880"/>
          </w:tcPr>
          <w:p>
            <w:r>
              <w:rPr>
                <w:sz w:val="20"/>
              </w:rPr>
              <w:t>PHP 250,000</w:t>
            </w:r>
          </w:p>
        </w:tc>
      </w:tr>
    </w:tbl>
    <w:p/>
    <w:p>
      <w:pPr>
        <w:pStyle w:val="Heading1"/>
      </w:pPr>
      <w:r>
        <w:rPr>
          <w:color w:val="1F4E79"/>
        </w:rPr>
        <w:t>7. Rule Layers</w:t>
      </w:r>
    </w:p>
    <w:p>
      <w:r>
        <w:rPr>
          <w:b w:val="0"/>
          <w:i w:val="0"/>
          <w:sz w:val="22"/>
        </w:rPr>
        <w:t>Five independent rule layers are evaluated for every client. Results from all layers are pooled, deduplicated, sorted by priority, and capped at five recommendations.</w:t>
      </w:r>
    </w:p>
    <w:p>
      <w:pPr>
        <w:pStyle w:val="Heading2"/>
      </w:pPr>
      <w:r>
        <w:t>7.1  Retention Rules  (_retention_rules)</w:t>
      </w:r>
    </w:p>
    <w:p>
      <w:r>
        <w:rPr>
          <w:b w:val="0"/>
          <w:i w:val="0"/>
          <w:sz w:val="22"/>
        </w:rPr>
        <w:t>Triggered by elevated attrition probability. Given the model's near-random performance, these are intentionally conservative — only activating at probability ≥ 0.45 to avoid flooding every client with retention offers.</w:t>
      </w:r>
    </w:p>
    <w:tbl>
      <w:tblPr>
        <w:tblStyle w:val="TableGrid"/>
        <w:tblW w:type="auto" w:w="0"/>
        <w:jc w:val="left"/>
        <w:tblLook w:firstColumn="1" w:firstRow="1" w:lastColumn="0" w:lastRow="0" w:noHBand="0" w:noVBand="1" w:val="04A0"/>
      </w:tblPr>
      <w:tblGrid>
        <w:gridCol w:w="2928"/>
        <w:gridCol w:w="2928"/>
        <w:gridCol w:w="2928"/>
      </w:tblGrid>
      <w:tr>
        <w:tc>
          <w:tcPr>
            <w:tcW w:type="dxa" w:w="4032"/>
            <w:shd w:fill="1F4E79" w:color="FFFFFF"/>
          </w:tcPr>
          <w:p>
            <w:r>
              <w:rPr>
                <w:b/>
                <w:color w:val="FFFFFF"/>
                <w:sz w:val="20"/>
              </w:rPr>
              <w:t>Condition</w:t>
            </w:r>
          </w:p>
        </w:tc>
        <w:tc>
          <w:tcPr>
            <w:tcW w:type="dxa" w:w="3744"/>
            <w:shd w:fill="1F4E79" w:color="FFFFFF"/>
          </w:tcPr>
          <w:p>
            <w:r>
              <w:rPr>
                <w:b/>
                <w:color w:val="FFFFFF"/>
                <w:sz w:val="20"/>
              </w:rPr>
              <w:t>Product Recommended</w:t>
            </w:r>
          </w:p>
        </w:tc>
        <w:tc>
          <w:tcPr>
            <w:tcW w:type="dxa" w:w="1152"/>
            <w:shd w:fill="1F4E79" w:color="FFFFFF"/>
          </w:tcPr>
          <w:p>
            <w:r>
              <w:rPr>
                <w:b/>
                <w:color w:val="FFFFFF"/>
                <w:sz w:val="20"/>
              </w:rPr>
              <w:t>Priority</w:t>
            </w:r>
          </w:p>
        </w:tc>
      </w:tr>
      <w:tr>
        <w:tc>
          <w:tcPr>
            <w:tcW w:type="dxa" w:w="4032"/>
          </w:tcPr>
          <w:p>
            <w:r>
              <w:rPr>
                <w:sz w:val="20"/>
              </w:rPr>
              <w:t>probability ≥ 0.65</w:t>
            </w:r>
          </w:p>
        </w:tc>
        <w:tc>
          <w:tcPr>
            <w:tcW w:type="dxa" w:w="3744"/>
          </w:tcPr>
          <w:p>
            <w:r>
              <w:rPr>
                <w:sz w:val="20"/>
              </w:rPr>
              <w:t>UnionBank Rewards Points Multiplier</w:t>
            </w:r>
          </w:p>
        </w:tc>
        <w:tc>
          <w:tcPr>
            <w:tcW w:type="dxa" w:w="1152"/>
          </w:tcPr>
          <w:p>
            <w:r>
              <w:rPr>
                <w:sz w:val="20"/>
              </w:rPr>
              <w:t>Critical</w:t>
            </w:r>
          </w:p>
        </w:tc>
      </w:tr>
      <w:tr>
        <w:tc>
          <w:tcPr>
            <w:tcW w:type="dxa" w:w="4032"/>
          </w:tcPr>
          <w:p>
            <w:r>
              <w:rPr>
                <w:sz w:val="20"/>
              </w:rPr>
              <w:t>probability ≥ 0.45 AND tenure ≥ 36 months</w:t>
            </w:r>
          </w:p>
        </w:tc>
        <w:tc>
          <w:tcPr>
            <w:tcW w:type="dxa" w:w="3744"/>
          </w:tcPr>
          <w:p>
            <w:r>
              <w:rPr>
                <w:sz w:val="20"/>
              </w:rPr>
              <w:t>UnionBank Loyalty Cashback Program</w:t>
            </w:r>
          </w:p>
        </w:tc>
        <w:tc>
          <w:tcPr>
            <w:tcW w:type="dxa" w:w="1152"/>
          </w:tcPr>
          <w:p>
            <w:r>
              <w:rPr>
                <w:sz w:val="20"/>
              </w:rPr>
              <w:t>High</w:t>
            </w:r>
          </w:p>
        </w:tc>
      </w:tr>
      <w:tr>
        <w:tc>
          <w:tcPr>
            <w:tcW w:type="dxa" w:w="4032"/>
          </w:tcPr>
          <w:p>
            <w:r>
              <w:rPr>
                <w:sz w:val="20"/>
              </w:rPr>
              <w:t>probability ≥ 0.45 AND income_tier = Premium/Wealth</w:t>
            </w:r>
          </w:p>
        </w:tc>
        <w:tc>
          <w:tcPr>
            <w:tcW w:type="dxa" w:w="3744"/>
          </w:tcPr>
          <w:p>
            <w:r>
              <w:rPr>
                <w:sz w:val="20"/>
              </w:rPr>
              <w:t>UnionBank Priority Banking</w:t>
            </w:r>
          </w:p>
        </w:tc>
        <w:tc>
          <w:tcPr>
            <w:tcW w:type="dxa" w:w="1152"/>
          </w:tcPr>
          <w:p>
            <w:r>
              <w:rPr>
                <w:sz w:val="20"/>
              </w:rPr>
              <w:t>Critical</w:t>
            </w:r>
          </w:p>
        </w:tc>
      </w:tr>
    </w:tbl>
    <w:p>
      <w:r>
        <w:rPr>
          <w:b w:val="0"/>
          <w:i/>
          <w:sz w:val="22"/>
        </w:rPr>
        <w:t>Note: Retention rules are the weakest layer by design. The attrition probability is near-random (PR-AUC ≈ 0.05). These recommendations function as conversation starters for relationship managers, not deterministic churn signals.</w:t>
      </w:r>
    </w:p>
    <w:p/>
    <w:p>
      <w:pPr>
        <w:pStyle w:val="Heading2"/>
      </w:pPr>
      <w:r>
        <w:t>7.2  Card Upgrade Rules  (_card_upgrade_rules)</w:t>
      </w:r>
    </w:p>
    <w:p>
      <w:r>
        <w:rPr>
          <w:b w:val="0"/>
          <w:i w:val="0"/>
          <w:sz w:val="22"/>
        </w:rPr>
        <w:t>Objective, income-gated eligibility check. This is the most reliable rule layer because it is based on verifiable financial data with no dependency on the weak attrition signal.</w:t>
      </w:r>
    </w:p>
    <w:tbl>
      <w:tblPr>
        <w:tblStyle w:val="TableGrid"/>
        <w:tblW w:type="auto" w:w="0"/>
        <w:jc w:val="left"/>
        <w:tblLook w:firstColumn="1" w:firstRow="1" w:lastColumn="0" w:lastRow="0" w:noHBand="0" w:noVBand="1" w:val="04A0"/>
      </w:tblPr>
      <w:tblGrid>
        <w:gridCol w:w="2928"/>
        <w:gridCol w:w="2928"/>
        <w:gridCol w:w="2928"/>
      </w:tblGrid>
      <w:tr>
        <w:tc>
          <w:tcPr>
            <w:tcW w:type="dxa" w:w="4032"/>
            <w:shd w:fill="1F4E79" w:color="FFFFFF"/>
          </w:tcPr>
          <w:p>
            <w:r>
              <w:rPr>
                <w:b/>
                <w:color w:val="FFFFFF"/>
                <w:sz w:val="20"/>
              </w:rPr>
              <w:t>Condition</w:t>
            </w:r>
          </w:p>
        </w:tc>
        <w:tc>
          <w:tcPr>
            <w:tcW w:type="dxa" w:w="3456"/>
            <w:shd w:fill="1F4E79" w:color="FFFFFF"/>
          </w:tcPr>
          <w:p>
            <w:r>
              <w:rPr>
                <w:b/>
                <w:color w:val="FFFFFF"/>
                <w:sz w:val="20"/>
              </w:rPr>
              <w:t>Product Recommended</w:t>
            </w:r>
          </w:p>
        </w:tc>
        <w:tc>
          <w:tcPr>
            <w:tcW w:type="dxa" w:w="1152"/>
            <w:shd w:fill="1F4E79" w:color="FFFFFF"/>
          </w:tcPr>
          <w:p>
            <w:r>
              <w:rPr>
                <w:b/>
                <w:color w:val="FFFFFF"/>
                <w:sz w:val="20"/>
              </w:rPr>
              <w:t>Priority</w:t>
            </w:r>
          </w:p>
        </w:tc>
      </w:tr>
      <w:tr>
        <w:tc>
          <w:tcPr>
            <w:tcW w:type="dxa" w:w="4032"/>
          </w:tcPr>
          <w:p>
            <w:r>
              <w:rPr>
                <w:sz w:val="20"/>
              </w:rPr>
              <w:t>Current card = Blue AND income ≥ 480k</w:t>
            </w:r>
          </w:p>
        </w:tc>
        <w:tc>
          <w:tcPr>
            <w:tcW w:type="dxa" w:w="3456"/>
          </w:tcPr>
          <w:p>
            <w:r>
              <w:rPr>
                <w:sz w:val="20"/>
              </w:rPr>
              <w:t>UnionBank Silver Visa Card</w:t>
            </w:r>
          </w:p>
        </w:tc>
        <w:tc>
          <w:tcPr>
            <w:tcW w:type="dxa" w:w="1152"/>
          </w:tcPr>
          <w:p>
            <w:r>
              <w:rPr>
                <w:sz w:val="20"/>
              </w:rPr>
              <w:t>Medium</w:t>
            </w:r>
          </w:p>
        </w:tc>
      </w:tr>
      <w:tr>
        <w:tc>
          <w:tcPr>
            <w:tcW w:type="dxa" w:w="4032"/>
          </w:tcPr>
          <w:p>
            <w:r>
              <w:rPr>
                <w:sz w:val="20"/>
              </w:rPr>
              <w:t>Current card = Silver AND income ≥ 1.2M</w:t>
            </w:r>
          </w:p>
        </w:tc>
        <w:tc>
          <w:tcPr>
            <w:tcW w:type="dxa" w:w="3456"/>
          </w:tcPr>
          <w:p>
            <w:r>
              <w:rPr>
                <w:sz w:val="20"/>
              </w:rPr>
              <w:t>UnionBank Gold Visa Card</w:t>
            </w:r>
          </w:p>
        </w:tc>
        <w:tc>
          <w:tcPr>
            <w:tcW w:type="dxa" w:w="1152"/>
          </w:tcPr>
          <w:p>
            <w:r>
              <w:rPr>
                <w:sz w:val="20"/>
              </w:rPr>
              <w:t>Medium</w:t>
            </w:r>
          </w:p>
        </w:tc>
      </w:tr>
      <w:tr>
        <w:tc>
          <w:tcPr>
            <w:tcW w:type="dxa" w:w="4032"/>
          </w:tcPr>
          <w:p>
            <w:r>
              <w:rPr>
                <w:sz w:val="20"/>
              </w:rPr>
              <w:t>Current card = Gold AND income ≥ 3M</w:t>
            </w:r>
          </w:p>
        </w:tc>
        <w:tc>
          <w:tcPr>
            <w:tcW w:type="dxa" w:w="3456"/>
          </w:tcPr>
          <w:p>
            <w:r>
              <w:rPr>
                <w:sz w:val="20"/>
              </w:rPr>
              <w:t>UnionBank Black Visa Card</w:t>
            </w:r>
          </w:p>
        </w:tc>
        <w:tc>
          <w:tcPr>
            <w:tcW w:type="dxa" w:w="1152"/>
          </w:tcPr>
          <w:p>
            <w:r>
              <w:rPr>
                <w:sz w:val="20"/>
              </w:rPr>
              <w:t>Medium</w:t>
            </w:r>
          </w:p>
        </w:tc>
      </w:tr>
    </w:tbl>
    <w:p/>
    <w:p>
      <w:pPr>
        <w:pStyle w:val="Heading2"/>
      </w:pPr>
      <w:r>
        <w:t>7.3  Engagement Rules  (_engagement_rules)</w:t>
      </w:r>
    </w:p>
    <w:p>
      <w:r>
        <w:rPr>
          <w:b w:val="0"/>
          <w:i w:val="0"/>
          <w:sz w:val="22"/>
        </w:rPr>
        <w:t>Behavioral engagement signals from transaction frequency and credit utilization. These are the most actionable rules because they are directly observable and map to specific product interventions.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592"/>
            <w:shd w:fill="1F4E79" w:color="FFFFFF"/>
          </w:tcPr>
          <w:p>
            <w:r>
              <w:rPr>
                <w:b/>
                <w:color w:val="FFFFFF"/>
                <w:sz w:val="20"/>
              </w:rPr>
              <w:t>Condition</w:t>
            </w:r>
          </w:p>
        </w:tc>
        <w:tc>
          <w:tcPr>
            <w:tcW w:type="dxa" w:w="2160"/>
            <w:shd w:fill="1F4E79" w:color="FFFFFF"/>
          </w:tcPr>
          <w:p>
            <w:r>
              <w:rPr>
                <w:b/>
                <w:color w:val="FFFFFF"/>
                <w:sz w:val="20"/>
              </w:rPr>
              <w:t>Signal Meaning</w:t>
            </w:r>
          </w:p>
        </w:tc>
        <w:tc>
          <w:tcPr>
            <w:tcW w:type="dxa" w:w="3312"/>
            <w:shd w:fill="1F4E79" w:color="FFFFFF"/>
          </w:tcPr>
          <w:p>
            <w:r>
              <w:rPr>
                <w:b/>
                <w:color w:val="FFFFFF"/>
                <w:sz w:val="20"/>
              </w:rPr>
              <w:t>Product Recommended</w:t>
            </w:r>
          </w:p>
        </w:tc>
        <w:tc>
          <w:tcPr>
            <w:tcW w:type="dxa" w:w="1152"/>
            <w:shd w:fill="1F4E79" w:color="FFFFFF"/>
          </w:tcPr>
          <w:p>
            <w:r>
              <w:rPr>
                <w:b/>
                <w:color w:val="FFFFFF"/>
                <w:sz w:val="20"/>
              </w:rPr>
              <w:t>Priority</w:t>
            </w:r>
          </w:p>
        </w:tc>
      </w:tr>
      <w:tr>
        <w:tc>
          <w:tcPr>
            <w:tcW w:type="dxa" w:w="2592"/>
          </w:tcPr>
          <w:p>
            <w:r>
              <w:rPr>
                <w:sz w:val="20"/>
              </w:rPr>
              <w:t>Credit_Utilization &lt; 15%</w:t>
            </w:r>
          </w:p>
        </w:tc>
        <w:tc>
          <w:tcPr>
            <w:tcW w:type="dxa" w:w="2160"/>
          </w:tcPr>
          <w:p>
            <w:r>
              <w:rPr>
                <w:sz w:val="20"/>
              </w:rPr>
              <w:t>Card underused</w:t>
            </w:r>
          </w:p>
        </w:tc>
        <w:tc>
          <w:tcPr>
            <w:tcW w:type="dxa" w:w="3312"/>
          </w:tcPr>
          <w:p>
            <w:r>
              <w:rPr>
                <w:sz w:val="20"/>
              </w:rPr>
              <w:t>UnionBank PayDay Promo / Merchant Cashback</w:t>
            </w:r>
          </w:p>
        </w:tc>
        <w:tc>
          <w:tcPr>
            <w:tcW w:type="dxa" w:w="1152"/>
          </w:tcPr>
          <w:p>
            <w:r>
              <w:rPr>
                <w:sz w:val="20"/>
              </w:rPr>
              <w:t>Medium</w:t>
            </w:r>
          </w:p>
        </w:tc>
      </w:tr>
      <w:tr>
        <w:tc>
          <w:tcPr>
            <w:tcW w:type="dxa" w:w="2592"/>
          </w:tcPr>
          <w:p>
            <w:r>
              <w:rPr>
                <w:sz w:val="20"/>
              </w:rPr>
              <w:t>TotalTransactions &lt; 24</w:t>
            </w:r>
          </w:p>
        </w:tc>
        <w:tc>
          <w:tcPr>
            <w:tcW w:type="dxa" w:w="2160"/>
          </w:tcPr>
          <w:p>
            <w:r>
              <w:rPr>
                <w:sz w:val="20"/>
              </w:rPr>
              <w:t>Digitally disengaged</w:t>
            </w:r>
          </w:p>
        </w:tc>
        <w:tc>
          <w:tcPr>
            <w:tcW w:type="dxa" w:w="3312"/>
          </w:tcPr>
          <w:p>
            <w:r>
              <w:rPr>
                <w:sz w:val="20"/>
              </w:rPr>
              <w:t>UnionBank Online / EON Digital Banking</w:t>
            </w:r>
          </w:p>
        </w:tc>
        <w:tc>
          <w:tcPr>
            <w:tcW w:type="dxa" w:w="1152"/>
          </w:tcPr>
          <w:p>
            <w:r>
              <w:rPr>
                <w:sz w:val="20"/>
              </w:rPr>
              <w:t>Medium</w:t>
            </w:r>
          </w:p>
        </w:tc>
      </w:tr>
      <w:tr>
        <w:tc>
          <w:tcPr>
            <w:tcW w:type="dxa" w:w="2592"/>
          </w:tcPr>
          <w:p>
            <w:r>
              <w:rPr>
                <w:sz w:val="20"/>
              </w:rPr>
              <w:t>Credit_Utilization &gt; 85%</w:t>
            </w:r>
          </w:p>
        </w:tc>
        <w:tc>
          <w:tcPr>
            <w:tcW w:type="dxa" w:w="2160"/>
          </w:tcPr>
          <w:p>
            <w:r>
              <w:rPr>
                <w:sz w:val="20"/>
              </w:rPr>
              <w:t>Near credit limit</w:t>
            </w:r>
          </w:p>
        </w:tc>
        <w:tc>
          <w:tcPr>
            <w:tcW w:type="dxa" w:w="3312"/>
          </w:tcPr>
          <w:p>
            <w:r>
              <w:rPr>
                <w:sz w:val="20"/>
              </w:rPr>
              <w:t>UnionBank Credit Limit Increase</w:t>
            </w:r>
          </w:p>
        </w:tc>
        <w:tc>
          <w:tcPr>
            <w:tcW w:type="dxa" w:w="1152"/>
          </w:tcPr>
          <w:p>
            <w:r>
              <w:rPr>
                <w:sz w:val="20"/>
              </w:rPr>
              <w:t>High</w:t>
            </w:r>
          </w:p>
        </w:tc>
      </w:tr>
    </w:tbl>
    <w:p/>
    <w:p>
      <w:pPr>
        <w:pStyle w:val="Heading2"/>
      </w:pPr>
      <w:r>
        <w:t>7.4  Cross-Sell Rules  (_crosssell_rules)</w:t>
      </w:r>
    </w:p>
    <w:p>
      <w:r>
        <w:rPr>
          <w:b w:val="0"/>
          <w:i w:val="0"/>
          <w:sz w:val="22"/>
        </w:rPr>
        <w:t>Proactive product matching based on income tier, age, and tenure. Designed to deepen the client relationship and increase switching cost — both reduce attrition risk without relying on the weak ML signal.</w:t>
      </w:r>
    </w:p>
    <w:tbl>
      <w:tblPr>
        <w:tblStyle w:val="TableGrid"/>
        <w:tblW w:type="auto" w:w="0"/>
        <w:jc w:val="left"/>
        <w:tblLook w:firstColumn="1" w:firstRow="1" w:lastColumn="0" w:lastRow="0" w:noHBand="0" w:noVBand="1" w:val="04A0"/>
      </w:tblPr>
      <w:tblGrid>
        <w:gridCol w:w="2928"/>
        <w:gridCol w:w="2928"/>
        <w:gridCol w:w="2928"/>
      </w:tblGrid>
      <w:tr>
        <w:tc>
          <w:tcPr>
            <w:tcW w:type="dxa" w:w="4320"/>
            <w:shd w:fill="1F4E79" w:color="FFFFFF"/>
          </w:tcPr>
          <w:p>
            <w:r>
              <w:rPr>
                <w:b/>
                <w:color w:val="FFFFFF"/>
                <w:sz w:val="20"/>
              </w:rPr>
              <w:t>Condition</w:t>
            </w:r>
          </w:p>
        </w:tc>
        <w:tc>
          <w:tcPr>
            <w:tcW w:type="dxa" w:w="3168"/>
            <w:shd w:fill="1F4E79" w:color="FFFFFF"/>
          </w:tcPr>
          <w:p>
            <w:r>
              <w:rPr>
                <w:b/>
                <w:color w:val="FFFFFF"/>
                <w:sz w:val="20"/>
              </w:rPr>
              <w:t>Product Recommended</w:t>
            </w:r>
          </w:p>
        </w:tc>
        <w:tc>
          <w:tcPr>
            <w:tcW w:type="dxa" w:w="1152"/>
            <w:shd w:fill="1F4E79" w:color="FFFFFF"/>
          </w:tcPr>
          <w:p>
            <w:r>
              <w:rPr>
                <w:b/>
                <w:color w:val="FFFFFF"/>
                <w:sz w:val="20"/>
              </w:rPr>
              <w:t>Priority</w:t>
            </w:r>
          </w:p>
        </w:tc>
      </w:tr>
      <w:tr>
        <w:tc>
          <w:tcPr>
            <w:tcW w:type="dxa" w:w="4320"/>
          </w:tcPr>
          <w:p>
            <w:r>
              <w:rPr>
                <w:sz w:val="20"/>
              </w:rPr>
              <w:t>income_tier = Standard/Premium/Wealth AND tenure ≥ 12mo</w:t>
            </w:r>
          </w:p>
        </w:tc>
        <w:tc>
          <w:tcPr>
            <w:tcW w:type="dxa" w:w="3168"/>
          </w:tcPr>
          <w:p>
            <w:r>
              <w:rPr>
                <w:sz w:val="20"/>
              </w:rPr>
              <w:t>UnionBank Personal Loan</w:t>
            </w:r>
          </w:p>
        </w:tc>
        <w:tc>
          <w:tcPr>
            <w:tcW w:type="dxa" w:w="1152"/>
          </w:tcPr>
          <w:p>
            <w:r>
              <w:rPr>
                <w:sz w:val="20"/>
              </w:rPr>
              <w:t>Low</w:t>
            </w:r>
          </w:p>
        </w:tc>
      </w:tr>
      <w:tr>
        <w:tc>
          <w:tcPr>
            <w:tcW w:type="dxa" w:w="4320"/>
          </w:tcPr>
          <w:p>
            <w:r>
              <w:rPr>
                <w:sz w:val="20"/>
              </w:rPr>
              <w:t>Age 28–50 AND income_tier = Premium/Wealth</w:t>
            </w:r>
          </w:p>
        </w:tc>
        <w:tc>
          <w:tcPr>
            <w:tcW w:type="dxa" w:w="3168"/>
          </w:tcPr>
          <w:p>
            <w:r>
              <w:rPr>
                <w:sz w:val="20"/>
              </w:rPr>
              <w:t>UnionBank Home Loan</w:t>
            </w:r>
          </w:p>
        </w:tc>
        <w:tc>
          <w:tcPr>
            <w:tcW w:type="dxa" w:w="1152"/>
          </w:tcPr>
          <w:p>
            <w:r>
              <w:rPr>
                <w:sz w:val="20"/>
              </w:rPr>
              <w:t>Medium</w:t>
            </w:r>
          </w:p>
        </w:tc>
      </w:tr>
      <w:tr>
        <w:tc>
          <w:tcPr>
            <w:tcW w:type="dxa" w:w="4320"/>
          </w:tcPr>
          <w:p>
            <w:r>
              <w:rPr>
                <w:sz w:val="20"/>
              </w:rPr>
              <w:t>Age 25–45 AND income_tier = Standard/Premium/Wealth</w:t>
            </w:r>
          </w:p>
        </w:tc>
        <w:tc>
          <w:tcPr>
            <w:tcW w:type="dxa" w:w="3168"/>
          </w:tcPr>
          <w:p>
            <w:r>
              <w:rPr>
                <w:sz w:val="20"/>
              </w:rPr>
              <w:t>UnionBank Auto Loan</w:t>
            </w:r>
          </w:p>
        </w:tc>
        <w:tc>
          <w:tcPr>
            <w:tcW w:type="dxa" w:w="1152"/>
          </w:tcPr>
          <w:p>
            <w:r>
              <w:rPr>
                <w:sz w:val="20"/>
              </w:rPr>
              <w:t>Low</w:t>
            </w:r>
          </w:p>
        </w:tc>
      </w:tr>
      <w:tr>
        <w:tc>
          <w:tcPr>
            <w:tcW w:type="dxa" w:w="4320"/>
          </w:tcPr>
          <w:p>
            <w:r>
              <w:rPr>
                <w:sz w:val="20"/>
              </w:rPr>
              <w:t>income_tier = Wealth OR (Premium AND utilization &lt; 40%)</w:t>
            </w:r>
          </w:p>
        </w:tc>
        <w:tc>
          <w:tcPr>
            <w:tcW w:type="dxa" w:w="3168"/>
          </w:tcPr>
          <w:p>
            <w:r>
              <w:rPr>
                <w:sz w:val="20"/>
              </w:rPr>
              <w:t>UnionBank UITF</w:t>
            </w:r>
          </w:p>
        </w:tc>
        <w:tc>
          <w:tcPr>
            <w:tcW w:type="dxa" w:w="1152"/>
          </w:tcPr>
          <w:p>
            <w:r>
              <w:rPr>
                <w:sz w:val="20"/>
              </w:rPr>
              <w:t>Medium</w:t>
            </w:r>
          </w:p>
        </w:tc>
      </w:tr>
      <w:tr>
        <w:tc>
          <w:tcPr>
            <w:tcW w:type="dxa" w:w="4320"/>
          </w:tcPr>
          <w:p>
            <w:r>
              <w:rPr>
                <w:sz w:val="20"/>
              </w:rPr>
              <w:t>Age ≥ 35 AND income &gt; 1.5M AND income_tier = Premium/Wealth</w:t>
            </w:r>
          </w:p>
        </w:tc>
        <w:tc>
          <w:tcPr>
            <w:tcW w:type="dxa" w:w="3168"/>
          </w:tcPr>
          <w:p>
            <w:r>
              <w:rPr>
                <w:sz w:val="20"/>
              </w:rPr>
              <w:t>UnionBank Business / GlobalLinker</w:t>
            </w:r>
          </w:p>
        </w:tc>
        <w:tc>
          <w:tcPr>
            <w:tcW w:type="dxa" w:w="1152"/>
          </w:tcPr>
          <w:p>
            <w:r>
              <w:rPr>
                <w:sz w:val="20"/>
              </w:rPr>
              <w:t>Low</w:t>
            </w:r>
          </w:p>
        </w:tc>
      </w:tr>
    </w:tbl>
    <w:p/>
    <w:p>
      <w:pPr>
        <w:pStyle w:val="Heading2"/>
      </w:pPr>
      <w:r>
        <w:t>7.5  Life Stage Rules  (_lifestage_rules)</w:t>
      </w:r>
    </w:p>
    <w:p>
      <w:r>
        <w:rPr>
          <w:b w:val="0"/>
          <w:i w:val="0"/>
          <w:sz w:val="22"/>
        </w:rPr>
        <w:t>Products aligned to the client's life stage. These are triggered independently of attrition probability.</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3168"/>
            <w:shd w:fill="1F4E79" w:color="FFFFFF"/>
          </w:tcPr>
          <w:p>
            <w:r>
              <w:rPr>
                <w:b/>
                <w:color w:val="FFFFFF"/>
                <w:sz w:val="20"/>
              </w:rPr>
              <w:t>Condition</w:t>
            </w:r>
          </w:p>
        </w:tc>
        <w:tc>
          <w:tcPr>
            <w:tcW w:type="dxa" w:w="1728"/>
            <w:shd w:fill="1F4E79" w:color="FFFFFF"/>
          </w:tcPr>
          <w:p>
            <w:r>
              <w:rPr>
                <w:b/>
                <w:color w:val="FFFFFF"/>
                <w:sz w:val="20"/>
              </w:rPr>
              <w:t>Life Stage</w:t>
            </w:r>
          </w:p>
        </w:tc>
        <w:tc>
          <w:tcPr>
            <w:tcW w:type="dxa" w:w="3168"/>
            <w:shd w:fill="1F4E79" w:color="FFFFFF"/>
          </w:tcPr>
          <w:p>
            <w:r>
              <w:rPr>
                <w:b/>
                <w:color w:val="FFFFFF"/>
                <w:sz w:val="20"/>
              </w:rPr>
              <w:t>Product Recommended</w:t>
            </w:r>
          </w:p>
        </w:tc>
        <w:tc>
          <w:tcPr>
            <w:tcW w:type="dxa" w:w="1152"/>
            <w:shd w:fill="1F4E79" w:color="FFFFFF"/>
          </w:tcPr>
          <w:p>
            <w:r>
              <w:rPr>
                <w:b/>
                <w:color w:val="FFFFFF"/>
                <w:sz w:val="20"/>
              </w:rPr>
              <w:t>Priority</w:t>
            </w:r>
          </w:p>
        </w:tc>
      </w:tr>
      <w:tr>
        <w:tc>
          <w:tcPr>
            <w:tcW w:type="dxa" w:w="3168"/>
          </w:tcPr>
          <w:p>
            <w:r>
              <w:rPr>
                <w:sz w:val="20"/>
              </w:rPr>
              <w:t>Age &lt; 30 AND income_tier = Entry</w:t>
            </w:r>
          </w:p>
        </w:tc>
        <w:tc>
          <w:tcPr>
            <w:tcW w:type="dxa" w:w="1728"/>
          </w:tcPr>
          <w:p>
            <w:r>
              <w:rPr>
                <w:sz w:val="20"/>
              </w:rPr>
              <w:t>Young Professional</w:t>
            </w:r>
          </w:p>
        </w:tc>
        <w:tc>
          <w:tcPr>
            <w:tcW w:type="dxa" w:w="3168"/>
          </w:tcPr>
          <w:p>
            <w:r>
              <w:rPr>
                <w:sz w:val="20"/>
              </w:rPr>
              <w:t>UnionBank EON Cyber Account</w:t>
            </w:r>
          </w:p>
        </w:tc>
        <w:tc>
          <w:tcPr>
            <w:tcW w:type="dxa" w:w="1152"/>
          </w:tcPr>
          <w:p>
            <w:r>
              <w:rPr>
                <w:sz w:val="20"/>
              </w:rPr>
              <w:t>Low</w:t>
            </w:r>
          </w:p>
        </w:tc>
      </w:tr>
      <w:tr>
        <w:tc>
          <w:tcPr>
            <w:tcW w:type="dxa" w:w="3168"/>
          </w:tcPr>
          <w:p>
            <w:r>
              <w:rPr>
                <w:sz w:val="20"/>
              </w:rPr>
              <w:t>Age ≥ 55 AND income_tier = Standard/Premium/Wealth</w:t>
            </w:r>
          </w:p>
        </w:tc>
        <w:tc>
          <w:tcPr>
            <w:tcW w:type="dxa" w:w="1728"/>
          </w:tcPr>
          <w:p>
            <w:r>
              <w:rPr>
                <w:sz w:val="20"/>
              </w:rPr>
              <w:t>Pre-Retirement</w:t>
            </w:r>
          </w:p>
        </w:tc>
        <w:tc>
          <w:tcPr>
            <w:tcW w:type="dxa" w:w="3168"/>
          </w:tcPr>
          <w:p>
            <w:r>
              <w:rPr>
                <w:sz w:val="20"/>
              </w:rPr>
              <w:t>UnionBank Time Deposit / BancAssurance</w:t>
            </w:r>
          </w:p>
        </w:tc>
        <w:tc>
          <w:tcPr>
            <w:tcW w:type="dxa" w:w="1152"/>
          </w:tcPr>
          <w:p>
            <w:r>
              <w:rPr>
                <w:sz w:val="20"/>
              </w:rPr>
              <w:t>Medium</w:t>
            </w:r>
          </w:p>
        </w:tc>
      </w:tr>
    </w:tbl>
    <w:p/>
    <w:p>
      <w:pPr>
        <w:pStyle w:val="Heading1"/>
      </w:pPr>
      <w:r>
        <w:rPr>
          <w:color w:val="1F4E79"/>
        </w:rPr>
        <w:t>8. Output Structure</w:t>
      </w:r>
    </w:p>
    <w:p>
      <w:r>
        <w:rPr>
          <w:b w:val="0"/>
          <w:i w:val="0"/>
          <w:sz w:val="22"/>
        </w:rPr>
        <w:t>Each recommendation contains five fields designed for direct use by a relationship manager or downstream CRM system.</w:t>
      </w:r>
    </w:p>
    <w:p/>
    <w:tbl>
      <w:tblPr>
        <w:tblStyle w:val="TableGrid"/>
        <w:tblW w:type="auto" w:w="0"/>
        <w:jc w:val="left"/>
        <w:tblLook w:firstColumn="1" w:firstRow="1" w:lastColumn="0" w:lastRow="0" w:noHBand="0" w:noVBand="1" w:val="04A0"/>
      </w:tblPr>
      <w:tblGrid>
        <w:gridCol w:w="2928"/>
        <w:gridCol w:w="2928"/>
        <w:gridCol w:w="2928"/>
      </w:tblGrid>
      <w:tr>
        <w:tc>
          <w:tcPr>
            <w:tcW w:type="dxa" w:w="1584"/>
            <w:shd w:fill="1F4E79" w:color="FFFFFF"/>
          </w:tcPr>
          <w:p>
            <w:r>
              <w:rPr>
                <w:b/>
                <w:color w:val="FFFFFF"/>
                <w:sz w:val="20"/>
              </w:rPr>
              <w:t>Field</w:t>
            </w:r>
          </w:p>
        </w:tc>
        <w:tc>
          <w:tcPr>
            <w:tcW w:type="dxa" w:w="1584"/>
            <w:shd w:fill="1F4E79" w:color="FFFFFF"/>
          </w:tcPr>
          <w:p>
            <w:r>
              <w:rPr>
                <w:b/>
                <w:color w:val="FFFFFF"/>
                <w:sz w:val="20"/>
              </w:rPr>
              <w:t>Type</w:t>
            </w:r>
          </w:p>
        </w:tc>
        <w:tc>
          <w:tcPr>
            <w:tcW w:type="dxa" w:w="5760"/>
            <w:shd w:fill="1F4E79" w:color="FFFFFF"/>
          </w:tcPr>
          <w:p>
            <w:r>
              <w:rPr>
                <w:b/>
                <w:color w:val="FFFFFF"/>
                <w:sz w:val="20"/>
              </w:rPr>
              <w:t>Description</w:t>
            </w:r>
          </w:p>
        </w:tc>
      </w:tr>
      <w:tr>
        <w:tc>
          <w:tcPr>
            <w:tcW w:type="dxa" w:w="1584"/>
          </w:tcPr>
          <w:p>
            <w:r>
              <w:rPr>
                <w:sz w:val="20"/>
              </w:rPr>
              <w:t>product</w:t>
            </w:r>
          </w:p>
        </w:tc>
        <w:tc>
          <w:tcPr>
            <w:tcW w:type="dxa" w:w="1584"/>
          </w:tcPr>
          <w:p>
            <w:r>
              <w:rPr>
                <w:sz w:val="20"/>
              </w:rPr>
              <w:t>str</w:t>
            </w:r>
          </w:p>
        </w:tc>
        <w:tc>
          <w:tcPr>
            <w:tcW w:type="dxa" w:w="5760"/>
          </w:tcPr>
          <w:p>
            <w:r>
              <w:rPr>
                <w:sz w:val="20"/>
              </w:rPr>
              <w:t>Full UnionBank product name</w:t>
            </w:r>
          </w:p>
        </w:tc>
      </w:tr>
      <w:tr>
        <w:tc>
          <w:tcPr>
            <w:tcW w:type="dxa" w:w="1584"/>
          </w:tcPr>
          <w:p>
            <w:r>
              <w:rPr>
                <w:sz w:val="20"/>
              </w:rPr>
              <w:t>category</w:t>
            </w:r>
          </w:p>
        </w:tc>
        <w:tc>
          <w:tcPr>
            <w:tcW w:type="dxa" w:w="1584"/>
          </w:tcPr>
          <w:p>
            <w:r>
              <w:rPr>
                <w:sz w:val="20"/>
              </w:rPr>
              <w:t>str</w:t>
            </w:r>
          </w:p>
        </w:tc>
        <w:tc>
          <w:tcPr>
            <w:tcW w:type="dxa" w:w="5760"/>
          </w:tcPr>
          <w:p>
            <w:r>
              <w:rPr>
                <w:sz w:val="20"/>
              </w:rPr>
              <w:t>Retention | Upgrade | Engagement | CrossSell | LifeStage</w:t>
            </w:r>
          </w:p>
        </w:tc>
      </w:tr>
      <w:tr>
        <w:tc>
          <w:tcPr>
            <w:tcW w:type="dxa" w:w="1584"/>
          </w:tcPr>
          <w:p>
            <w:r>
              <w:rPr>
                <w:sz w:val="20"/>
              </w:rPr>
              <w:t>reason</w:t>
            </w:r>
          </w:p>
        </w:tc>
        <w:tc>
          <w:tcPr>
            <w:tcW w:type="dxa" w:w="1584"/>
          </w:tcPr>
          <w:p>
            <w:r>
              <w:rPr>
                <w:sz w:val="20"/>
              </w:rPr>
              <w:t>str</w:t>
            </w:r>
          </w:p>
        </w:tc>
        <w:tc>
          <w:tcPr>
            <w:tcW w:type="dxa" w:w="5760"/>
          </w:tcPr>
          <w:p>
            <w:r>
              <w:rPr>
                <w:sz w:val="20"/>
              </w:rPr>
              <w:t>Plain-language explanation for the RM — references the specific signal that triggered the rule</w:t>
            </w:r>
          </w:p>
        </w:tc>
      </w:tr>
      <w:tr>
        <w:tc>
          <w:tcPr>
            <w:tcW w:type="dxa" w:w="1584"/>
          </w:tcPr>
          <w:p>
            <w:r>
              <w:rPr>
                <w:sz w:val="20"/>
              </w:rPr>
              <w:t>priority</w:t>
            </w:r>
          </w:p>
        </w:tc>
        <w:tc>
          <w:tcPr>
            <w:tcW w:type="dxa" w:w="1584"/>
          </w:tcPr>
          <w:p>
            <w:r>
              <w:rPr>
                <w:sz w:val="20"/>
              </w:rPr>
              <w:t>str</w:t>
            </w:r>
          </w:p>
        </w:tc>
        <w:tc>
          <w:tcPr>
            <w:tcW w:type="dxa" w:w="5760"/>
          </w:tcPr>
          <w:p>
            <w:r>
              <w:rPr>
                <w:sz w:val="20"/>
              </w:rPr>
              <w:t>Critical | High | Medium | Low — determines sort order</w:t>
            </w:r>
          </w:p>
        </w:tc>
      </w:tr>
      <w:tr>
        <w:tc>
          <w:tcPr>
            <w:tcW w:type="dxa" w:w="1584"/>
          </w:tcPr>
          <w:p>
            <w:r>
              <w:rPr>
                <w:sz w:val="20"/>
              </w:rPr>
              <w:t>action</w:t>
            </w:r>
          </w:p>
        </w:tc>
        <w:tc>
          <w:tcPr>
            <w:tcW w:type="dxa" w:w="1584"/>
          </w:tcPr>
          <w:p>
            <w:r>
              <w:rPr>
                <w:sz w:val="20"/>
              </w:rPr>
              <w:t>str</w:t>
            </w:r>
          </w:p>
        </w:tc>
        <w:tc>
          <w:tcPr>
            <w:tcW w:type="dxa" w:w="5760"/>
          </w:tcPr>
          <w:p>
            <w:r>
              <w:rPr>
                <w:sz w:val="20"/>
              </w:rPr>
              <w:t>Specific next step for the relationship manager or system to execute</w:t>
            </w:r>
          </w:p>
        </w:tc>
      </w:tr>
    </w:tbl>
    <w:p>
      <w:r>
        <w:rPr>
          <w:b w:val="0"/>
          <w:i w:val="0"/>
          <w:sz w:val="22"/>
        </w:rPr>
        <w:t>Recommendations are deduplicated (same product cannot appear twice), sorted by priority (Critical first), and capped at 5 per client.</w:t>
      </w:r>
    </w:p>
    <w:p/>
    <w:p>
      <w:pPr>
        <w:pStyle w:val="Heading1"/>
      </w:pPr>
      <w:r>
        <w:rPr>
          <w:color w:val="1F4E79"/>
        </w:rPr>
        <w:t>9. Priority Ordering &amp; Deduplication</w:t>
      </w:r>
    </w:p>
    <w:p>
      <w:r>
        <w:rPr>
          <w:b w:val="0"/>
          <w:i w:val="0"/>
          <w:sz w:val="22"/>
        </w:rPr>
        <w:t>After all rule layers are evaluated, results are merged into a single list. The following process is applied before returning:</w:t>
      </w:r>
    </w:p>
    <w:p>
      <w:pPr>
        <w:pStyle w:val="ListBullet"/>
        <w:ind w:left="432"/>
      </w:pPr>
      <w:r>
        <w:rPr>
          <w:sz w:val="21"/>
        </w:rPr>
        <w:t>Sort by priority: Critical (0) → High (1) → Medium (2) → Low (3)</w:t>
      </w:r>
    </w:p>
    <w:p>
      <w:pPr>
        <w:pStyle w:val="ListBullet"/>
        <w:ind w:left="432"/>
      </w:pPr>
      <w:r>
        <w:rPr>
          <w:sz w:val="21"/>
        </w:rPr>
        <w:t>Deduplicate: if the same product name appears from multiple rules, only the first (highest priority) instance is kept</w:t>
      </w:r>
    </w:p>
    <w:p>
      <w:pPr>
        <w:pStyle w:val="ListBullet"/>
        <w:ind w:left="432"/>
      </w:pPr>
      <w:r>
        <w:rPr>
          <w:sz w:val="21"/>
        </w:rPr>
        <w:t>Cap at 5: only the top 5 unique recommendations are returned per client</w:t>
      </w:r>
    </w:p>
    <w:p>
      <w:r>
        <w:rPr>
          <w:b w:val="0"/>
          <w:i w:val="0"/>
          <w:sz w:val="22"/>
        </w:rPr>
        <w:t>This ensures relationship managers receive a focused, prioritised shortlist rather than an overwhelming list of every eligible product.</w:t>
      </w:r>
    </w:p>
    <w:p/>
    <w:p>
      <w:pPr>
        <w:pStyle w:val="Heading1"/>
      </w:pPr>
      <w:r>
        <w:rPr>
          <w:color w:val="1F4E79"/>
        </w:rPr>
        <w:t>10. Sample API Response (Single Client)</w:t>
      </w:r>
    </w:p>
    <w:p>
      <w:r>
        <w:rPr>
          <w:b w:val="0"/>
          <w:i w:val="0"/>
          <w:sz w:val="22"/>
        </w:rPr>
        <w:t>Input: 47-year-old male, PHP 1.6M income, Gold card, 3 transactions, 46 months tenure.</w:t>
      </w:r>
    </w:p>
    <w:p>
      <w:pPr>
        <w:ind w:left="432" w:right="432"/>
        <w:shd w:fill="F2F2F2"/>
      </w:pPr>
      <w:r>
        <w:rPr>
          <w:rFonts w:ascii="Courier New" w:hAnsi="Courier New"/>
          <w:sz w:val="18"/>
        </w:rPr>
        <w:t>{</w:t>
        <w:br/>
        <w:t xml:space="preserve">  "attrition_probability": 0.0521,</w:t>
        <w:br/>
        <w:t xml:space="preserve">  "attrition_flag": 0,</w:t>
        <w:br/>
        <w:t xml:space="preserve">  "attrition_risk_tier": "Low",</w:t>
        <w:br/>
        <w:t xml:space="preserve">  "client_segment": "Mid Career · Premium",</w:t>
        <w:br/>
        <w:t xml:space="preserve">  "top_drivers": {</w:t>
        <w:br/>
        <w:t xml:space="preserve">    "Avg_Txn_per_Tenure_Year": -0.1832,</w:t>
        <w:br/>
        <w:t xml:space="preserve">    "TotalTransactions": -0.1204,</w:t>
        <w:br/>
        <w:t xml:space="preserve">    "Age": 0.0871,</w:t>
        <w:br/>
        <w:t xml:space="preserve">    "Income": -0.0634,</w:t>
        <w:br/>
        <w:t xml:space="preserve">    "Credit_Utilization": -0.0512</w:t>
        <w:br/>
        <w:t xml:space="preserve">  },</w:t>
        <w:br/>
        <w:t xml:space="preserve">  "recommended_products": [</w:t>
        <w:br/>
        <w:t xml:space="preserve">    {</w:t>
        <w:br/>
        <w:t xml:space="preserve">      "product": "UnionBank Black Visa Card",</w:t>
        <w:br/>
        <w:t xml:space="preserve">      "category": "Upgrade",</w:t>
        <w:br/>
        <w:t xml:space="preserve">      "reason": "Income qualifies for Black tier (PHP 1,600,000/yr)",</w:t>
        <w:br/>
        <w:t xml:space="preserve">      "priority": "Medium",</w:t>
        <w:br/>
        <w:t xml:space="preserve">      "action": "Initiate card upgrade offer to UnionBank Black Visa."</w:t>
        <w:br/>
        <w:t xml:space="preserve">    },</w:t>
        <w:br/>
        <w:t xml:space="preserve">    {</w:t>
        <w:br/>
        <w:t xml:space="preserve">      "product": "UnionBank Online / EON Digital Banking",</w:t>
        <w:br/>
        <w:t xml:space="preserve">      "category": "Engagement",</w:t>
        <w:br/>
        <w:t xml:space="preserve">      "reason": "Only 3 total transactions recorded — less than 1 per month",</w:t>
        <w:br/>
        <w:t xml:space="preserve">      "priority": "Medium",</w:t>
        <w:br/>
        <w:t xml:space="preserve">      "action": "Send digital onboarding push notification."</w:t>
        <w:br/>
        <w:t xml:space="preserve">    },</w:t>
        <w:br/>
        <w:t xml:space="preserve">    {</w:t>
        <w:br/>
        <w:t xml:space="preserve">      "product": "UnionBank Unit Investment Trust Fund (UITF)",</w:t>
        <w:br/>
        <w:t xml:space="preserve">      "category": "CrossSell",</w:t>
        <w:br/>
        <w:t xml:space="preserve">      "reason": "High-income client with moderate card utilization",</w:t>
        <w:br/>
        <w:t xml:space="preserve">      "priority": "Medium",</w:t>
        <w:br/>
        <w:t xml:space="preserve">      "action": "Refer to Trust &amp; Investment Division."</w:t>
        <w:br/>
        <w:t xml:space="preserve">    }</w:t>
        <w:br/>
        <w:t xml:space="preserve">  ]</w:t>
        <w:br/>
        <w:t>}</w:t>
      </w:r>
    </w:p>
    <w:p/>
    <w:p>
      <w:pPr>
        <w:pStyle w:val="Heading1"/>
      </w:pPr>
      <w:r>
        <w:rPr>
          <w:color w:val="1F4E79"/>
        </w:rPr>
        <w:t>11. Known Limitations &amp; Future Improvements</w:t>
      </w:r>
    </w:p>
    <w:p>
      <w:pPr>
        <w:pStyle w:val="Heading2"/>
      </w:pPr>
      <w:r>
        <w:t>11.1  Current Limitations</w:t>
      </w:r>
    </w:p>
    <w:p>
      <w:pPr>
        <w:pStyle w:val="ListBullet"/>
        <w:ind w:left="432"/>
      </w:pPr>
      <w:r>
        <w:rPr>
          <w:sz w:val="21"/>
        </w:rPr>
        <w:t>Income thresholds are fixed constants — not dynamically calibrated to portfolio-level data</w:t>
      </w:r>
    </w:p>
    <w:p>
      <w:pPr>
        <w:pStyle w:val="ListBullet"/>
        <w:ind w:left="432"/>
      </w:pPr>
      <w:r>
        <w:rPr>
          <w:sz w:val="21"/>
        </w:rPr>
        <w:t>Attrition probability is near-random (PR-AUC ≈ 0.05); retention recommendations are soft signals only</w:t>
      </w:r>
    </w:p>
    <w:p>
      <w:pPr>
        <w:pStyle w:val="ListBullet"/>
        <w:ind w:left="432"/>
      </w:pPr>
      <w:r>
        <w:rPr>
          <w:sz w:val="21"/>
        </w:rPr>
        <w:t>No personalization beyond the 11 available features — product affinity scoring not possible without transaction history</w:t>
      </w:r>
    </w:p>
    <w:p>
      <w:pPr>
        <w:pStyle w:val="ListBullet"/>
        <w:ind w:left="432"/>
      </w:pPr>
      <w:r>
        <w:rPr>
          <w:sz w:val="21"/>
        </w:rPr>
        <w:t>Card eligibility requirements are approximate — actual bank policy may include additional criteria (credit score, existing delinquency, etc.)</w:t>
      </w:r>
    </w:p>
    <w:p>
      <w:pPr>
        <w:pStyle w:val="Heading2"/>
      </w:pPr>
      <w:r>
        <w:t>11.2  Recommended Enhancements</w:t>
      </w:r>
    </w:p>
    <w:p>
      <w:pPr>
        <w:pStyle w:val="ListBullet"/>
        <w:ind w:left="432"/>
      </w:pPr>
      <w:r>
        <w:rPr>
          <w:sz w:val="21"/>
        </w:rPr>
        <w:t>Integrate transaction-level behavioral features (recency, frequency, trend slope) to improve both attrition signal and recommendation relevance</w:t>
      </w:r>
    </w:p>
    <w:p>
      <w:pPr>
        <w:pStyle w:val="ListBullet"/>
        <w:ind w:left="432"/>
      </w:pPr>
      <w:r>
        <w:rPr>
          <w:sz w:val="21"/>
        </w:rPr>
        <w:t>Replace static income thresholds with dynamic percentile-based segmentation recalculated at each model refresh cycle</w:t>
      </w:r>
    </w:p>
    <w:p>
      <w:pPr>
        <w:pStyle w:val="ListBullet"/>
        <w:ind w:left="432"/>
      </w:pPr>
      <w:r>
        <w:rPr>
          <w:sz w:val="21"/>
        </w:rPr>
        <w:t>Add product acceptance feedback loop — log which recommendations led to conversions and use this to weight rules over time</w:t>
      </w:r>
    </w:p>
    <w:p>
      <w:pPr>
        <w:pStyle w:val="ListBullet"/>
        <w:ind w:left="432"/>
      </w:pPr>
      <w:r>
        <w:rPr>
          <w:sz w:val="21"/>
        </w:rPr>
        <w:t>Add a product exclusion list — do not recommend products the client already holds</w:t>
      </w:r>
    </w:p>
    <w:p/>
    <w:p>
      <w:pPr>
        <w:pStyle w:val="Heading1"/>
      </w:pPr>
      <w:r>
        <w:rPr>
          <w:color w:val="1F4E79"/>
        </w:rPr>
        <w:t>12. Code Reference</w:t>
      </w:r>
    </w:p>
    <w:tbl>
      <w:tblPr>
        <w:tblStyle w:val="TableGrid"/>
        <w:tblW w:type="auto" w:w="0"/>
        <w:jc w:val="left"/>
        <w:tblLook w:firstColumn="1" w:firstRow="1" w:lastColumn="0" w:lastRow="0" w:noHBand="0" w:noVBand="1" w:val="04A0"/>
      </w:tblPr>
      <w:tblGrid>
        <w:gridCol w:w="4392"/>
        <w:gridCol w:w="4392"/>
      </w:tblGrid>
      <w:tr>
        <w:tc>
          <w:tcPr>
            <w:tcW w:type="dxa" w:w="3168"/>
            <w:shd w:fill="1F4E79" w:color="FFFFFF"/>
          </w:tcPr>
          <w:p>
            <w:r>
              <w:rPr>
                <w:b/>
                <w:color w:val="FFFFFF"/>
                <w:sz w:val="20"/>
              </w:rPr>
              <w:t>File</w:t>
            </w:r>
          </w:p>
        </w:tc>
        <w:tc>
          <w:tcPr>
            <w:tcW w:type="dxa" w:w="5760"/>
            <w:shd w:fill="1F4E79" w:color="FFFFFF"/>
          </w:tcPr>
          <w:p>
            <w:r>
              <w:rPr>
                <w:b/>
                <w:color w:val="FFFFFF"/>
                <w:sz w:val="20"/>
              </w:rPr>
              <w:t>Purpose</w:t>
            </w:r>
          </w:p>
        </w:tc>
      </w:tr>
      <w:tr>
        <w:tc>
          <w:tcPr>
            <w:tcW w:type="dxa" w:w="3168"/>
          </w:tcPr>
          <w:p>
            <w:r>
              <w:rPr>
                <w:sz w:val="20"/>
              </w:rPr>
              <w:t>api/recommender.py</w:t>
            </w:r>
          </w:p>
        </w:tc>
        <w:tc>
          <w:tcPr>
            <w:tcW w:type="dxa" w:w="5760"/>
          </w:tcPr>
          <w:p>
            <w:r>
              <w:rPr>
                <w:sz w:val="20"/>
              </w:rPr>
              <w:t>All rule logic — get_recommendations(), five rule layer functions, RecommendationBundle</w:t>
            </w:r>
          </w:p>
        </w:tc>
      </w:tr>
      <w:tr>
        <w:tc>
          <w:tcPr>
            <w:tcW w:type="dxa" w:w="3168"/>
          </w:tcPr>
          <w:p>
            <w:r>
              <w:rPr>
                <w:sz w:val="20"/>
              </w:rPr>
              <w:t>api/schemas.py</w:t>
            </w:r>
          </w:p>
        </w:tc>
        <w:tc>
          <w:tcPr>
            <w:tcW w:type="dxa" w:w="5760"/>
          </w:tcPr>
          <w:p>
            <w:r>
              <w:rPr>
                <w:sz w:val="20"/>
              </w:rPr>
              <w:t>Pydantic models — RecommendedProduct, PredictionResponse (includes recommended_products field)</w:t>
            </w:r>
          </w:p>
        </w:tc>
      </w:tr>
      <w:tr>
        <w:tc>
          <w:tcPr>
            <w:tcW w:type="dxa" w:w="3168"/>
          </w:tcPr>
          <w:p>
            <w:r>
              <w:rPr>
                <w:sz w:val="20"/>
              </w:rPr>
              <w:t>api/transformers.py</w:t>
            </w:r>
          </w:p>
        </w:tc>
        <w:tc>
          <w:tcPr>
            <w:tcW w:type="dxa" w:w="5760"/>
          </w:tcPr>
          <w:p>
            <w:r>
              <w:rPr>
                <w:sz w:val="20"/>
              </w:rPr>
              <w:t>Custom sklearn transformers — WinsorizationTransformer, LRFeatureEngineeringTransformer</w:t>
            </w:r>
          </w:p>
        </w:tc>
      </w:tr>
      <w:tr>
        <w:tc>
          <w:tcPr>
            <w:tcW w:type="dxa" w:w="3168"/>
          </w:tcPr>
          <w:p>
            <w:r>
              <w:rPr>
                <w:sz w:val="20"/>
              </w:rPr>
              <w:t>main.py</w:t>
            </w:r>
          </w:p>
        </w:tc>
        <w:tc>
          <w:tcPr>
            <w:tcW w:type="dxa" w:w="5760"/>
          </w:tcPr>
          <w:p>
            <w:r>
              <w:rPr>
                <w:sz w:val="20"/>
              </w:rPr>
              <w:t>FastAPI app — calls get_recommendations() after pipeline.predict_proba()</w:t>
            </w:r>
          </w:p>
        </w:tc>
      </w:tr>
      <w:tr>
        <w:tc>
          <w:tcPr>
            <w:tcW w:type="dxa" w:w="3168"/>
          </w:tcPr>
          <w:p>
            <w:r>
              <w:rPr>
                <w:sz w:val="20"/>
              </w:rPr>
              <w:t>scripts/serialize_model.py</w:t>
            </w:r>
          </w:p>
        </w:tc>
        <w:tc>
          <w:tcPr>
            <w:tcW w:type="dxa" w:w="5760"/>
          </w:tcPr>
          <w:p>
            <w:r>
              <w:rPr>
                <w:sz w:val="20"/>
              </w:rPr>
              <w:t>Training script — builds and saves the inference pipeline to models/</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