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Since the BBC Cardiff project the amount of work Fishbone has had from Macdonald Joinery has fallen sharply. [ADD, in your own words and only if true: why you believe this is connected to the events above, for example anything Mr Macdonald said to you, any job you were not given, any job taken away. Do not state a reason you cannot support.]</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[DECIDE one version and delete the other: (a) "I give this evidence to show the working relationship with Macdonald Joinery. Fishbone's counterclaim in this case is limited to £4,966.05." or (b) a different statement of what you ask the court to do about the loss of work. Version (b) goes beyond the N9B you filed and would need the court's permission; take advice (Citizens Advice, a law centre or LawWorks) before choosing it. I cannot advise.]</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2026-10-21T00:01:46Z</dcterms:created>
  <dcterms:modified xsi:type="dcterms:W3CDTF">2026-10-21T00:01:46Z</dcterms:modified>
</cp:coreProperties>
</file>

<file path=docProps/custom.xml><?xml version="1.0" encoding="utf-8"?>
<Properties xmlns="http://schemas.openxmlformats.org/officeDocument/2006/custom-properties" xmlns:vt="http://schemas.openxmlformats.org/officeDocument/2006/docPropsVTypes"/>
</file>