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8"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on the BBC Cardiff project. Macdonald Joinery, owned by Dave Macdonald, was the main contractor and Fishbone's client [CONFIRM; the Chronology spells it "McDonald", use one spelling throughout].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[ADD if you wish: who chose and supplied the labour on site. The Claimant says all workers were supplied by Fishbone; say plainly what is true.]</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pre-handover meeting and inspection took place on site. Mr Davidans attended for Fishbone, with a representative of the client (BBC Cardiff). Outstanding works, incomplete items and defects were identified and discussed. I was not at that meeting. [CONFIRM: how you know what was discussed.] After it, Mr Davidans did not report those matters to me and continued to tell me the project was progressing and under control.</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On 12 and 13 February 2026 Dave Macdonald, the owner of Macdonald Joinery, sent me WhatsApp messages about the state of the works. They complained about the quality, including tiling and skirting that did not line through the walls, chipped panels covered with silicone, and that parts might have to be ripped out, and said the architect was unhappy. I exhibit screenshots of that conversation as MG6. [CONFIRM which messages are Mr Macdonald's and which are yours, and check every sentence of this paragraph against the screenshots. The messages contain strong language and some of Mr Macdonald's remarks are about Mr Davidans personally; decide what you are content for the court and MSEM to read.]</w:t>
      </w:r>
    </w:p>
    <w:p>
      <w:pPr>
        <w:pStyle w:val="BodyText"/>
      </w:pPr>
      <w:r>
        <w:t xml:space="preserve">10A. At 15:11 on 12 February 2026 Dave Newell of J4 Projects [CONFIRM his role for the BBC] emailed Mr Macdonald, copying the architect, a snagging list of the site review that day. He asked for the items to be put right and said handover would be delayed until items 1 to 16 were complete. At 15:32 Mr Macdonald forwarded it to me with the words "This is just the start of it." The email and the list, "Cardiff snagging list following site review 12th Feb 2026", are exhibited as MG8. The list includes the cubicles being set out from the back wall while the floor was set out from the front wall, the skirting tiles, panels not aligned, damaged edges, silicone to be replaced, and shadow gaps to be made good. [CONFIRM that this list matches what you were told on the day. Note that it does not mention the toilet installations or the cubicle ceiling heights that the Defence lists; say what is true about those.]</w:t>
      </w:r>
    </w:p>
    <w:p>
      <w:pPr>
        <w:pStyle w:val="BodyText"/>
      </w:pPr>
      <w:r>
        <w:t xml:space="preserve">11. During the handover Fishbone sent two further subcontractors, Sebastian and Dainius [CONFIRM full names and whether "Dainius" is Mr Drulia], to assess what remained and whether completion was still possible. On 13 February 2026 I told Mr Macdonald by WhatsApp that Sebastian and Dainius were at the site sending me videos and that we were working out how to put the work right. [CONFIRM against the screenshots, MG6.]</w:t>
      </w:r>
    </w:p>
    <w:p>
      <w:pPr>
        <w:pStyle w:val="BodyText"/>
      </w:pPr>
      <w:r>
        <w:t xml:space="preserve">12. After the inspection Mr Davidans left site and, from about 14 February 2026, did not come back and did not communicate with Fishbone about the outstanding works, the handover or the site. [CONFIRM. Note: the Claimant's invoice 554 bills 13 February as a site day and says he finished on Friday 13 February as planned. Say what you know about whether he was on site on 13 February.]</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 in the cubicles, which Fishbone had repaired rather than replaced, by Snag Doctor (Cardiff), at a cost of £636.00 including VAT (invoice INV-0622 of 15 February 2026, MG9);</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 [CONFIRM that the Snag Doctor invoice of £636.00 (paragraph 13, MG9) is included in the £7,997.25.]</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X7d9f29fd07fe26de245afc66a1c0db215147287"/>
    <w:p>
      <w:pPr>
        <w:pStyle w:val="Heading2"/>
      </w:pPr>
      <w:r>
        <w:t xml:space="preserve">Effect on Fishbone's business with Macdonald Joinery</w:t>
      </w:r>
    </w:p>
    <w:p>
      <w:pPr>
        <w:pStyle w:val="FirstParagraph"/>
      </w:pPr>
      <w:r>
        <w:t xml:space="preserve">20. Macdonald Joinery and Construction is Fishbone's main customer. [ADD: how long you have worked together and the kind of work.] The events on the BBC Cardiff project damaged that relationship. Mr Macdonald's messages of 12 and 13 February 2026 (MG6) show how serious the client considered the problems to be. Since the BBC Cardiff project the amount of work Fishbone has had from Macdonald Joinery has fallen sharply, as the figures below show. [ADD, in your own words and only if true, what you know that links the fall to the BBC Cardiff problems: anything Mr Macdonald said to you, any job you were not given or that was taken away, any change in how he deals with Fishbone. If the only link is that the fall followed the project, say exactly that and no more.]</w:t>
      </w:r>
    </w:p>
    <w:p>
      <w:pPr>
        <w:pStyle w:val="BodyText"/>
      </w:pPr>
      <w:r>
        <w:t xml:space="preserve">21. The table below is taken from Fishbone's QuickBooks Online accounts (Sales by Customer report, accrual basis, for customer "Macdonald Joinery and Construction" including its job accounts). Fishbone's financial year runs from 1 May to 30 April. Figures are sales invoiced, rounded to the nearest pound. The report is exhibited as MG7.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Sales to Macdonald Joinery</w:t>
            </w:r>
          </w:p>
        </w:tc>
        <w:tc>
          <w:tcPr/>
          <w:p>
            <w:pPr>
              <w:pStyle w:val="Compact"/>
            </w:pPr>
            <w:r>
              <w:t xml:space="preserve">All sales</w:t>
            </w:r>
          </w:p>
        </w:tc>
        <w:tc>
          <w:tcPr/>
          <w:p>
            <w:pPr>
              <w:pStyle w:val="Compact"/>
            </w:pPr>
            <w:r>
              <w:t xml:space="preserve">Macdonald share</w:t>
            </w:r>
          </w:p>
        </w:tc>
      </w:tr>
      <w:tr>
        <w:tc>
          <w:tcPr/>
          <w:p>
            <w:pPr>
              <w:pStyle w:val="Compact"/>
            </w:pPr>
            <w:r>
              <w:t xml:space="preserve">Year to 30 Apr 2022</w:t>
            </w:r>
          </w:p>
        </w:tc>
        <w:tc>
          <w:tcPr/>
          <w:p>
            <w:pPr>
              <w:pStyle w:val="Compact"/>
            </w:pPr>
            <w:r>
              <w:t xml:space="preserve">£580,999</w:t>
            </w:r>
          </w:p>
        </w:tc>
        <w:tc>
          <w:tcPr/>
          <w:p>
            <w:pPr>
              <w:pStyle w:val="Compact"/>
            </w:pPr>
            <w:r>
              <w:t xml:space="preserve">£624,405</w:t>
            </w:r>
          </w:p>
        </w:tc>
        <w:tc>
          <w:tcPr/>
          <w:p>
            <w:pPr>
              <w:pStyle w:val="Compact"/>
            </w:pPr>
            <w:r>
              <w:t xml:space="preserve">93%</w:t>
            </w:r>
          </w:p>
        </w:tc>
      </w:tr>
      <w:tr>
        <w:tc>
          <w:tcPr/>
          <w:p>
            <w:pPr>
              <w:pStyle w:val="Compact"/>
            </w:pPr>
            <w:r>
              <w:t xml:space="preserve">Year to 30 Apr 2023</w:t>
            </w:r>
          </w:p>
        </w:tc>
        <w:tc>
          <w:tcPr/>
          <w:p>
            <w:pPr>
              <w:pStyle w:val="Compact"/>
            </w:pPr>
            <w:r>
              <w:t xml:space="preserve">£2,716,437</w:t>
            </w:r>
          </w:p>
        </w:tc>
        <w:tc>
          <w:tcPr/>
          <w:p>
            <w:pPr>
              <w:pStyle w:val="Compact"/>
            </w:pPr>
            <w:r>
              <w:t xml:space="preserve">£2,759,546</w:t>
            </w:r>
          </w:p>
        </w:tc>
        <w:tc>
          <w:tcPr/>
          <w:p>
            <w:pPr>
              <w:pStyle w:val="Compact"/>
            </w:pPr>
            <w:r>
              <w:t xml:space="preserve">98%</w:t>
            </w:r>
          </w:p>
        </w:tc>
      </w:tr>
      <w:tr>
        <w:tc>
          <w:tcPr/>
          <w:p>
            <w:pPr>
              <w:pStyle w:val="Compact"/>
            </w:pPr>
            <w:r>
              <w:t xml:space="preserve">Year to 30 Apr 2024</w:t>
            </w:r>
          </w:p>
        </w:tc>
        <w:tc>
          <w:tcPr/>
          <w:p>
            <w:pPr>
              <w:pStyle w:val="Compact"/>
            </w:pPr>
            <w:r>
              <w:t xml:space="preserve">£2,192,759</w:t>
            </w:r>
          </w:p>
        </w:tc>
        <w:tc>
          <w:tcPr/>
          <w:p>
            <w:pPr>
              <w:pStyle w:val="Compact"/>
            </w:pPr>
            <w:r>
              <w:t xml:space="preserve">£2,305,269</w:t>
            </w:r>
          </w:p>
        </w:tc>
        <w:tc>
          <w:tcPr/>
          <w:p>
            <w:pPr>
              <w:pStyle w:val="Compact"/>
            </w:pPr>
            <w:r>
              <w:t xml:space="preserve">95%</w:t>
            </w:r>
          </w:p>
        </w:tc>
      </w:tr>
      <w:tr>
        <w:tc>
          <w:tcPr/>
          <w:p>
            <w:pPr>
              <w:pStyle w:val="Compact"/>
            </w:pPr>
            <w:r>
              <w:t xml:space="preserve">Year to 30 Apr 2025</w:t>
            </w:r>
          </w:p>
        </w:tc>
        <w:tc>
          <w:tcPr/>
          <w:p>
            <w:pPr>
              <w:pStyle w:val="Compact"/>
            </w:pPr>
            <w:r>
              <w:t xml:space="preserve">£641,685</w:t>
            </w:r>
          </w:p>
        </w:tc>
        <w:tc>
          <w:tcPr/>
          <w:p>
            <w:pPr>
              <w:pStyle w:val="Compact"/>
            </w:pPr>
            <w:r>
              <w:t xml:space="preserve">£1,387,415</w:t>
            </w:r>
          </w:p>
        </w:tc>
        <w:tc>
          <w:tcPr/>
          <w:p>
            <w:pPr>
              <w:pStyle w:val="Compact"/>
            </w:pPr>
            <w:r>
              <w:t xml:space="preserve">46%</w:t>
            </w:r>
          </w:p>
        </w:tc>
      </w:tr>
      <w:tr>
        <w:tc>
          <w:tcPr/>
          <w:p>
            <w:pPr>
              <w:pStyle w:val="Compact"/>
            </w:pPr>
            <w:r>
              <w:t xml:space="preserve">Year to 30 Apr 2026</w:t>
            </w:r>
          </w:p>
        </w:tc>
        <w:tc>
          <w:tcPr/>
          <w:p>
            <w:pPr>
              <w:pStyle w:val="Compact"/>
            </w:pPr>
            <w:r>
              <w:t xml:space="preserve">£1,482,699</w:t>
            </w:r>
          </w:p>
        </w:tc>
        <w:tc>
          <w:tcPr/>
          <w:p>
            <w:pPr>
              <w:pStyle w:val="Compact"/>
            </w:pPr>
            <w:r>
              <w:t xml:space="preserve">£2,106,289</w:t>
            </w:r>
          </w:p>
        </w:tc>
        <w:tc>
          <w:tcPr/>
          <w:p>
            <w:pPr>
              <w:pStyle w:val="Compact"/>
            </w:pPr>
            <w:r>
              <w:t xml:space="preserve">70%</w:t>
            </w:r>
          </w:p>
        </w:tc>
      </w:tr>
      <w:tr>
        <w:tc>
          <w:tcPr/>
          <w:p>
            <w:pPr>
              <w:pStyle w:val="Compact"/>
            </w:pPr>
            <w:r>
              <w:t xml:space="preserve">1 May 2026 to 20 Oct 2026</w:t>
            </w:r>
          </w:p>
        </w:tc>
        <w:tc>
          <w:tcPr/>
          <w:p>
            <w:pPr>
              <w:pStyle w:val="Compact"/>
            </w:pPr>
            <w:r>
              <w:t xml:space="preserve">£65,186</w:t>
            </w:r>
          </w:p>
        </w:tc>
        <w:tc>
          <w:tcPr/>
          <w:p>
            <w:pPr>
              <w:pStyle w:val="Compact"/>
            </w:pPr>
            <w:r>
              <w:t xml:space="preserve">£328,159</w:t>
            </w:r>
          </w:p>
        </w:tc>
        <w:tc>
          <w:tcPr/>
          <w:p>
            <w:pPr>
              <w:pStyle w:val="Compact"/>
            </w:pPr>
            <w:r>
              <w:t xml:space="preserve">20%</w:t>
            </w:r>
          </w:p>
        </w:tc>
      </w:tr>
    </w:tbl>
    <w:p>
      <w:pPr>
        <w:pStyle w:val="BodyText"/>
      </w:pPr>
      <w:r>
        <w:t xml:space="preserve">22. Comparing the same six-month periods: from 1 May to 31 October 2025 Fishbone's sales to Macdonald Joinery were £1,073,455 out of total sales of £1,304,558. From 1 November 2025 to 30 April 2026 they were £409,244 out of £801,732. From 1 May to 20 October 2026 they were £65,186 out of £328,159. Monthly sales to Macdonald Joinery were £160,117 in November 2025, £34,570 in December 2025 and £36,025 in January 2026. [CONFIRM all figures against the QuickBooks report you export for MG7 before signing.]</w:t>
      </w:r>
    </w:p>
    <w:p>
      <w:pPr>
        <w:pStyle w:val="BodyText"/>
      </w:pPr>
      <w:r>
        <w:t xml:space="preserve">23. [EXPLAIN, because the table shows it: sales to Macdonald Joinery were also lower in the year to 30 April 2025 (£641,685) than in the two years before. Say what happened in that year, for example fewer or smaller jobs, so that the court is not left to guess. If you do not know, say so.]</w:t>
      </w:r>
    </w:p>
    <w:p>
      <w:pPr>
        <w:pStyle w:val="BodyText"/>
      </w:pPr>
      <w:r>
        <w:t xml:space="preserve">24. I give this evidence to show the damage that has been done to Fishbone's working relationship with Macdonald Joinery and to the business Fishbone does with it. Fishbone does not ask the court in this claim to award compensation for that loss; its counterclaim is limited to £4,966.05.</w:t>
      </w:r>
    </w:p>
    <w:bookmarkEnd w:id="14"/>
    <w:bookmarkStart w:id="15"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Screenshots of WhatsApp messages with Dave Macdonald, 12–13 February 2026.   MG7 QuickBooks Sales by Customer report for Macdonald Joinery and Construction, 1 May 2021 to 20 October 2026 [export from QuickBooks and print or save as PDF].   MG8 Email of Dave Newell, J4 Projects, 12 February 2026 15:11, forwarded by Mr Macdonald at 15:32, with the snagging list [forward from info@; see the bundle index].   MG9 Snag Doctor (Cardiff) invoice INV-0622, 15 February 2026, for the repair of the damaged cubicle panels.   [MG10 onwards: remedial invoices and proof of payment; photographs; snagging list; phone records – add only what you have.] See the bundle index.</w:t>
      </w:r>
    </w:p>
    <w:bookmarkEnd w:id="15"/>
    <w:bookmarkStart w:id="16"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6"/>
    <w:bookmarkStart w:id="17"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Dave Macdonald</w:t>
      </w:r>
      <w:r>
        <w:t xml:space="preserve"> </w:t>
      </w:r>
      <w:r>
        <w:t xml:space="preserve">(owner, Macdonald Joinery; main contractor and Fishbone's client) – he is outside the company and is the strongest independent witness: what the architect and he found on 12 February, what he asked Fishbone to put right, and what he said about Mr Davidans' management. Only he can say it. Ask him today whether he will write and sign a short statement; that would be your third witness if Mr Drulia or Mr Prutkovas cannot do it.</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2026-10-21T00:24:24Z</dcterms:created>
  <dcterms:modified xsi:type="dcterms:W3CDTF">2026-10-21T00:24:24Z</dcterms:modified>
</cp:coreProperties>
</file>

<file path=docProps/custom.xml><?xml version="1.0" encoding="utf-8"?>
<Properties xmlns="http://schemas.openxmlformats.org/officeDocument/2006/custom-properties" xmlns:vt="http://schemas.openxmlformats.org/officeDocument/2006/docPropsVTypes"/>
</file>