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DRAFT v0.1 for Minda to check, correct and sign. Not legal advice.</w:t>
      </w:r>
      <w:r>
        <w:t xml:space="preserve"> </w:t>
      </w:r>
      <w:r>
        <w:t xml:space="preserve">Written from Fishbone's own filed documents only (N9B, Chronology, 18 March email, N180). Everything in</w:t>
      </w:r>
      <w:r>
        <w:t xml:space="preserve"> </w:t>
      </w:r>
      <w:r>
        <w:rPr>
          <w:b/>
          <w:bCs/>
        </w:rPr>
        <w:t xml:space="preserve">[square brackets]</w:t>
      </w:r>
      <w:r>
        <w:t xml:space="preserve"> </w:t>
      </w:r>
      <w:r>
        <w:t xml:space="preserve">is something only you can confirm or add. Delete these notes and the brackets before filing. Only sign when every paragraph is true as you remember it: it carries a statement of truth. Filing deadline: 4pm Wed 21 Oct 2026.</w:t>
      </w:r>
    </w:p>
    <w:p>
      <w:pPr>
        <w:pStyle w:val="BodyText"/>
      </w:pPr>
      <w:r>
        <w:rPr>
          <w:b/>
          <w:bCs/>
        </w:rPr>
        <w:t xml:space="preserve">IN THE COUNTY COURT AT LINCOLN</w:t>
      </w:r>
    </w:p>
    <w:tbl>
      <w:tblPr>
        <w:tblStyle w:val="Table"/>
        <w:tblW w:type="auto" w:w="0"/>
        <w:tblLook w:firstRow="0" w:lastRow="0" w:firstColumn="0" w:lastColumn="0" w:noHBand="0" w:noVBand="0" w:val="0000"/>
      </w:tblPr>
      <w:tblGrid>
        <w:gridCol w:w="3960"/>
        <w:gridCol w:w="3960"/>
      </w:tblGrid>
      <w:tr>
        <w:tc>
          <w:tcPr/>
          <w:p>
            <w:pPr>
              <w:pStyle w:val="Compact"/>
            </w:pPr>
            <w:r>
              <w:t xml:space="preserve">Claim No.</w:t>
            </w:r>
          </w:p>
        </w:tc>
        <w:tc>
          <w:tcPr/>
          <w:p>
            <w:pPr>
              <w:pStyle w:val="Compact"/>
            </w:pPr>
            <w:r>
              <w:t xml:space="preserve">019JE538</w:t>
            </w:r>
          </w:p>
        </w:tc>
      </w:tr>
      <w:tr>
        <w:tc>
          <w:tcPr/>
          <w:p>
            <w:pPr>
              <w:pStyle w:val="Compact"/>
            </w:pPr>
            <w:r>
              <w:t xml:space="preserve">Claimant</w:t>
            </w:r>
          </w:p>
        </w:tc>
        <w:tc>
          <w:tcPr/>
          <w:p>
            <w:pPr>
              <w:pStyle w:val="Compact"/>
            </w:pPr>
            <w:r>
              <w:t xml:space="preserve">MSEM UK LTD</w:t>
            </w:r>
          </w:p>
        </w:tc>
      </w:tr>
      <w:tr>
        <w:tc>
          <w:tcPr/>
          <w:p>
            <w:pPr>
              <w:pStyle w:val="Compact"/>
            </w:pPr>
            <w:r>
              <w:t xml:space="preserve">Defendant and Counterclaimant</w:t>
            </w:r>
          </w:p>
        </w:tc>
        <w:tc>
          <w:tcPr/>
          <w:p>
            <w:pPr>
              <w:pStyle w:val="Compact"/>
            </w:pPr>
            <w:r>
              <w:t xml:space="preserve">FISHBONE CONSTRUCTION LTD</w:t>
            </w:r>
          </w:p>
        </w:tc>
      </w:tr>
    </w:tbl>
    <w:bookmarkStart w:id="18" w:name="Xc7f01000e52d16683ca96574599e04fe2a77bb1"/>
    <w:p>
      <w:pPr>
        <w:pStyle w:val="Heading1"/>
      </w:pPr>
      <w:r>
        <w:t xml:space="preserve">WITNESS STATEMENT OF MINDAUGAS GAUDIESIUS</w:t>
      </w:r>
    </w:p>
    <w:p>
      <w:pPr>
        <w:pStyle w:val="FirstParagraph"/>
      </w:pPr>
      <w:r>
        <w:t xml:space="preserve">Made on behalf of the Defendant</w:t>
      </w:r>
    </w:p>
    <w:p>
      <w:pPr>
        <w:pStyle w:val="BodyText"/>
      </w:pPr>
      <w:r>
        <w:t xml:space="preserve">I, Mindaugas Gaudiesius, of 6 Beverley Place, Wallsend NE28 7BH, [Managing Director / Company Director – use the title you are comfortable with] of Fishbone Construction Ltd, say as follows. The facts below are within my own knowledge unless I say otherwise.</w:t>
      </w:r>
    </w:p>
    <w:bookmarkStart w:id="9" w:name="background"/>
    <w:p>
      <w:pPr>
        <w:pStyle w:val="Heading2"/>
      </w:pPr>
      <w:r>
        <w:t xml:space="preserve">Background</w:t>
      </w:r>
    </w:p>
    <w:p>
      <w:pPr>
        <w:pStyle w:val="FirstParagraph"/>
      </w:pPr>
      <w:r>
        <w:t xml:space="preserve">1. Fishbone Construction Ltd ("Fishbone") was a subcontractor on the BBC Cardiff project. Macdonald Joinery, owned by Dave Macdonald, was the main contractor and Fishbone's client [CONFIRM; the Chronology spells it "McDonald", use one spelling throughout]. I attach the documents I rely on as exhibits, listed at the end.</w:t>
      </w:r>
    </w:p>
    <w:p>
      <w:pPr>
        <w:pStyle w:val="BodyText"/>
      </w:pPr>
      <w:r>
        <w:t xml:space="preserve">2. The Claimant, MSEM UK Ltd, acting through its representative Mikheil Davidans, was engaged by Fishbone on or around 1 December 2025 as site manager on the project. He attended a pre-start meeting on 26 November 2025. He was engaged on a day rate [of £300 a day – CONFIRM; this is the rate on his invoice 554]. There was no written contract and no written agreement limiting his engagement to a fixed ten-week period.</w:t>
      </w:r>
    </w:p>
    <w:p>
      <w:pPr>
        <w:pStyle w:val="BodyText"/>
      </w:pPr>
      <w:r>
        <w:t xml:space="preserve">3. Mr Davidans' role was to oversee day-to-day site operations, monitor progress, coordinate subcontractors and labour, report progress to Fishbone, identify and deal with site issues, and help make sure the works were completed to the required standard and on programme. [STATE PLAINLY who chose, supplied and paid the operatives who did the installation work, and who directed them on site. Mr Davidans says Fishbone supplied them (his statement, paragraph 99). On 13 February 2026 Geoff Smith of Macdonald Joinery asked him "Are these your guys or Minda's?" (MD16 in the Claimant's bundle). Say what is true; do not leave it open.]</w:t>
      </w:r>
    </w:p>
    <w:bookmarkEnd w:id="9"/>
    <w:bookmarkStart w:id="10" w:name="before-the-handover"/>
    <w:p>
      <w:pPr>
        <w:pStyle w:val="Heading2"/>
      </w:pPr>
      <w:r>
        <w:t xml:space="preserve">Before the handover</w:t>
      </w:r>
    </w:p>
    <w:p>
      <w:pPr>
        <w:pStyle w:val="FirstParagraph"/>
      </w:pPr>
      <w:r>
        <w:t xml:space="preserve">4. From December 2025 to about 12 February 2026 I was in regular contact with Mr Davidans about progress, labour and programme. I relied on his updates and assurances and on the progress photographs he sent me. [CONFIRM how: calls, WhatsApp, email.]</w:t>
      </w:r>
    </w:p>
    <w:p>
      <w:pPr>
        <w:pStyle w:val="BodyText"/>
      </w:pPr>
      <w:r>
        <w:t xml:space="preserve">5. On or around 30 January 2026 a meeting took place on site that Mr Davidans attended with Dave Macdonald and representatives of the client. I was not there and I cannot give evidence of what was said. Mr Davidans says in his statement that the meeting was about the Roath Lock kitchens and that no complaint was made about the toilets. [DECIDE: the N9B and the Chronology you filed call this a pre-handover inspection of the toilets that found defects. If someone who was there (Dave Macdonald, Geoff Smith) will confirm that, say so and name them. If not, keep this paragraph as it is, or delete it. Do not repeat the N9B version unless you can support it.] After 30 January Mr Davidans did not tell me of any serious problems with the toilets and continued to tell me the project was progressing and under control. [CONFIRM this is true; Mr Davidans says he told you of the door gaps on 6 and 10 February; see paragraph 7A.]</w:t>
      </w:r>
    </w:p>
    <w:p>
      <w:pPr>
        <w:pStyle w:val="BodyText"/>
      </w:pPr>
      <w:r>
        <w:t xml:space="preserve">6. Between about 2 and 6 February 2026 Andrejus Prutkovas and I spoke to Mr Davidans by telephone several times. Each time we asked whether he needed more labour, more subcontractors, more support, or whether there was any issue that could affect completion. He asked for nothing and raised no concern. He told us the works were on programme and under control. [ADD: dates and times from your phone record if you can.]</w:t>
      </w:r>
    </w:p>
    <w:p>
      <w:pPr>
        <w:pStyle w:val="BodyText"/>
      </w:pPr>
      <w:r>
        <w:t xml:space="preserve">7. On 9 February 2026 Andrejus Prutkovas and I visited the site. We saw a number of incomplete works. We discussed them with Mr Davidans and again offered additional labour and support. He said he would complete the remaining works with the subcontractors and labour already on site. [CONFIRM exactly what you saw and what he said.]</w:t>
      </w:r>
    </w:p>
    <w:p>
      <w:pPr>
        <w:pStyle w:val="BodyText"/>
      </w:pPr>
      <w:r>
        <w:t xml:space="preserve">7A. Mr Davidans says that on 10 February 2026 at about 10:27 he sent me a WhatsApp video of gaps around a cubicle door, said the other doors needed adjusting, and asked me to telephone him (his statement, paragraph 48; video MD13-V1 on the Claimant's SD card). [WATCH THE VIDEO and check your WhatsApp. Say whether you received it, what you saw, whether you called him and what was said. If you did not receive it, say so. Do not write that he raised no concern in paragraph 6 unless that is still true after you have checked.]</w:t>
      </w:r>
    </w:p>
    <w:p>
      <w:pPr>
        <w:pStyle w:val="BodyText"/>
      </w:pPr>
      <w:r>
        <w:t xml:space="preserve">8. Because of what we saw, Fishbone arranged for Dainius Drulia, an experienced site manager from another project, to attend on 12 February 2026 to help with the handover. This was an additional cost to Fishbone. [ADD the cost if you have it.]</w:t>
      </w:r>
    </w:p>
    <w:bookmarkEnd w:id="10"/>
    <w:bookmarkStart w:id="11" w:name="Xccd429257fe82f127e8d6a148f814bfcc9aa5d4"/>
    <w:p>
      <w:pPr>
        <w:pStyle w:val="Heading2"/>
      </w:pPr>
      <w:r>
        <w:t xml:space="preserve">The handover inspection on 12 February 2026</w:t>
      </w:r>
    </w:p>
    <w:p>
      <w:pPr>
        <w:pStyle w:val="FirstParagraph"/>
      </w:pPr>
      <w:r>
        <w:t xml:space="preserve">9. 12 February 2026 was the intended completion and handover date. The inspection was attended by the client's representatives, the architect, Mr Davidans and Mr Drulia for Fishbone. [CONFIRM whether you attended; the Chronology says Mr Drulia did.]</w:t>
      </w:r>
    </w:p>
    <w:p>
      <w:pPr>
        <w:pStyle w:val="BodyText"/>
      </w:pPr>
      <w:r>
        <w:t xml:space="preserve">10. The handover was not achieved. I was told that substantial works were incomplete or defective and that there were concerns about Mr Davidans' management and supervision of the site. A snagging review was carried out. On 12 and 13 February 2026 Dave Macdonald, the owner of Macdonald Joinery, sent me WhatsApp messages about the state of the works. They complained about the quality, including tiling and skirting that did not line through the walls, chipped panels covered with silicone, and that parts might have to be ripped out, and said the architect was unhappy. I exhibit screenshots of that conversation as MG6. [CONFIRM which messages are Mr Macdonald's and which are yours, and check every sentence of this paragraph against the screenshots. The messages contain strong language and some of Mr Macdonald's remarks are about Mr Davidans personally; decide what you are content for the court and MSEM to read.]</w:t>
      </w:r>
    </w:p>
    <w:p>
      <w:pPr>
        <w:pStyle w:val="BodyText"/>
      </w:pPr>
      <w:r>
        <w:t xml:space="preserve">10A. At 15:11 on 12 February 2026 Dave Newell of J4 Projects [CONFIRM his role for the BBC] emailed Mr Macdonald, copying the architect, a snagging list of the site review that day. He asked for the items to be put right and said handover would be delayed until items 1 to 16 were complete. At 15:32 Mr Macdonald forwarded it to me with the words "This is just the start of it." The email and the list, "Cardiff snagging list following site review 12th Feb 2026", are exhibited as MG8. The list includes the cubicles being set out from the back wall while the floor was set out from the front wall, the skirting tiles, panels not aligned, damaged edges, silicone to be replaced, and shadow gaps to be made good. The Claimant exhibits the same list as MD15. [CONFIRM that this list matches what you were told on the day. Note that it does not mention the toilet installations or the cubicle ceiling heights that the Defence lists; say what is true about those.]</w:t>
      </w:r>
    </w:p>
    <w:p>
      <w:pPr>
        <w:pStyle w:val="BodyText"/>
      </w:pPr>
      <w:r>
        <w:t xml:space="preserve">11. During the handover Fishbone sent two further subcontractors, Sebastian and Dainius [CONFIRM full names and whether "Dainius" is Mr Drulia], to assess what remained and whether completion was still possible. On 13 February 2026 I told Mr Macdonald by WhatsApp that Sebastian and Dainius were at the site sending me videos and that we were working out how to put the work right. [CONFIRM against the screenshots, MG6.]</w:t>
      </w:r>
    </w:p>
    <w:p>
      <w:pPr>
        <w:pStyle w:val="BodyText"/>
      </w:pPr>
      <w:r>
        <w:t xml:space="preserve">12. Mr Davidans was on site on 13 February 2026: his invoice 554 bills that day, and his emails to Macdonald Joinery that afternoon (MD16 in the Claimant's bundle) show it. At 16:05 that day he wrote that he had been "removed", that he was on his way home, and that Sebastian had taken over. [CONFIRM, in your own words: did you tell him to hand the site to Sebastian and Dainius and go home? What was said, when, and by what means? Mr Davidans says you did (his statement, paragraphs 65, 71 and 73). If you did not say that, say what you did say. If you did, say why.] After 13 February Mr Davidans did not return to site. [CONFIRM whether Fishbone asked him to return or to finish anything. He says it did not. He also says you telephoned him on 18 February about Welsh signage. Do not say he "ceased communication" unless that is true after 13 February.]</w:t>
      </w:r>
    </w:p>
    <w:p>
      <w:pPr>
        <w:pStyle w:val="BodyText"/>
      </w:pPr>
      <w:r>
        <w:t xml:space="preserve">12A. In the Claimant's own bundle, Geoff Smith, Project Manager of Macdonald Joinery, wrote to Mr Davidans on 13 February 2026 at 15:16 that "the complete project is an unmitigated disaster starting from the incorrect set out", and asked "Why wasn't this flagged up weeks ago?" and "Are these your guys or Minda's?" (MD16). At 16:05 Mr Davidans replied that "By the time I realised that they was not up to the job it was already Thursday. They wasn't my guys. I got blamed for everything and got removed." (MD16). On 21 January 2026 Liam Price, Project Manager at EMCOR Group (UK), wrote to Macdonald Joinery about the Roath Lock kitchens that "the level of management is completely unacceptable" (MD11). I rely on these documents as the Claimant has exhibited them. [CHECK every quotation word for word against the Claimant's bundle (the scans in Irina's folder, shortcut "Mikheil Davidans" in the group Raw) before signing, and check the MD numbers on the pages. Mr Price’s complaint is about Roath Lock, not the toilets; do not suggest otherwise. Mr Smith's email was sent on a different matter (silicone); say that too if you quote it.]</w:t>
      </w:r>
    </w:p>
    <w:bookmarkEnd w:id="11"/>
    <w:bookmarkStart w:id="12" w:name="the-defects-and-the-remedial-works"/>
    <w:p>
      <w:pPr>
        <w:pStyle w:val="Heading2"/>
      </w:pPr>
      <w:r>
        <w:t xml:space="preserve">The defects and the remedial works</w:t>
      </w:r>
    </w:p>
    <w:p>
      <w:pPr>
        <w:pStyle w:val="FirstParagraph"/>
      </w:pPr>
      <w:r>
        <w:t xml:space="preserve">13. In February and March 2026 Fishbone had to bring in additional subcontractors and labour to complete and put right the work. [CONFIRM how many and for how long: the 18 March email says three subcontractors for two weeks; the Chronology refers to two additional subcontractors on 12 February. Make the statement say the true figure.] The work put right was:</w:t>
      </w:r>
    </w:p>
    <w:p>
      <w:pPr>
        <w:pStyle w:val="Compact"/>
        <w:numPr>
          <w:ilvl w:val="0"/>
          <w:numId w:val="1001"/>
        </w:numPr>
      </w:pPr>
      <w:r>
        <w:t xml:space="preserve">incorrect setting out of partitions;</w:t>
      </w:r>
    </w:p>
    <w:p>
      <w:pPr>
        <w:pStyle w:val="Compact"/>
        <w:numPr>
          <w:ilvl w:val="0"/>
          <w:numId w:val="1001"/>
        </w:numPr>
      </w:pPr>
      <w:r>
        <w:t xml:space="preserve">wrong setting out of the floor tiling;</w:t>
      </w:r>
    </w:p>
    <w:p>
      <w:pPr>
        <w:pStyle w:val="Compact"/>
        <w:numPr>
          <w:ilvl w:val="0"/>
          <w:numId w:val="1001"/>
        </w:numPr>
      </w:pPr>
      <w:r>
        <w:t xml:space="preserve">incorrectly installed toilets;</w:t>
      </w:r>
    </w:p>
    <w:p>
      <w:pPr>
        <w:pStyle w:val="Compact"/>
        <w:numPr>
          <w:ilvl w:val="0"/>
          <w:numId w:val="1001"/>
        </w:numPr>
      </w:pPr>
      <w:r>
        <w:t xml:space="preserve">damaged finished wall panels in the cubicles, which Fishbone had repaired rather than replaced, by Snag Doctor (Cardiff), at a cost of £636.00 including VAT (invoice INV-0622 of 15 February 2026, MG9);</w:t>
      </w:r>
    </w:p>
    <w:p>
      <w:pPr>
        <w:pStyle w:val="Compact"/>
        <w:numPr>
          <w:ilvl w:val="0"/>
          <w:numId w:val="1001"/>
        </w:numPr>
      </w:pPr>
      <w:r>
        <w:t xml:space="preserve">silicone joints wider than 10 mm, where the finish required no such gaps;</w:t>
      </w:r>
    </w:p>
    <w:p>
      <w:pPr>
        <w:pStyle w:val="Compact"/>
        <w:numPr>
          <w:ilvl w:val="0"/>
          <w:numId w:val="1001"/>
        </w:numPr>
      </w:pPr>
      <w:r>
        <w:t xml:space="preserve">different ceiling heights in the cubicles; and</w:t>
      </w:r>
    </w:p>
    <w:p>
      <w:pPr>
        <w:pStyle w:val="Compact"/>
        <w:numPr>
          <w:ilvl w:val="0"/>
          <w:numId w:val="1001"/>
        </w:numPr>
      </w:pPr>
      <w:r>
        <w:t xml:space="preserve">a wrongly interpreted shadow gap detail in the main area, which led to all the panels being removed and reinstated.</w:t>
      </w:r>
    </w:p>
    <w:p>
      <w:pPr>
        <w:pStyle w:val="FirstParagraph"/>
      </w:pPr>
      <w:r>
        <w:t xml:space="preserve">14. The additional remedial and completion costs to Fishbone came to about £7,997.25. [ADD: exhibit the invoices and payments that make up this figure. Without them the figure is only your word. If a part is an estimate or an internal cost, say so.] [CONFIRM that the Snag Doctor invoice of £636.00 (paragraph 13, MG9) is included in the £7,997.25.]</w:t>
      </w:r>
    </w:p>
    <w:p>
      <w:pPr>
        <w:pStyle w:val="BodyText"/>
      </w:pPr>
      <w:r>
        <w:t xml:space="preserve">15. The client accepted this remedial approach to limit further delay. [CONFIRM and say how you know.]</w:t>
      </w:r>
    </w:p>
    <w:bookmarkEnd w:id="12"/>
    <w:bookmarkStart w:id="13" w:name="the-invoices-and-the-dispute"/>
    <w:p>
      <w:pPr>
        <w:pStyle w:val="Heading2"/>
      </w:pPr>
      <w:r>
        <w:t xml:space="preserve">The invoices and the dispute</w:t>
      </w:r>
    </w:p>
    <w:p>
      <w:pPr>
        <w:pStyle w:val="FirstParagraph"/>
      </w:pPr>
      <w:r>
        <w:t xml:space="preserve">16. Fishbone paid the Claimant's earlier invoices, including invoice 552 on 13 February 2026 [CONFIRM invoice numbers and payment dates from your bank]. The Claimant now claims £3,031.20 (net of CIS) for invoices 553 and 554.</w:t>
      </w:r>
    </w:p>
    <w:p>
      <w:pPr>
        <w:pStyle w:val="BodyText"/>
      </w:pPr>
      <w:r>
        <w:t xml:space="preserve">17. On 18 March 2026 I replied in writing to the Claimant's email of 6 March 2026. I told it that Fishbone disputed the invoices and was withholding payment because of the incomplete works, delay, defective workmanship and poor site management, and the cost of the remedial work. I reserved Fishbone's rights. A copy of the correspondence is exhibited.</w:t>
      </w:r>
    </w:p>
    <w:p>
      <w:pPr>
        <w:pStyle w:val="BodyText"/>
      </w:pPr>
      <w:r>
        <w:t xml:space="preserve">18. On 27 March 2026 the Claimant asked for supporting evidence within five working days. [CONFIRM whether Fishbone sent any evidence then. The Claimant says none was sent. Say what is true.] Mr Davidans also refers to WhatsApp messages in Russian in February 2026 (MD17 in the Claimant's bundle) in which he says I told him that payment was delayed until handover. [READ MD17 and say what you actually wrote and what you meant.]</w:t>
      </w:r>
    </w:p>
    <w:p>
      <w:pPr>
        <w:pStyle w:val="BodyText"/>
      </w:pPr>
      <w:r>
        <w:t xml:space="preserve">19. For these reasons Fishbone says it does not owe the sums claimed and counterclaims £4,966.05, being its remedial and completion costs of about £7,997.25 less the £3,031.20 the Claimant claims, together with the £205 counterclaim fee and interest as the court allows.</w:t>
      </w:r>
    </w:p>
    <w:bookmarkEnd w:id="13"/>
    <w:bookmarkStart w:id="14" w:name="X7d9f29fd07fe26de245afc66a1c0db215147287"/>
    <w:p>
      <w:pPr>
        <w:pStyle w:val="Heading2"/>
      </w:pPr>
      <w:r>
        <w:t xml:space="preserve">Effect on Fishbone's business with Macdonald Joinery</w:t>
      </w:r>
    </w:p>
    <w:p>
      <w:pPr>
        <w:pStyle w:val="FirstParagraph"/>
      </w:pPr>
      <w:r>
        <w:t xml:space="preserve">20. Macdonald Joinery and Construction is Fishbone's main customer. [ADD: how long you have worked together and the kind of work.] The events on the BBC Cardiff project damaged that relationship. Mr Macdonald's messages of 12 and 13 February 2026 (MG6) show how serious the client considered the problems to be. Since the BBC Cardiff project the amount of work Fishbone has had from Macdonald Joinery has fallen sharply, as the figures below show. [ADD, in your own words and only if true, what you know that links the fall to the BBC Cardiff problems: anything Mr Macdonald said to you, any job you were not given or that was taken away, any change in how he deals with Fishbone. If the only link is that the fall followed the project, say exactly that and no more.]</w:t>
      </w:r>
    </w:p>
    <w:p>
      <w:pPr>
        <w:pStyle w:val="BodyText"/>
      </w:pPr>
      <w:r>
        <w:t xml:space="preserve">21. The table below is taken from Fishbone's QuickBooks Online accounts (Sales by Customer report, accrual basis, for customer "Macdonald Joinery and Construction" including its job accounts). Fishbone's financial year runs from 1 May to 30 April. Figures are sales invoiced, rounded to the nearest pound. The report is exhibited as MG7.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Period</w:t>
            </w:r>
          </w:p>
        </w:tc>
        <w:tc>
          <w:tcPr/>
          <w:p>
            <w:pPr>
              <w:pStyle w:val="Compact"/>
            </w:pPr>
            <w:r>
              <w:t xml:space="preserve">Sales to Macdonald Joinery</w:t>
            </w:r>
          </w:p>
        </w:tc>
        <w:tc>
          <w:tcPr/>
          <w:p>
            <w:pPr>
              <w:pStyle w:val="Compact"/>
            </w:pPr>
            <w:r>
              <w:t xml:space="preserve">All sales</w:t>
            </w:r>
          </w:p>
        </w:tc>
        <w:tc>
          <w:tcPr/>
          <w:p>
            <w:pPr>
              <w:pStyle w:val="Compact"/>
            </w:pPr>
            <w:r>
              <w:t xml:space="preserve">Macdonald share</w:t>
            </w:r>
          </w:p>
        </w:tc>
      </w:tr>
      <w:tr>
        <w:tc>
          <w:tcPr/>
          <w:p>
            <w:pPr>
              <w:pStyle w:val="Compact"/>
            </w:pPr>
            <w:r>
              <w:t xml:space="preserve">Year to 30 Apr 2022</w:t>
            </w:r>
          </w:p>
        </w:tc>
        <w:tc>
          <w:tcPr/>
          <w:p>
            <w:pPr>
              <w:pStyle w:val="Compact"/>
            </w:pPr>
            <w:r>
              <w:t xml:space="preserve">£580,999</w:t>
            </w:r>
          </w:p>
        </w:tc>
        <w:tc>
          <w:tcPr/>
          <w:p>
            <w:pPr>
              <w:pStyle w:val="Compact"/>
            </w:pPr>
            <w:r>
              <w:t xml:space="preserve">£624,405</w:t>
            </w:r>
          </w:p>
        </w:tc>
        <w:tc>
          <w:tcPr/>
          <w:p>
            <w:pPr>
              <w:pStyle w:val="Compact"/>
            </w:pPr>
            <w:r>
              <w:t xml:space="preserve">93%</w:t>
            </w:r>
          </w:p>
        </w:tc>
      </w:tr>
      <w:tr>
        <w:tc>
          <w:tcPr/>
          <w:p>
            <w:pPr>
              <w:pStyle w:val="Compact"/>
            </w:pPr>
            <w:r>
              <w:t xml:space="preserve">Year to 30 Apr 2023</w:t>
            </w:r>
          </w:p>
        </w:tc>
        <w:tc>
          <w:tcPr/>
          <w:p>
            <w:pPr>
              <w:pStyle w:val="Compact"/>
            </w:pPr>
            <w:r>
              <w:t xml:space="preserve">£2,716,437</w:t>
            </w:r>
          </w:p>
        </w:tc>
        <w:tc>
          <w:tcPr/>
          <w:p>
            <w:pPr>
              <w:pStyle w:val="Compact"/>
            </w:pPr>
            <w:r>
              <w:t xml:space="preserve">£2,759,546</w:t>
            </w:r>
          </w:p>
        </w:tc>
        <w:tc>
          <w:tcPr/>
          <w:p>
            <w:pPr>
              <w:pStyle w:val="Compact"/>
            </w:pPr>
            <w:r>
              <w:t xml:space="preserve">98%</w:t>
            </w:r>
          </w:p>
        </w:tc>
      </w:tr>
      <w:tr>
        <w:tc>
          <w:tcPr/>
          <w:p>
            <w:pPr>
              <w:pStyle w:val="Compact"/>
            </w:pPr>
            <w:r>
              <w:t xml:space="preserve">Year to 30 Apr 2024</w:t>
            </w:r>
          </w:p>
        </w:tc>
        <w:tc>
          <w:tcPr/>
          <w:p>
            <w:pPr>
              <w:pStyle w:val="Compact"/>
            </w:pPr>
            <w:r>
              <w:t xml:space="preserve">£2,192,759</w:t>
            </w:r>
          </w:p>
        </w:tc>
        <w:tc>
          <w:tcPr/>
          <w:p>
            <w:pPr>
              <w:pStyle w:val="Compact"/>
            </w:pPr>
            <w:r>
              <w:t xml:space="preserve">£2,305,269</w:t>
            </w:r>
          </w:p>
        </w:tc>
        <w:tc>
          <w:tcPr/>
          <w:p>
            <w:pPr>
              <w:pStyle w:val="Compact"/>
            </w:pPr>
            <w:r>
              <w:t xml:space="preserve">95%</w:t>
            </w:r>
          </w:p>
        </w:tc>
      </w:tr>
      <w:tr>
        <w:tc>
          <w:tcPr/>
          <w:p>
            <w:pPr>
              <w:pStyle w:val="Compact"/>
            </w:pPr>
            <w:r>
              <w:t xml:space="preserve">Year to 30 Apr 2025</w:t>
            </w:r>
          </w:p>
        </w:tc>
        <w:tc>
          <w:tcPr/>
          <w:p>
            <w:pPr>
              <w:pStyle w:val="Compact"/>
            </w:pPr>
            <w:r>
              <w:t xml:space="preserve">£641,685</w:t>
            </w:r>
          </w:p>
        </w:tc>
        <w:tc>
          <w:tcPr/>
          <w:p>
            <w:pPr>
              <w:pStyle w:val="Compact"/>
            </w:pPr>
            <w:r>
              <w:t xml:space="preserve">£1,387,415</w:t>
            </w:r>
          </w:p>
        </w:tc>
        <w:tc>
          <w:tcPr/>
          <w:p>
            <w:pPr>
              <w:pStyle w:val="Compact"/>
            </w:pPr>
            <w:r>
              <w:t xml:space="preserve">46%</w:t>
            </w:r>
          </w:p>
        </w:tc>
      </w:tr>
      <w:tr>
        <w:tc>
          <w:tcPr/>
          <w:p>
            <w:pPr>
              <w:pStyle w:val="Compact"/>
            </w:pPr>
            <w:r>
              <w:t xml:space="preserve">Year to 30 Apr 2026</w:t>
            </w:r>
          </w:p>
        </w:tc>
        <w:tc>
          <w:tcPr/>
          <w:p>
            <w:pPr>
              <w:pStyle w:val="Compact"/>
            </w:pPr>
            <w:r>
              <w:t xml:space="preserve">£1,482,699</w:t>
            </w:r>
          </w:p>
        </w:tc>
        <w:tc>
          <w:tcPr/>
          <w:p>
            <w:pPr>
              <w:pStyle w:val="Compact"/>
            </w:pPr>
            <w:r>
              <w:t xml:space="preserve">£2,106,289</w:t>
            </w:r>
          </w:p>
        </w:tc>
        <w:tc>
          <w:tcPr/>
          <w:p>
            <w:pPr>
              <w:pStyle w:val="Compact"/>
            </w:pPr>
            <w:r>
              <w:t xml:space="preserve">70%</w:t>
            </w:r>
          </w:p>
        </w:tc>
      </w:tr>
      <w:tr>
        <w:tc>
          <w:tcPr/>
          <w:p>
            <w:pPr>
              <w:pStyle w:val="Compact"/>
            </w:pPr>
            <w:r>
              <w:t xml:space="preserve">1 May 2026 to 20 Oct 2026</w:t>
            </w:r>
          </w:p>
        </w:tc>
        <w:tc>
          <w:tcPr/>
          <w:p>
            <w:pPr>
              <w:pStyle w:val="Compact"/>
            </w:pPr>
            <w:r>
              <w:t xml:space="preserve">£65,186</w:t>
            </w:r>
          </w:p>
        </w:tc>
        <w:tc>
          <w:tcPr/>
          <w:p>
            <w:pPr>
              <w:pStyle w:val="Compact"/>
            </w:pPr>
            <w:r>
              <w:t xml:space="preserve">£328,159</w:t>
            </w:r>
          </w:p>
        </w:tc>
        <w:tc>
          <w:tcPr/>
          <w:p>
            <w:pPr>
              <w:pStyle w:val="Compact"/>
            </w:pPr>
            <w:r>
              <w:t xml:space="preserve">20%</w:t>
            </w:r>
          </w:p>
        </w:tc>
      </w:tr>
    </w:tbl>
    <w:p>
      <w:pPr>
        <w:pStyle w:val="BodyText"/>
      </w:pPr>
      <w:r>
        <w:t xml:space="preserve">22. Comparing the same six-month periods: from 1 May to 31 October 2025 Fishbone's sales to Macdonald Joinery were £1,073,455 out of total sales of £1,304,558. From 1 November 2025 to 30 April 2026 they were £409,244 out of £801,732. From 1 May to 20 October 2026 they were £65,186 out of £328,159. Monthly sales to Macdonald Joinery were £160,117 in November 2025, £34,570 in December 2025 and £36,025 in January 2026. [CONFIRM all figures against the QuickBooks report you export for MG7 before signing.]</w:t>
      </w:r>
    </w:p>
    <w:p>
      <w:pPr>
        <w:pStyle w:val="BodyText"/>
      </w:pPr>
      <w:r>
        <w:t xml:space="preserve">23. [EXPLAIN, because the table shows it: sales to Macdonald Joinery were also lower in the year to 30 April 2025 (£641,685) than in the two years before. Say what happened in that year, for example fewer or smaller jobs, so that the court is not left to guess. If you do not know, say so.]</w:t>
      </w:r>
    </w:p>
    <w:p>
      <w:pPr>
        <w:pStyle w:val="BodyText"/>
      </w:pPr>
      <w:r>
        <w:t xml:space="preserve">24. I give this evidence to show the damage that has been done to Fishbone's working relationship with Macdonald Joinery and to the business Fishbone does with it. Fishbone does not ask the court in this claim to award compensation for that loss; its counterclaim is limited to £4,966.05.</w:t>
      </w:r>
    </w:p>
    <w:bookmarkEnd w:id="14"/>
    <w:bookmarkStart w:id="15" w:name="exhibits"/>
    <w:p>
      <w:pPr>
        <w:pStyle w:val="Heading2"/>
      </w:pPr>
      <w:r>
        <w:t xml:space="preserve">Exhibits</w:t>
      </w:r>
    </w:p>
    <w:p>
      <w:pPr>
        <w:pStyle w:val="FirstParagraph"/>
      </w:pPr>
      <w:r>
        <w:t xml:space="preserve">MG1 Claim form, issued 22 April 2026.   MG2 Fishbone's N9B Defence and Counterclaim, 15 May 2026.   MG3 Chronology of Events, sent with the N9B.   MG4 Email correspondence between the parties, 6–27 March 2026.   MG5 Claimant's timesheet backing invoice 554.   MG6 Screenshots of WhatsApp messages with Dave Macdonald, 12–13 February 2026.   MG7 QuickBooks Sales by Customer report for Macdonald Joinery and Construction, 1 May 2021 to 20 October 2026 [export from QuickBooks and print or save as PDF].   MG8 Email of Dave Newell, J4 Projects, 12 February 2026 15:11, forwarded by Mr Macdonald at 15:32, with the snagging list [forward from info@; see the bundle index].   MG9 Snag Doctor (Cardiff) invoice INV-0622, 15 February 2026, for the repair of the damaged cubicle panels.   I also refer to the Claimant’s exhibits MD11, MD15, MD16 and MD17 [CHECK the numbers against the Claimant’s bundle].   [MG10 onwards: remedial invoices and proof of payment; photographs; snagging list; phone records – add only what you have.] See the bundle index.</w:t>
      </w:r>
    </w:p>
    <w:bookmarkEnd w:id="15"/>
    <w:bookmarkStart w:id="16" w:name="statement-of-truth"/>
    <w:p>
      <w:pPr>
        <w:pStyle w:val="Heading2"/>
      </w:pPr>
      <w:r>
        <w:t xml:space="preserve">Statement of truth</w:t>
      </w:r>
    </w:p>
    <w:p>
      <w:pPr>
        <w:pStyle w:val="FirstParagraph"/>
      </w:pPr>
      <w:r>
        <w:t xml:space="preserve">I believe that the facts stated in this witness statement are true. I understand that proceedings for contempt of court may be brought against anyone who makes, or causes to be made, a false statement in a document verified by a statement of truth without an honest belief in its truth.</w:t>
      </w:r>
    </w:p>
    <w:p>
      <w:pPr>
        <w:pStyle w:val="BodyText"/>
      </w:pPr>
      <w:r>
        <w:br/>
      </w:r>
      <w:r>
        <w:t xml:space="preserve">Signed: ______________________________     Date: ______________</w:t>
      </w:r>
    </w:p>
    <w:p>
      <w:pPr>
        <w:pStyle w:val="BodyText"/>
      </w:pPr>
      <w:r>
        <w:t xml:space="preserve">Mindaugas Gaudiesius</w:t>
      </w:r>
    </w:p>
    <w:p>
      <w:r>
        <w:pict>
          <v:rect style="width:0;height:1.5pt" o:hralign="center" o:hrstd="t" o:hr="t"/>
        </w:pict>
      </w:r>
    </w:p>
    <w:bookmarkEnd w:id="16"/>
    <w:bookmarkStart w:id="17" w:name="Xb3c6ec319001ed9fce38ba7e424dd074f4eb96b"/>
    <w:p>
      <w:pPr>
        <w:pStyle w:val="Heading2"/>
      </w:pPr>
      <w:r>
        <w:t xml:space="preserve">Other two witnesses – outline only (not for filing as written)</w:t>
      </w:r>
    </w:p>
    <w:p>
      <w:pPr>
        <w:pStyle w:val="FirstParagraph"/>
      </w:pPr>
      <w:r>
        <w:t xml:space="preserve">Your N180 said three witnesses, including you, and did not name the other two. The documents point to these two; confirm who you want. Each must give a statement</w:t>
      </w:r>
      <w:r>
        <w:t xml:space="preserve"> </w:t>
      </w:r>
      <w:r>
        <w:rPr>
          <w:b/>
          <w:bCs/>
        </w:rPr>
        <w:t xml:space="preserve">in their own words, check it and sign it themselves</w:t>
      </w:r>
      <w:r>
        <w:t xml:space="preserve">; do not send them this text to sign.</w:t>
      </w:r>
    </w:p>
    <w:p>
      <w:pPr>
        <w:pStyle w:val="Compact"/>
        <w:numPr>
          <w:ilvl w:val="0"/>
          <w:numId w:val="1002"/>
        </w:numPr>
      </w:pPr>
      <w:r>
        <w:rPr>
          <w:b/>
          <w:bCs/>
        </w:rPr>
        <w:t xml:space="preserve">Andrejus Prutkovas</w:t>
      </w:r>
      <w:r>
        <w:t xml:space="preserve"> </w:t>
      </w:r>
      <w:r>
        <w:t xml:space="preserve">– the telephone calls of 2–6 February with Mr Davidans (what was asked, what he said); the 9 February site visit (what was seen, what was offered, what Mr Davidans said).</w:t>
      </w:r>
    </w:p>
    <w:p>
      <w:pPr>
        <w:pStyle w:val="Compact"/>
        <w:numPr>
          <w:ilvl w:val="0"/>
          <w:numId w:val="1002"/>
        </w:numPr>
      </w:pPr>
      <w:r>
        <w:rPr>
          <w:b/>
          <w:bCs/>
        </w:rPr>
        <w:t xml:space="preserve">Dave Macdonald</w:t>
      </w:r>
      <w:r>
        <w:t xml:space="preserve"> </w:t>
      </w:r>
      <w:r>
        <w:t xml:space="preserve">(owner, Macdonald Joinery; main contractor and Fishbone's client) – he is outside the company and is the strongest independent witness: what the architect and he found on 12 February, what he asked Fishbone to put right, and what he said about Mr Davidans' management. Only he can say it. Ask him today whether he will write and sign a short statement; that would be your third witness if Mr Drulia or Mr Prutkovas cannot do it.</w:t>
      </w:r>
    </w:p>
    <w:p>
      <w:pPr>
        <w:pStyle w:val="Compact"/>
        <w:numPr>
          <w:ilvl w:val="0"/>
          <w:numId w:val="1002"/>
        </w:numPr>
      </w:pPr>
      <w:r>
        <w:rPr>
          <w:b/>
          <w:bCs/>
        </w:rPr>
        <w:t xml:space="preserve">Geoff Smith</w:t>
      </w:r>
      <w:r>
        <w:t xml:space="preserve"> </w:t>
      </w:r>
      <w:r>
        <w:t xml:space="preserve">(Project Manager, Macdonald Joinery &amp; Construction) – he wrote on 13 February 2026 that the project was “an unmitigated disaster starting from the incorrect set out” (MD16). He saw the snagging list and dealt with Mr Davidans directly. He is an employee of your client, so ask carefully and expect him to say no, as Dave did. A short email confirming the 13 February email is his, and that it is genuine, would help.</w:t>
      </w:r>
    </w:p>
    <w:p>
      <w:pPr>
        <w:pStyle w:val="Compact"/>
        <w:numPr>
          <w:ilvl w:val="0"/>
          <w:numId w:val="1002"/>
        </w:numPr>
      </w:pPr>
      <w:r>
        <w:rPr>
          <w:b/>
          <w:bCs/>
        </w:rPr>
        <w:t xml:space="preserve">Dainius Drulia</w:t>
      </w:r>
      <w:r>
        <w:t xml:space="preserve"> </w:t>
      </w:r>
      <w:r>
        <w:t xml:space="preserve">– being asked to attend on 12 February; the handover inspection and snagging review (who attended, what was said about the works and about Mr Davidans' management); what he saw on site afterwards. He is also the person best placed to say whether Mr Davidans was on site after the inspection.</w:t>
      </w:r>
    </w:p>
    <w:p>
      <w:pPr>
        <w:pStyle w:val="FirstParagraph"/>
      </w:pPr>
      <w:r>
        <w:t xml:space="preserve">If they cannot sign in time, tell the court in the covering letter that their statements will follow and ask for permission (letter 2 in the letters file).</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2026-10-21T13:19:55Z</dcterms:created>
  <dcterms:modified xsi:type="dcterms:W3CDTF">2026-10-21T13:19:55Z</dcterms:modified>
</cp:coreProperties>
</file>

<file path=docProps/custom.xml><?xml version="1.0" encoding="utf-8"?>
<Properties xmlns="http://schemas.openxmlformats.org/officeDocument/2006/custom-properties" xmlns:vt="http://schemas.openxmlformats.org/officeDocument/2006/docPropsVTypes"/>
</file>