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2e" w:val="solid"/>
        <w:spacing w:after="0" w:before="0"/>
        <w:ind w:left="-720" w:right="-720"/>
        <w:jc w:val="center"/>
      </w:pPr>
      <w:r>
        <w:rPr>
          <w:rFonts w:ascii="Calibri" w:cs="Calibri" w:eastAsia="Calibri" w:hAnsi="Calibri"/>
          <w:b/>
          <w:bCs/>
          <w:color w:val="ffffff"/>
          <w:sz w:val="48"/>
          <w:szCs w:val="48"/>
        </w:rPr>
        <w:t xml:space="preserve">The Born Rule from the Corridor Branching Kernel</w:t>
      </w:r>
    </w:p>
    <w:p>
      <w:pPr>
        <w:shd w:color="2d2d44" w:val="solid"/>
        <w:spacing w:after="280" w:before="0"/>
        <w:ind w:left="-720" w:right="-720"/>
        <w:jc w:val="center"/>
      </w:pPr>
      <w:r>
        <w:rPr>
          <w:rFonts w:ascii="Calibri" w:cs="Calibri" w:eastAsia="Calibri" w:hAnsi="Calibri"/>
          <w:i/>
          <w:iCs/>
          <w:color w:val="aaaacc"/>
          <w:sz w:val="22"/>
          <w:szCs w:val="22"/>
        </w:rPr>
        <w:t xml:space="preserve">A Conditional Derivation via the Hopf Identification and Centrifugal Potential</w:t>
      </w:r>
    </w:p>
    <w:p>
      <w:pPr>
        <w:pBdr>
          <w:left w:val="thick" w:color="1a3a5c" w:sz="8"/>
          <w:right w:val="thick" w:color="1a3a5c" w:sz="8"/>
        </w:pBdr>
        <w:shd w:color="f0f4fa" w:val="solid"/>
        <w:spacing w:after="280" w:before="120"/>
        <w:ind w:left="200" w:right="200"/>
      </w:pPr>
      <w:r>
        <w:rPr>
          <w:rFonts w:ascii="Calibri" w:cs="Calibri" w:eastAsia="Calibri" w:hAnsi="Calibri"/>
          <w:b/>
          <w:bCs/>
          <w:color w:val="1a3a5c"/>
          <w:sz w:val="19"/>
          <w:szCs w:val="19"/>
        </w:rPr>
        <w:t xml:space="preserve">Status:  </w:t>
      </w:r>
      <w:r>
        <w:rPr>
          <w:rFonts w:ascii="Calibri" w:cs="Calibri" w:eastAsia="Calibri" w:hAnsi="Calibri"/>
          <w:color w:val="444444"/>
          <w:sz w:val="19"/>
          <w:szCs w:val="19"/>
        </w:rPr>
        <w:t xml:space="preserve">Conditional derivation. Steps (2)–(5) below are derived or follow algebraically from prior framework results. Step (1) — identifying quantum superposition with a Hopf state — is structurally motivated by U(1) = SO(2) phase symmetry but not yet derived from quantum mechanics axioms. The document is precise about what is derived and what is proposed.</w:t>
      </w:r>
    </w:p>
    <w:p>
      <w:pPr>
        <w:pStyle w:val="Heading1"/>
        <w:shd w:color="1a1a2e" w:val="solid"/>
        <w:spacing w:after="140" w:before="360"/>
        <w:ind w:left="120" w:right="120"/>
      </w:pPr>
      <w:r>
        <w:rPr>
          <w:rFonts w:ascii="Calibri" w:cs="Calibri" w:eastAsia="Calibri" w:hAnsi="Calibri"/>
          <w:b/>
          <w:bCs/>
          <w:color w:val="ffffff"/>
          <w:sz w:val="32"/>
          <w:szCs w:val="32"/>
        </w:rPr>
        <w:t xml:space="preserve">1. The Result</w:t>
      </w:r>
    </w:p>
    <w:p>
      <w:pPr>
        <w:pBdr>
          <w:left w:val="thick" w:color="1a3a5c" w:sz="8"/>
        </w:pBdr>
        <w:shd w:color="e8f0f7" w:val="solid"/>
        <w:spacing w:after="70" w:before="70"/>
        <w:ind w:left="400"/>
      </w:pPr>
      <w:r>
        <w:rPr>
          <w:rFonts w:ascii="Calibri" w:cs="Calibri" w:eastAsia="Calibri" w:hAnsi="Calibri"/>
          <w:b/>
          <w:bCs/>
          <w:color w:val="1a3a5c"/>
          <w:sz w:val="20"/>
          <w:szCs w:val="20"/>
        </w:rPr>
        <w:t xml:space="preserve">THEOREM (Born Rule — Conditional):  </w:t>
      </w:r>
      <w:r>
        <w:rPr>
          <w:rFonts w:ascii="Calibri" w:cs="Calibri" w:eastAsia="Calibri" w:hAnsi="Calibri"/>
          <w:color w:val="1c1c1c"/>
          <w:sz w:val="20"/>
          <w:szCs w:val="20"/>
        </w:rPr>
        <w:t xml:space="preserve">Given conditions (a)–(e) in Section 4, the branching kernel K_j = exp(−M_SN(j)²/E_exhaust) equals |c_j|² exactly. The Born rule follows as an algebraic identity, not an approximation.</w:t>
      </w:r>
    </w:p>
    <w:p/>
    <w:p>
      <w:pPr>
        <w:spacing w:after="70" w:before="70"/>
      </w:pPr>
      <w:r>
        <w:rPr>
          <w:rFonts w:ascii="Calibri" w:cs="Calibri" w:eastAsia="Calibri" w:hAnsi="Calibri"/>
          <w:color w:val="1c1c1c"/>
          <w:sz w:val="20"/>
          <w:szCs w:val="20"/>
        </w:rPr>
        <w:t xml:space="preserve">The derivation chain in five steps:</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color="1a1a2e" w:val="solid"/>
          </w:tcPr>
          <w:p>
            <w:r>
              <w:rPr>
                <w:rFonts w:ascii="Calibri" w:cs="Calibri" w:eastAsia="Calibri" w:hAnsi="Calibri"/>
                <w:b/>
                <w:bCs/>
                <w:color w:val="ffffff"/>
                <w:sz w:val="18"/>
                <w:szCs w:val="18"/>
              </w:rPr>
              <w:t xml:space="preserve">Step</w:t>
            </w:r>
          </w:p>
        </w:tc>
        <w:tc>
          <w:tcPr>
            <w:tcW w:type="dxa" w:w="3600"/>
            <w:shd w:color="1a1a2e" w:val="solid"/>
          </w:tcPr>
          <w:p>
            <w:r>
              <w:rPr>
                <w:rFonts w:ascii="Calibri" w:cs="Calibri" w:eastAsia="Calibri" w:hAnsi="Calibri"/>
                <w:b/>
                <w:bCs/>
                <w:color w:val="ffffff"/>
                <w:sz w:val="18"/>
                <w:szCs w:val="18"/>
              </w:rPr>
              <w:t xml:space="preserve">Statement</w:t>
            </w:r>
          </w:p>
        </w:tc>
        <w:tc>
          <w:tcPr>
            <w:tcW w:type="dxa" w:w="3000"/>
            <w:shd w:color="1a1a2e" w:val="solid"/>
          </w:tcPr>
          <w:p>
            <w:r>
              <w:rPr>
                <w:rFonts w:ascii="Calibri" w:cs="Calibri" w:eastAsia="Calibri" w:hAnsi="Calibri"/>
                <w:b/>
                <w:bCs/>
                <w:color w:val="ffffff"/>
                <w:sz w:val="18"/>
                <w:szCs w:val="18"/>
              </w:rPr>
              <w:t xml:space="preserve">Basis</w:t>
            </w:r>
          </w:p>
        </w:tc>
        <w:tc>
          <w:tcPr>
            <w:tcW w:type="dxa" w:w="2400"/>
            <w:shd w:color="1a1a2e" w:val="solid"/>
          </w:tcPr>
          <w:p>
            <w:r>
              <w:rPr>
                <w:rFonts w:ascii="Calibri" w:cs="Calibri" w:eastAsia="Calibri" w:hAnsi="Calibri"/>
                <w:b/>
                <w:bCs/>
                <w:color w:val="ffffff"/>
                <w:sz w:val="18"/>
                <w:szCs w:val="18"/>
              </w:rPr>
              <w:t xml:space="preserve">Status</w:t>
            </w:r>
          </w:p>
        </w:tc>
      </w:tr>
      <w:tr>
        <w:tc>
          <w:tcPr>
            <w:tcW w:type="dxa" w:w="600"/>
          </w:tcPr>
          <w:p>
            <w:r>
              <w:rPr>
                <w:rFonts w:ascii="Calibri" w:cs="Calibri" w:eastAsia="Calibri" w:hAnsi="Calibri"/>
                <w:sz w:val="18"/>
                <w:szCs w:val="18"/>
              </w:rPr>
              <w:t xml:space="preserve">1</w:t>
            </w:r>
          </w:p>
        </w:tc>
        <w:tc>
          <w:tcPr>
            <w:tcW w:type="dxa" w:w="3600"/>
          </w:tcPr>
          <w:p>
            <w:r>
              <w:rPr>
                <w:rFonts w:ascii="Calibri" w:cs="Calibri" w:eastAsia="Calibri" w:hAnsi="Calibri"/>
                <w:sz w:val="18"/>
                <w:szCs w:val="18"/>
              </w:rPr>
              <w:t xml:space="preserve">Quantum superposition |ψ⟩ = Σ c_j|j⟩ is a Hopf corridor state. Branch amplitude |c_j| = radial coordinate r_j. Phase θ_j = angular coordinate.</w:t>
            </w:r>
          </w:p>
        </w:tc>
        <w:tc>
          <w:tcPr>
            <w:tcW w:type="dxa" w:w="3000"/>
          </w:tcPr>
          <w:p>
            <w:r>
              <w:rPr>
                <w:rFonts w:ascii="Calibri" w:cs="Calibri" w:eastAsia="Calibri" w:hAnsi="Calibri"/>
                <w:sz w:val="18"/>
                <w:szCs w:val="18"/>
              </w:rPr>
              <w:t xml:space="preserve">U(1) gauge symmetry of QM = SO(2) symmetry of Hopf bifurcation. Structural match.</w:t>
            </w:r>
          </w:p>
        </w:tc>
        <w:tc>
          <w:tcPr>
            <w:tcW w:type="dxa" w:w="2400"/>
          </w:tcPr>
          <w:p>
            <w:r>
              <w:rPr>
                <w:rFonts w:ascii="Calibri" w:cs="Calibri" w:eastAsia="Calibri" w:hAnsi="Calibri"/>
                <w:sz w:val="18"/>
                <w:szCs w:val="18"/>
              </w:rPr>
              <w:t xml:space="preserve">PROPOSED
(not yet derived)</w:t>
            </w:r>
          </w:p>
        </w:tc>
      </w:tr>
      <w:tr>
        <w:tc>
          <w:tcPr>
            <w:tcW w:type="dxa" w:w="600"/>
            <w:shd w:color="f8f8f8" w:val="solid"/>
          </w:tcPr>
          <w:p>
            <w:r>
              <w:rPr>
                <w:rFonts w:ascii="Calibri" w:cs="Calibri" w:eastAsia="Calibri" w:hAnsi="Calibri"/>
                <w:sz w:val="18"/>
                <w:szCs w:val="18"/>
              </w:rPr>
              <w:t xml:space="preserve">2</w:t>
            </w:r>
          </w:p>
        </w:tc>
        <w:tc>
          <w:tcPr>
            <w:tcW w:type="dxa" w:w="3600"/>
            <w:shd w:color="f8f8f8" w:val="solid"/>
          </w:tcPr>
          <w:p>
            <w:r>
              <w:rPr>
                <w:rFonts w:ascii="Calibri" w:cs="Calibri" w:eastAsia="Calibri" w:hAnsi="Calibri"/>
                <w:sz w:val="18"/>
                <w:szCs w:val="18"/>
              </w:rPr>
              <w:t xml:space="preserve">Measurement is a Hopf→PF coarse-graining event. Phase θ_j is averaged out; amplitude |c_j| survives.</w:t>
            </w:r>
          </w:p>
        </w:tc>
        <w:tc>
          <w:tcPr>
            <w:tcW w:type="dxa" w:w="3000"/>
            <w:shd w:color="f8f8f8" w:val="solid"/>
          </w:tcPr>
          <w:p>
            <w:r>
              <w:rPr>
                <w:rFonts w:ascii="Calibri" w:cs="Calibri" w:eastAsia="Calibri" w:hAnsi="Calibri"/>
                <w:sz w:val="18"/>
                <w:szCs w:val="18"/>
              </w:rPr>
              <w:t xml:space="preserve">Directed Admissibility theorem. Decoherence = Hopf→PF. Prior result.</w:t>
            </w:r>
          </w:p>
        </w:tc>
        <w:tc>
          <w:tcPr>
            <w:tcW w:type="dxa" w:w="2400"/>
            <w:shd w:color="f8f8f8" w:val="solid"/>
          </w:tcPr>
          <w:p>
            <w:r>
              <w:rPr>
                <w:rFonts w:ascii="Calibri" w:cs="Calibri" w:eastAsia="Calibri" w:hAnsi="Calibri"/>
                <w:sz w:val="18"/>
                <w:szCs w:val="18"/>
              </w:rPr>
              <w:t xml:space="preserve">DERIVED</w:t>
            </w:r>
          </w:p>
        </w:tc>
      </w:tr>
      <w:tr>
        <w:tc>
          <w:tcPr>
            <w:tcW w:type="dxa" w:w="600"/>
          </w:tcPr>
          <w:p>
            <w:r>
              <w:rPr>
                <w:rFonts w:ascii="Calibri" w:cs="Calibri" w:eastAsia="Calibri" w:hAnsi="Calibri"/>
                <w:sz w:val="18"/>
                <w:szCs w:val="18"/>
              </w:rPr>
              <w:t xml:space="preserve">3</w:t>
            </w:r>
          </w:p>
        </w:tc>
        <w:tc>
          <w:tcPr>
            <w:tcW w:type="dxa" w:w="3600"/>
          </w:tcPr>
          <w:p>
            <w:r>
              <w:rPr>
                <w:rFonts w:ascii="Calibri" w:cs="Calibri" w:eastAsia="Calibri" w:hAnsi="Calibri"/>
                <w:sz w:val="18"/>
                <w:szCs w:val="18"/>
              </w:rPr>
              <w:t xml:space="preserve">Effective potential in Hopf phase space: V_eff(r) = V_Hopf(r) − D·ln(r). Centrifugal term from Jacobian.</w:t>
            </w:r>
          </w:p>
        </w:tc>
        <w:tc>
          <w:tcPr>
            <w:tcW w:type="dxa" w:w="3000"/>
          </w:tcPr>
          <w:p>
            <w:r>
              <w:rPr>
                <w:rFonts w:ascii="Calibri" w:cs="Calibri" w:eastAsia="Calibri" w:hAnsi="Calibri"/>
                <w:sz w:val="18"/>
                <w:szCs w:val="18"/>
              </w:rPr>
              <w:t xml:space="preserve">Ito correction to 2D Fokker-Planck in polar coordinates. Prior result (2D Hopf notebook).</w:t>
            </w:r>
          </w:p>
        </w:tc>
        <w:tc>
          <w:tcPr>
            <w:tcW w:type="dxa" w:w="2400"/>
          </w:tcPr>
          <w:p>
            <w:r>
              <w:rPr>
                <w:rFonts w:ascii="Calibri" w:cs="Calibri" w:eastAsia="Calibri" w:hAnsi="Calibri"/>
                <w:sz w:val="18"/>
                <w:szCs w:val="18"/>
              </w:rPr>
              <w:t xml:space="preserve">DERIVED</w:t>
            </w:r>
          </w:p>
        </w:tc>
      </w:tr>
      <w:tr>
        <w:tc>
          <w:tcPr>
            <w:tcW w:type="dxa" w:w="600"/>
            <w:shd w:color="f8f8f8" w:val="solid"/>
          </w:tcPr>
          <w:p>
            <w:r>
              <w:rPr>
                <w:rFonts w:ascii="Calibri" w:cs="Calibri" w:eastAsia="Calibri" w:hAnsi="Calibri"/>
                <w:sz w:val="18"/>
                <w:szCs w:val="18"/>
              </w:rPr>
              <w:t xml:space="preserve">4</w:t>
            </w:r>
          </w:p>
        </w:tc>
        <w:tc>
          <w:tcPr>
            <w:tcW w:type="dxa" w:w="3600"/>
            <w:shd w:color="f8f8f8" w:val="solid"/>
          </w:tcPr>
          <w:p>
            <w:r>
              <w:rPr>
                <w:rFonts w:ascii="Calibri" w:cs="Calibri" w:eastAsia="Calibri" w:hAnsi="Calibri"/>
                <w:sz w:val="18"/>
                <w:szCs w:val="18"/>
              </w:rPr>
              <w:t xml:space="preserve">Mismatch to branch j: M_SN(j)² = E_exhaust · ln(1/|c_j|²). From centrifugal potential difference at small D.</w:t>
            </w:r>
          </w:p>
        </w:tc>
        <w:tc>
          <w:tcPr>
            <w:tcW w:type="dxa" w:w="3000"/>
            <w:shd w:color="f8f8f8" w:val="solid"/>
          </w:tcPr>
          <w:p>
            <w:r>
              <w:rPr>
                <w:rFonts w:ascii="Calibri" w:cs="Calibri" w:eastAsia="Calibri" w:hAnsi="Calibri"/>
                <w:sz w:val="18"/>
                <w:szCs w:val="18"/>
              </w:rPr>
              <w:t xml:space="preserve">Follows from steps 1–3. ΔV_eff(|c_j|→1) = D·ln(1/|c_j|) dominates at small D.</w:t>
            </w:r>
          </w:p>
        </w:tc>
        <w:tc>
          <w:tcPr>
            <w:tcW w:type="dxa" w:w="2400"/>
            <w:shd w:color="f8f8f8" w:val="solid"/>
          </w:tcPr>
          <w:p>
            <w:r>
              <w:rPr>
                <w:rFonts w:ascii="Calibri" w:cs="Calibri" w:eastAsia="Calibri" w:hAnsi="Calibri"/>
                <w:sz w:val="18"/>
                <w:szCs w:val="18"/>
              </w:rPr>
              <w:t xml:space="preserve">FOLLOWS FROM 1–3</w:t>
            </w:r>
          </w:p>
        </w:tc>
      </w:tr>
      <w:tr>
        <w:tc>
          <w:tcPr>
            <w:tcW w:type="dxa" w:w="600"/>
          </w:tcPr>
          <w:p>
            <w:r>
              <w:rPr>
                <w:rFonts w:ascii="Calibri" w:cs="Calibri" w:eastAsia="Calibri" w:hAnsi="Calibri"/>
                <w:sz w:val="18"/>
                <w:szCs w:val="18"/>
              </w:rPr>
              <w:t xml:space="preserve">5</w:t>
            </w:r>
          </w:p>
        </w:tc>
        <w:tc>
          <w:tcPr>
            <w:tcW w:type="dxa" w:w="3600"/>
          </w:tcPr>
          <w:p>
            <w:r>
              <w:rPr>
                <w:rFonts w:ascii="Calibri" w:cs="Calibri" w:eastAsia="Calibri" w:hAnsi="Calibri"/>
                <w:sz w:val="18"/>
                <w:szCs w:val="18"/>
              </w:rPr>
              <w:t xml:space="preserve">K_j = exp(−M_SN²/E) = exp(−ln(1/|c_j|²)) = |c_j|². Born rule exact.</w:t>
            </w:r>
          </w:p>
        </w:tc>
        <w:tc>
          <w:tcPr>
            <w:tcW w:type="dxa" w:w="3000"/>
          </w:tcPr>
          <w:p>
            <w:r>
              <w:rPr>
                <w:rFonts w:ascii="Calibri" w:cs="Calibri" w:eastAsia="Calibri" w:hAnsi="Calibri"/>
                <w:sz w:val="18"/>
                <w:szCs w:val="18"/>
              </w:rPr>
              <w:t xml:space="preserve">Algebraic identity. No approximation.</w:t>
            </w:r>
          </w:p>
        </w:tc>
        <w:tc>
          <w:tcPr>
            <w:tcW w:type="dxa" w:w="2400"/>
          </w:tcPr>
          <w:p>
            <w:r>
              <w:rPr>
                <w:rFonts w:ascii="Calibri" w:cs="Calibri" w:eastAsia="Calibri" w:hAnsi="Calibri"/>
                <w:sz w:val="18"/>
                <w:szCs w:val="18"/>
              </w:rPr>
              <w:t xml:space="preserve">ALGEBRAIC
(exact)</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2. The Algebraic Identity — Step 5</w:t>
      </w:r>
    </w:p>
    <w:p>
      <w:pPr>
        <w:spacing w:after="70" w:before="70"/>
      </w:pPr>
      <w:r>
        <w:rPr>
          <w:rFonts w:ascii="Calibri" w:cs="Calibri" w:eastAsia="Calibri" w:hAnsi="Calibri"/>
          <w:color w:val="1c1c1c"/>
          <w:sz w:val="20"/>
          <w:szCs w:val="20"/>
        </w:rPr>
        <w:t xml:space="preserve">The algebraic core is a one-line calculation. Given the mismatch form from step 4:</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M_SN(j)^2 = E_exhaust * ln(1/|c_j|^2)</w:t>
      </w:r>
    </w:p>
    <w:p/>
    <w:p>
      <w:pPr>
        <w:spacing w:after="70" w:before="70"/>
      </w:pPr>
      <w:r>
        <w:rPr>
          <w:rFonts w:ascii="Calibri" w:cs="Calibri" w:eastAsia="Calibri" w:hAnsi="Calibri"/>
          <w:color w:val="1c1c1c"/>
          <w:sz w:val="20"/>
          <w:szCs w:val="20"/>
        </w:rPr>
        <w:t xml:space="preserve">The branching kernel for equal-energy successors (Theta gates all open by quantum unitarity):</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K_j = exp(-M_SN(j)^2 / E_exhaust)</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exp(-ln(1/|c_j|^2))</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exp(ln|c_j|^2)</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|c_j|^2</w:t>
      </w:r>
    </w:p>
    <w:p/>
    <w:p>
      <w:pPr>
        <w:pBdr>
          <w:left w:val="thick" w:color="2d6a4f" w:sz="8"/>
        </w:pBdr>
        <w:shd w:color="e8f5e9" w:val="solid"/>
        <w:spacing w:after="70" w:before="70"/>
        <w:ind w:left="400"/>
      </w:pPr>
      <w:r>
        <w:rPr>
          <w:rFonts w:ascii="Calibri" w:cs="Calibri" w:eastAsia="Calibri" w:hAnsi="Calibri"/>
          <w:b/>
          <w:bCs/>
          <w:color w:val="2d6a4f"/>
          <w:sz w:val="20"/>
          <w:szCs w:val="20"/>
        </w:rPr>
        <w:t xml:space="preserve">Born rule:  </w:t>
      </w:r>
      <w:r>
        <w:rPr>
          <w:rFonts w:ascii="Calibri" w:cs="Calibri" w:eastAsia="Calibri" w:hAnsi="Calibri"/>
          <w:color w:val="1c1c1c"/>
          <w:sz w:val="20"/>
          <w:szCs w:val="20"/>
        </w:rPr>
        <w:t xml:space="preserve">K_j = |c_j|² exactly. The branching kernel IS the Born probability when the mismatch has the logarithmic form derived in step 4.</w:t>
      </w:r>
    </w:p>
    <w:p/>
    <w:p>
      <w:pPr>
        <w:spacing w:after="70" w:before="70"/>
      </w:pPr>
      <w:r>
        <w:rPr>
          <w:rFonts w:ascii="Calibri" w:cs="Calibri" w:eastAsia="Calibri" w:hAnsi="Calibri"/>
          <w:color w:val="1c1c1c"/>
          <w:sz w:val="20"/>
          <w:szCs w:val="20"/>
        </w:rPr>
        <w:t xml:space="preserve">Three consistency checks:</w:t>
      </w:r>
    </w:p>
    <w:p>
      <w:pPr>
        <w:spacing w:after="50" w:before="50"/>
        <w:ind w:left="400"/>
      </w:pPr>
      <w:r>
        <w:rPr>
          <w:rFonts w:ascii="Calibri" w:cs="Calibri" w:eastAsia="Calibri" w:hAnsi="Calibri"/>
          <w:color w:val="1c1c1c"/>
          <w:sz w:val="20"/>
          <w:szCs w:val="20"/>
        </w:rPr>
        <w:t xml:space="preserve">• Normalization: Σ_j K_j = Σ_j |c_j|² = 1 by quantum normalization. The kernel automatically normalizes.</w:t>
      </w:r>
    </w:p>
    <w:p>
      <w:pPr>
        <w:spacing w:after="50" w:before="50"/>
        <w:ind w:left="400"/>
      </w:pPr>
      <w:r>
        <w:rPr>
          <w:rFonts w:ascii="Calibri" w:cs="Calibri" w:eastAsia="Calibri" w:hAnsi="Calibri"/>
          <w:color w:val="1c1c1c"/>
          <w:sz w:val="20"/>
          <w:szCs w:val="20"/>
        </w:rPr>
        <w:t xml:space="preserve">• Equal superposition: all |c_j|² equal =&gt; all M_SN(j) equal =&gt; all K_j equal. Correct: no preferred branch.</w:t>
      </w:r>
    </w:p>
    <w:p>
      <w:pPr>
        <w:spacing w:after="50" w:before="50"/>
        <w:ind w:left="400"/>
      </w:pPr>
      <w:r>
        <w:rPr>
          <w:rFonts w:ascii="Calibri" w:cs="Calibri" w:eastAsia="Calibri" w:hAnsi="Calibri"/>
          <w:color w:val="1c1c1c"/>
          <w:sz w:val="20"/>
          <w:szCs w:val="20"/>
        </w:rPr>
        <w:t xml:space="preserve">• Extreme cases: |c_j|² → 1 =&gt; M_SN(j) → 0 (perfect match to branch j). |c_j|² → 0 =&gt; M_SN(j) → ∞ (infinite mismatch). Physically correct.</w:t>
      </w:r>
    </w:p>
    <w:p/>
    <w:p>
      <w:pPr>
        <w:pStyle w:val="Heading1"/>
        <w:shd w:color="1a1a2e" w:val="solid"/>
        <w:spacing w:after="140" w:before="360"/>
        <w:ind w:left="120" w:right="120"/>
      </w:pPr>
      <w:r>
        <w:rPr>
          <w:rFonts w:ascii="Calibri" w:cs="Calibri" w:eastAsia="Calibri" w:hAnsi="Calibri"/>
          <w:b/>
          <w:bCs/>
          <w:color w:val="ffffff"/>
          <w:sz w:val="32"/>
          <w:szCs w:val="32"/>
        </w:rPr>
        <w:t xml:space="preserve">3. Deriving the Mismatch Form — Steps 3 and 4</w:t>
      </w:r>
    </w:p>
    <w:p>
      <w:pPr>
        <w:pStyle w:val="Heading3"/>
        <w:pBdr>
          <w:bottom w:val="single" w:color="2d6a4f" w:sz="4"/>
        </w:pBdr>
        <w:spacing w:after="70" w:before="200"/>
      </w:pPr>
      <w:r>
        <w:rPr>
          <w:rFonts w:ascii="Calibri" w:cs="Calibri" w:eastAsia="Calibri" w:hAnsi="Calibri"/>
          <w:b/>
          <w:bCs/>
          <w:color w:val="2d6a4f"/>
          <w:sz w:val="22"/>
          <w:szCs w:val="22"/>
        </w:rPr>
        <w:t xml:space="preserve">3.1  The centrifugal potential (Step 3)</w:t>
      </w:r>
    </w:p>
    <w:p>
      <w:pPr>
        <w:spacing w:after="70" w:before="70"/>
      </w:pPr>
      <w:r>
        <w:rPr>
          <w:rFonts w:ascii="Calibri" w:cs="Calibri" w:eastAsia="Calibri" w:hAnsi="Calibri"/>
          <w:color w:val="1c1c1c"/>
          <w:sz w:val="20"/>
          <w:szCs w:val="20"/>
        </w:rPr>
        <w:t xml:space="preserve">In the 2D Hopf Fokker-Planck in polar coordinates (r, θ), the equilibrium distribution carries a Jacobian factor r:</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p(r,θ) ~ r * exp(-V_Hopf(r)/D)</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exp(-V_eff(r)/D)  where  V_eff(r) = V_Hopf(r) - D*ln(r)</w:t>
      </w:r>
    </w:p>
    <w:p/>
    <w:p>
      <w:pPr>
        <w:spacing w:after="70" w:before="70"/>
      </w:pPr>
      <w:r>
        <w:rPr>
          <w:rFonts w:ascii="Calibri" w:cs="Calibri" w:eastAsia="Calibri" w:hAnsi="Calibri"/>
          <w:color w:val="1c1c1c"/>
          <w:sz w:val="20"/>
          <w:szCs w:val="20"/>
        </w:rPr>
        <w:t xml:space="preserve">The −D·ln(r) term is an effective centrifugal repulsion from the origin. It diverges as r → 0, making the origin inaccessible (this is the mechanism behind the TC→TC DV_TC reduction, derived in the conserved quantities work).</w:t>
      </w:r>
    </w:p>
    <w:p/>
    <w:p>
      <w:pPr>
        <w:spacing w:after="70" w:before="70"/>
      </w:pPr>
      <w:r>
        <w:rPr>
          <w:rFonts w:ascii="Calibri" w:cs="Calibri" w:eastAsia="Calibri" w:hAnsi="Calibri"/>
          <w:color w:val="1c1c1c"/>
          <w:sz w:val="20"/>
          <w:szCs w:val="20"/>
        </w:rPr>
        <w:t xml:space="preserve">At the quantum operating regime, V_eff is the relevant potential governing the Hopf state dynamics. The centrifugal term is not a correction — it is the dominant term near r = 0 for small D.</w:t>
      </w:r>
    </w:p>
    <w:p/>
    <w:p>
      <w:pPr>
        <w:shd w:color="e8f5e9" w:val="solid"/>
        <w:spacing w:after="60" w:before="60"/>
        <w:ind w:left="360"/>
      </w:pPr>
      <w:r>
        <w:rPr>
          <w:rFonts w:ascii="Calibri" w:cs="Calibri" w:eastAsia="Calibri" w:hAnsi="Calibri"/>
          <w:b/>
          <w:bCs/>
          <w:color w:val="2d6a4f"/>
          <w:sz w:val="20"/>
          <w:szCs w:val="20"/>
        </w:rPr>
        <w:t xml:space="preserve">Provenance: </w:t>
      </w:r>
      <w:r>
        <w:rPr>
          <w:rFonts w:ascii="Calibri" w:cs="Calibri" w:eastAsia="Calibri" w:hAnsi="Calibri"/>
          <w:color w:val="1c1c1c"/>
          <w:sz w:val="20"/>
          <w:szCs w:val="20"/>
        </w:rPr>
        <w:t xml:space="preserve">This is the same Ito/Bessel centrifugal term from the 2D Hopf notebook session. Not new machinery — a prior derived result applied in the quantum context.</w:t>
      </w:r>
    </w:p>
    <w:p/>
    <w:p>
      <w:pPr>
        <w:pStyle w:val="Heading3"/>
        <w:pBdr>
          <w:bottom w:val="single" w:color="2d6a4f" w:sz="4"/>
        </w:pBdr>
        <w:spacing w:after="70" w:before="200"/>
      </w:pPr>
      <w:r>
        <w:rPr>
          <w:rFonts w:ascii="Calibri" w:cs="Calibri" w:eastAsia="Calibri" w:hAnsi="Calibri"/>
          <w:b/>
          <w:bCs/>
          <w:color w:val="2d6a4f"/>
          <w:sz w:val="22"/>
          <w:szCs w:val="22"/>
        </w:rPr>
        <w:t xml:space="preserve">3.2  Mismatch from the centrifugal potential (Step 4)</w:t>
      </w:r>
    </w:p>
    <w:p>
      <w:pPr>
        <w:spacing w:after="70" w:before="70"/>
      </w:pPr>
      <w:r>
        <w:rPr>
          <w:rFonts w:ascii="Calibri" w:cs="Calibri" w:eastAsia="Calibri" w:hAnsi="Calibri"/>
          <w:color w:val="1c1c1c"/>
          <w:sz w:val="20"/>
          <w:szCs w:val="20"/>
        </w:rPr>
        <w:t xml:space="preserve">The mismatch M_SN(j) between the pre-measurement Hopf state and the post-measurement corridor j (with PF operating point at r = 1) is set by the potential difference:</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ΔV_eff(j) = V_eff(|c_j|) - V_eff(1)</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-D*ln(|c_j|) + D*ln(1)   [centrifugal term dominates at small D]</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D * ln(1/|c_j|)</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(D/2) * ln(1/|c_j|^2)</w:t>
      </w:r>
    </w:p>
    <w:p/>
    <w:p>
      <w:pPr>
        <w:spacing w:after="70" w:before="70"/>
      </w:pPr>
      <w:r>
        <w:rPr>
          <w:rFonts w:ascii="Calibri" w:cs="Calibri" w:eastAsia="Calibri" w:hAnsi="Calibri"/>
          <w:color w:val="1c1c1c"/>
          <w:sz w:val="20"/>
          <w:szCs w:val="20"/>
        </w:rPr>
        <w:t xml:space="preserve">Setting M_SN(j)² = ΔV_eff(j) / (D/2) = ln(1/|c_j|²) in units where E_exhaust = 1, or more generally:</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M_SN(j)^2 = E_exhaust * ln(1/|c_j|^2)</w:t>
      </w:r>
    </w:p>
    <w:p/>
    <w:p>
      <w:pPr>
        <w:spacing w:after="70" w:before="70"/>
      </w:pPr>
      <w:r>
        <w:rPr>
          <w:rFonts w:ascii="Calibri" w:cs="Calibri" w:eastAsia="Calibri" w:hAnsi="Calibri"/>
          <w:color w:val="1c1c1c"/>
          <w:sz w:val="20"/>
          <w:szCs w:val="20"/>
        </w:rPr>
        <w:t xml:space="preserve">This requires identifying E_exhaust with D/2 — the zero-point energy at the TC barrier. In the quantum limit, E_exhaust = D/2 is the half-quantum of the effective Hopf oscillator at the operating amplitude.</w:t>
      </w:r>
    </w:p>
    <w:p/>
    <w:p>
      <w:pPr>
        <w:shd w:color="fff3e0" w:val="solid"/>
        <w:spacing w:after="60" w:before="60"/>
        <w:ind w:left="360"/>
      </w:pPr>
      <w:r>
        <w:rPr>
          <w:rFonts w:ascii="Calibri" w:cs="Calibri" w:eastAsia="Calibri" w:hAnsi="Calibri"/>
          <w:b/>
          <w:bCs/>
          <w:color w:val="b5451b"/>
          <w:sz w:val="20"/>
          <w:szCs w:val="20"/>
        </w:rPr>
        <w:t xml:space="preserve">Small-D caveat: </w:t>
      </w:r>
      <w:r>
        <w:rPr>
          <w:rFonts w:ascii="Calibri" w:cs="Calibri" w:eastAsia="Calibri" w:hAnsi="Calibri"/>
          <w:color w:val="1c1c1c"/>
          <w:sz w:val="20"/>
          <w:szCs w:val="20"/>
        </w:rPr>
        <w:t xml:space="preserve">The centrifugal term dominates ΔV_eff in the limit D &lt;&lt; ΔV_Hopf. At the quantum level, the virial theorem forces D ~ 2·DV_TC (zero-point energy ≈ barrier height). This makes D not small compared to the barrier. The small-D approximation that gives the clean centrifugal form may break down in the fully quantum regime. This is the main remaining uncertainty in the derivation.</w:t>
      </w:r>
    </w:p>
    <w:p/>
    <w:p>
      <w:pPr>
        <w:pStyle w:val="Heading1"/>
        <w:shd w:color="1a1a2e" w:val="solid"/>
        <w:spacing w:after="140" w:before="360"/>
        <w:ind w:left="120" w:right="120"/>
      </w:pPr>
      <w:r>
        <w:rPr>
          <w:rFonts w:ascii="Calibri" w:cs="Calibri" w:eastAsia="Calibri" w:hAnsi="Calibri"/>
          <w:b/>
          <w:bCs/>
          <w:color w:val="ffffff"/>
          <w:sz w:val="32"/>
          <w:szCs w:val="32"/>
        </w:rPr>
        <w:t xml:space="preserve">4. The Conditional Structure — Step 1</w:t>
      </w:r>
    </w:p>
    <w:p>
      <w:pPr>
        <w:pStyle w:val="Heading3"/>
        <w:pBdr>
          <w:bottom w:val="single" w:color="b5451b" w:sz="4"/>
        </w:pBdr>
        <w:spacing w:after="70" w:before="200"/>
      </w:pPr>
      <w:r>
        <w:rPr>
          <w:rFonts w:ascii="Calibri" w:cs="Calibri" w:eastAsia="Calibri" w:hAnsi="Calibri"/>
          <w:b/>
          <w:bCs/>
          <w:color w:val="b5451b"/>
          <w:sz w:val="22"/>
          <w:szCs w:val="22"/>
        </w:rPr>
        <w:t xml:space="preserve">4.1  The Hopf identification</w:t>
      </w:r>
    </w:p>
    <w:p>
      <w:pPr>
        <w:spacing w:after="70" w:before="70"/>
      </w:pPr>
      <w:r>
        <w:rPr>
          <w:rFonts w:ascii="Calibri" w:cs="Calibri" w:eastAsia="Calibri" w:hAnsi="Calibri"/>
          <w:color w:val="1c1c1c"/>
          <w:sz w:val="20"/>
          <w:szCs w:val="20"/>
        </w:rPr>
        <w:t xml:space="preserve">Step 1 proposes that a quantum superposition |ψ⟩ = Σ_j c_j|j⟩ has Hopf corridor character. The motivation:</w:t>
      </w:r>
    </w:p>
    <w:p/>
    <w:p>
      <w:pPr>
        <w:spacing w:after="50" w:before="50"/>
        <w:ind w:left="400"/>
      </w:pPr>
      <w:r>
        <w:rPr>
          <w:rFonts w:ascii="Calibri" w:cs="Calibri" w:eastAsia="Calibri" w:hAnsi="Calibri"/>
          <w:color w:val="1c1c1c"/>
          <w:sz w:val="20"/>
          <w:szCs w:val="20"/>
        </w:rPr>
        <w:t xml:space="preserve">• Quantum states have U(1) phase symmetry: |ψ⟩ ~ exp(iθ)|ψ⟩ is physically equivalent for any global phase θ.</w:t>
      </w:r>
    </w:p>
    <w:p>
      <w:pPr>
        <w:spacing w:after="50" w:before="50"/>
        <w:ind w:left="400"/>
      </w:pPr>
      <w:r>
        <w:rPr>
          <w:rFonts w:ascii="Calibri" w:cs="Calibri" w:eastAsia="Calibri" w:hAnsi="Calibri"/>
          <w:color w:val="1c1c1c"/>
          <w:sz w:val="20"/>
          <w:szCs w:val="20"/>
        </w:rPr>
        <w:t xml:space="preserve">• The Hopf bifurcation has SO(2) = U(1) symmetry: rotation in the (x,y) phase plane leaves the normal form invariant.</w:t>
      </w:r>
    </w:p>
    <w:p>
      <w:pPr>
        <w:spacing w:after="50" w:before="50"/>
        <w:ind w:left="400"/>
      </w:pPr>
      <w:r>
        <w:rPr>
          <w:rFonts w:ascii="Calibri" w:cs="Calibri" w:eastAsia="Calibri" w:hAnsi="Calibri"/>
          <w:color w:val="1c1c1c"/>
          <w:sz w:val="20"/>
          <w:szCs w:val="20"/>
        </w:rPr>
        <w:t xml:space="preserve">• These are the same group. The complex amplitude c_j = |c_j|·exp(iθ_j) maps exactly to the polar coordinates (r_j, θ_j) of the Hopf state.</w:t>
      </w:r>
    </w:p>
    <w:p>
      <w:pPr>
        <w:spacing w:after="50" w:before="50"/>
        <w:ind w:left="400"/>
      </w:pPr>
      <w:r>
        <w:rPr>
          <w:rFonts w:ascii="Calibri" w:cs="Calibri" w:eastAsia="Calibri" w:hAnsi="Calibri"/>
          <w:color w:val="1c1c1c"/>
          <w:sz w:val="20"/>
          <w:szCs w:val="20"/>
        </w:rPr>
        <w:t xml:space="preserve">• Measurement averages out the phase (Hopf→PF coarse-graining), leaving only |c_j|. This matches decoherence: the off-diagonal elements of the density matrix (encoding phase information) decay to zero.</w:t>
      </w:r>
    </w:p>
    <w:p/>
    <w:p>
      <w:pPr>
        <w:spacing w:after="70" w:before="70"/>
      </w:pPr>
      <w:r>
        <w:rPr>
          <w:rFonts w:ascii="Calibri" w:cs="Calibri" w:eastAsia="Calibri" w:hAnsi="Calibri"/>
          <w:color w:val="1c1c1c"/>
          <w:sz w:val="20"/>
          <w:szCs w:val="20"/>
        </w:rPr>
        <w:t xml:space="preserve">This is structural matching, not derivation. The U(1) symmetry of the quantum state and the SO(2) symmetry of the Hopf normal form are the same group, and the identification is consistent throughout. But consistency is not uniqueness — other identifications might also be consistent.</w:t>
      </w:r>
    </w:p>
    <w:p/>
    <w:p>
      <w:pPr>
        <w:pStyle w:val="Heading3"/>
        <w:pBdr>
          <w:bottom w:val="single" w:color="8b6914" w:sz="4"/>
        </w:pBdr>
        <w:spacing w:after="70" w:before="200"/>
      </w:pPr>
      <w:r>
        <w:rPr>
          <w:rFonts w:ascii="Calibri" w:cs="Calibri" w:eastAsia="Calibri" w:hAnsi="Calibri"/>
          <w:b/>
          <w:bCs/>
          <w:color w:val="8b6914"/>
          <w:sz w:val="22"/>
          <w:szCs w:val="22"/>
        </w:rPr>
        <w:t xml:space="preserve">4.2  What would complete the derivation</w:t>
      </w:r>
    </w:p>
    <w:p>
      <w:pPr>
        <w:spacing w:after="70" w:before="70"/>
      </w:pPr>
      <w:r>
        <w:rPr>
          <w:rFonts w:ascii="Calibri" w:cs="Calibri" w:eastAsia="Calibri" w:hAnsi="Calibri"/>
          <w:color w:val="1c1c1c"/>
          <w:sz w:val="20"/>
          <w:szCs w:val="20"/>
        </w:rPr>
        <w:t xml:space="preserve">Two paths to removing the conditionality:</w:t>
      </w:r>
    </w:p>
    <w:p/>
    <w:p>
      <w:pPr>
        <w:spacing w:after="50" w:before="50"/>
        <w:ind w:left="400"/>
      </w:pPr>
      <w:r>
        <w:rPr>
          <w:rFonts w:ascii="Calibri" w:cs="Calibri" w:eastAsia="Calibri" w:hAnsi="Calibri"/>
          <w:color w:val="1c1c1c"/>
          <w:sz w:val="20"/>
          <w:szCs w:val="20"/>
        </w:rPr>
        <w:t xml:space="preserve">• PATH A (Gauge theory): The U(1) gauge symmetry of electromagnetism is precisely the SO(2) symmetry of the Hopf bifurcation. If this identification can be made precise in terms of the corridor grammar and universe-tree invariants, the Born rule follows for all electromagnetic measurements. Non-Abelian gauge theories (SU(2), SU(3)) would require higher-dimensional analogs of Hopf→PF.</w:t>
      </w:r>
    </w:p>
    <w:p>
      <w:pPr>
        <w:spacing w:after="50" w:before="50"/>
        <w:ind w:left="400"/>
      </w:pPr>
      <w:r>
        <w:rPr>
          <w:rFonts w:ascii="Calibri" w:cs="Calibri" w:eastAsia="Calibri" w:hAnsi="Calibri"/>
          <w:color w:val="1c1c1c"/>
          <w:sz w:val="20"/>
          <w:szCs w:val="20"/>
        </w:rPr>
        <w:t xml:space="preserve">• PATH B (Gleason): Gleason's theorem states that the only probability measure on a Hilbert space consistent with quantum mechanics is |ψ|². If the branching kernel can be shown to satisfy Gleason's axioms (frame independence, countable additivity), then K_j = |c_j|² follows without the Hopf identification. The kernel's Gibbs form may satisfy these axioms — this needs checking.</w:t>
      </w:r>
    </w:p>
    <w:p/>
    <w:p>
      <w:pPr>
        <w:shd w:color="fff8e1" w:val="solid"/>
        <w:spacing w:after="60" w:before="60"/>
        <w:ind w:left="360"/>
      </w:pPr>
      <w:r>
        <w:rPr>
          <w:rFonts w:ascii="Calibri" w:cs="Calibri" w:eastAsia="Calibri" w:hAnsi="Calibri"/>
          <w:b/>
          <w:bCs/>
          <w:color w:val="8b6914"/>
          <w:sz w:val="20"/>
          <w:szCs w:val="20"/>
        </w:rPr>
        <w:t xml:space="preserve">Status: </w:t>
      </w:r>
      <w:r>
        <w:rPr>
          <w:rFonts w:ascii="Calibri" w:cs="Calibri" w:eastAsia="Calibri" w:hAnsi="Calibri"/>
          <w:color w:val="1c1c1c"/>
          <w:sz w:val="20"/>
          <w:szCs w:val="20"/>
        </w:rPr>
        <w:t xml:space="preserve">Path A requires connecting gauge symmetry to the corridor grammar. Path B requires checking Gleason axioms for the Gibbs kernel. Either would complete the derivation. Neither is done.</w:t>
      </w:r>
    </w:p>
    <w:p/>
    <w:p>
      <w:pPr>
        <w:pStyle w:val="Heading1"/>
        <w:shd w:color="1a1a2e" w:val="solid"/>
        <w:spacing w:after="140" w:before="360"/>
        <w:ind w:left="120" w:right="120"/>
      </w:pPr>
      <w:r>
        <w:rPr>
          <w:rFonts w:ascii="Calibri" w:cs="Calibri" w:eastAsia="Calibri" w:hAnsi="Calibri"/>
          <w:b/>
          <w:bCs/>
          <w:color w:val="ffffff"/>
          <w:sz w:val="32"/>
          <w:szCs w:val="32"/>
        </w:rPr>
        <w:t xml:space="preserve">5. Relation to Prior Framework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color="1a1a2e" w:val="solid"/>
          </w:tcPr>
          <w:p>
            <w:r>
              <w:rPr>
                <w:rFonts w:ascii="Calibri" w:cs="Calibri" w:eastAsia="Calibri" w:hAnsi="Calibri"/>
                <w:b/>
                <w:bCs/>
                <w:color w:val="ffffff"/>
                <w:sz w:val="18"/>
                <w:szCs w:val="18"/>
              </w:rPr>
              <w:t xml:space="preserve">Prior result</w:t>
            </w:r>
          </w:p>
        </w:tc>
        <w:tc>
          <w:tcPr>
            <w:tcW w:type="dxa" w:w="6100"/>
            <w:shd w:color="1a1a2e" w:val="solid"/>
          </w:tcPr>
          <w:p>
            <w:r>
              <w:rPr>
                <w:rFonts w:ascii="Calibri" w:cs="Calibri" w:eastAsia="Calibri" w:hAnsi="Calibri"/>
                <w:b/>
                <w:bCs/>
                <w:color w:val="ffffff"/>
                <w:sz w:val="18"/>
                <w:szCs w:val="18"/>
              </w:rPr>
              <w:t xml:space="preserve">How it enters the Born rule derivation</w:t>
            </w:r>
          </w:p>
        </w:tc>
      </w:tr>
      <w:tr>
        <w:tc>
          <w:tcPr>
            <w:tcW w:type="dxa" w:w="3500"/>
          </w:tcPr>
          <w:p>
            <w:r>
              <w:rPr>
                <w:rFonts w:ascii="Calibri" w:cs="Calibri" w:eastAsia="Calibri" w:hAnsi="Calibri"/>
                <w:sz w:val="18"/>
                <w:szCs w:val="18"/>
              </w:rPr>
              <w:t xml:space="preserve">Hopf→PF coarse-graining theorem
(Tech Summary v2 Section 5)</w:t>
            </w:r>
          </w:p>
        </w:tc>
        <w:tc>
          <w:tcPr>
            <w:tcW w:type="dxa" w:w="6100"/>
          </w:tcPr>
          <w:p>
            <w:r>
              <w:rPr>
                <w:rFonts w:ascii="Calibri" w:cs="Calibri" w:eastAsia="Calibri" w:hAnsi="Calibri"/>
                <w:sz w:val="18"/>
                <w:szCs w:val="18"/>
              </w:rPr>
              <w:t xml:space="preserve">Step 2: Measurement IS Hopf→PF. The averaging of fast phase θ under SO(2) is decoherence. Oscillatory character is lost; amplitude survives.</w:t>
            </w:r>
          </w:p>
        </w:tc>
      </w:tr>
      <w:tr>
        <w:tc>
          <w:tcPr>
            <w:tcW w:type="dxa" w:w="3500"/>
            <w:shd w:color="f8f8f8" w:val="solid"/>
          </w:tcPr>
          <w:p>
            <w:r>
              <w:rPr>
                <w:rFonts w:ascii="Calibri" w:cs="Calibri" w:eastAsia="Calibri" w:hAnsi="Calibri"/>
                <w:sz w:val="18"/>
                <w:szCs w:val="18"/>
              </w:rPr>
              <w:t xml:space="preserve">Ito/Bessel centrifugal term
(2D Hopf notebook session)</w:t>
            </w:r>
          </w:p>
        </w:tc>
        <w:tc>
          <w:tcPr>
            <w:tcW w:type="dxa" w:w="6100"/>
            <w:shd w:color="f8f8f8" w:val="solid"/>
          </w:tcPr>
          <w:p>
            <w:r>
              <w:rPr>
                <w:rFonts w:ascii="Calibri" w:cs="Calibri" w:eastAsia="Calibri" w:hAnsi="Calibri"/>
                <w:sz w:val="18"/>
                <w:szCs w:val="18"/>
              </w:rPr>
              <w:t xml:space="preserve">Step 3: V_eff(r) = V_Hopf − D·ln(r). The centrifugal term is the same correction that explains the 0.41 measured vs 0.5 theoretical exponent, and that derives the TC→TC DV_TC reduction.</w:t>
            </w:r>
          </w:p>
        </w:tc>
      </w:tr>
      <w:tr>
        <w:tc>
          <w:tcPr>
            <w:tcW w:type="dxa" w:w="3500"/>
          </w:tcPr>
          <w:p>
            <w:r>
              <w:rPr>
                <w:rFonts w:ascii="Calibri" w:cs="Calibri" w:eastAsia="Calibri" w:hAnsi="Calibri"/>
                <w:sz w:val="18"/>
                <w:szCs w:val="18"/>
              </w:rPr>
              <w:t xml:space="preserve">DV_TC reduction under coarse-graining
(open_problems.py)</w:t>
            </w:r>
          </w:p>
        </w:tc>
        <w:tc>
          <w:tcPr>
            <w:tcW w:type="dxa" w:w="6100"/>
          </w:tcPr>
          <w:p>
            <w:r>
              <w:rPr>
                <w:rFonts w:ascii="Calibri" w:cs="Calibri" w:eastAsia="Calibri" w:hAnsi="Calibri"/>
                <w:sz w:val="18"/>
                <w:szCs w:val="18"/>
              </w:rPr>
              <w:t xml:space="preserve">The centrifugal mechanism in step 3 is the same mechanism that lowers DV_TC under Hopf→PF. The Born rule derivation uses the same potential structure.</w:t>
            </w:r>
          </w:p>
        </w:tc>
      </w:tr>
      <w:tr>
        <w:tc>
          <w:tcPr>
            <w:tcW w:type="dxa" w:w="3500"/>
            <w:shd w:color="f8f8f8" w:val="solid"/>
          </w:tcPr>
          <w:p>
            <w:r>
              <w:rPr>
                <w:rFonts w:ascii="Calibri" w:cs="Calibri" w:eastAsia="Calibri" w:hAnsi="Calibri"/>
                <w:sz w:val="18"/>
                <w:szCs w:val="18"/>
              </w:rPr>
              <w:t xml:space="preserve">Directed Admissibility theorem
(directed_admissibility_v5.docx)</w:t>
            </w:r>
          </w:p>
        </w:tc>
        <w:tc>
          <w:tcPr>
            <w:tcW w:type="dxa" w:w="6100"/>
            <w:shd w:color="f8f8f8" w:val="solid"/>
          </w:tcPr>
          <w:p>
            <w:r>
              <w:rPr>
                <w:rFonts w:ascii="Calibri" w:cs="Calibri" w:eastAsia="Calibri" w:hAnsi="Calibri"/>
                <w:sz w:val="18"/>
                <w:szCs w:val="18"/>
              </w:rPr>
              <w:t xml:space="preserve">Step 2 motivation: measurement = Hopf→PF = Directed Admissibility event with Phi_rev &lt; 1. K_rev = 0 (collapse is irreversible). The Born rule gives the forward probabilities.</w:t>
            </w:r>
          </w:p>
        </w:tc>
      </w:tr>
      <w:tr>
        <w:tc>
          <w:tcPr>
            <w:tcW w:type="dxa" w:w="3500"/>
          </w:tcPr>
          <w:p>
            <w:r>
              <w:rPr>
                <w:rFonts w:ascii="Calibri" w:cs="Calibri" w:eastAsia="Calibri" w:hAnsi="Calibri"/>
                <w:sz w:val="18"/>
                <w:szCs w:val="18"/>
              </w:rPr>
              <w:t xml:space="preserve">Branching kernel K ~ exp(−M_SN²/E)
(mismatch_functional_v2.docx)</w:t>
            </w:r>
          </w:p>
        </w:tc>
        <w:tc>
          <w:tcPr>
            <w:tcW w:type="dxa" w:w="6100"/>
          </w:tcPr>
          <w:p>
            <w:r>
              <w:rPr>
                <w:rFonts w:ascii="Calibri" w:cs="Calibri" w:eastAsia="Calibri" w:hAnsi="Calibri"/>
                <w:sz w:val="18"/>
                <w:szCs w:val="18"/>
              </w:rPr>
              <w:t xml:space="preserve">The kernel form is the starting point. Born rule = specific case of the kernel when M_SN has the centrifugal logarithmic form and successors have equal energy.</w:t>
            </w:r>
          </w:p>
        </w:tc>
      </w:tr>
      <w:tr>
        <w:tc>
          <w:tcPr>
            <w:tcW w:type="dxa" w:w="3500"/>
            <w:shd w:color="f8f8f8" w:val="solid"/>
          </w:tcPr>
          <w:p>
            <w:r>
              <w:rPr>
                <w:rFonts w:ascii="Calibri" w:cs="Calibri" w:eastAsia="Calibri" w:hAnsi="Calibri"/>
                <w:sz w:val="18"/>
                <w:szCs w:val="18"/>
              </w:rPr>
              <w:t xml:space="preserve">Equal-energy successors condition
(mismatch functional)</w:t>
            </w:r>
          </w:p>
        </w:tc>
        <w:tc>
          <w:tcPr>
            <w:tcW w:type="dxa" w:w="6100"/>
            <w:shd w:color="f8f8f8" w:val="solid"/>
          </w:tcPr>
          <w:p>
            <w:r>
              <w:rPr>
                <w:rFonts w:ascii="Calibri" w:cs="Calibri" w:eastAsia="Calibri" w:hAnsi="Calibri"/>
                <w:sz w:val="18"/>
                <w:szCs w:val="18"/>
              </w:rPr>
              <w:t xml:space="preserve">Step e: quantum unitarity ensures all branches of a superposition have the same energy, so all Theta gates are simultaneously open or closed. The Theta factor drops out, leaving the Gibbs factor alone.</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6. What This Is and Is Not</w:t>
      </w:r>
    </w:p>
    <w:p>
      <w:pPr>
        <w:pStyle w:val="Heading3"/>
        <w:pBdr>
          <w:bottom w:val="single" w:color="2d6a4f" w:sz="4"/>
        </w:pBdr>
        <w:spacing w:after="70" w:before="200"/>
      </w:pPr>
      <w:r>
        <w:rPr>
          <w:rFonts w:ascii="Calibri" w:cs="Calibri" w:eastAsia="Calibri" w:hAnsi="Calibri"/>
          <w:b/>
          <w:bCs/>
          <w:color w:val="2d6a4f"/>
          <w:sz w:val="22"/>
          <w:szCs w:val="22"/>
        </w:rPr>
        <w:t xml:space="preserve">6.1  What is derived</w:t>
      </w:r>
    </w:p>
    <w:p>
      <w:pPr>
        <w:spacing w:after="50" w:before="50"/>
        <w:ind w:left="400"/>
      </w:pPr>
      <w:r>
        <w:rPr>
          <w:rFonts w:ascii="Calibri" w:cs="Calibri" w:eastAsia="Calibri" w:hAnsi="Calibri"/>
          <w:color w:val="1c1c1c"/>
          <w:sz w:val="20"/>
          <w:szCs w:val="20"/>
        </w:rPr>
        <w:t xml:space="preserve">• The algebraic identity K_j = |c_j|² from the mismatch form M_SN² = E·ln(1/|c_j|²). Exact, no approximation.</w:t>
      </w:r>
    </w:p>
    <w:p>
      <w:pPr>
        <w:spacing w:after="50" w:before="50"/>
        <w:ind w:left="400"/>
      </w:pPr>
      <w:r>
        <w:rPr>
          <w:rFonts w:ascii="Calibri" w:cs="Calibri" w:eastAsia="Calibri" w:hAnsi="Calibri"/>
          <w:color w:val="1c1c1c"/>
          <w:sz w:val="20"/>
          <w:szCs w:val="20"/>
        </w:rPr>
        <w:t xml:space="preserve">• The centrifugal mismatch form from the 2D Hopf effective potential V_eff = V_Hopf − D·ln(r). Derived from the Jacobian in polar coordinates.</w:t>
      </w:r>
    </w:p>
    <w:p>
      <w:pPr>
        <w:spacing w:after="50" w:before="50"/>
        <w:ind w:left="400"/>
      </w:pPr>
      <w:r>
        <w:rPr>
          <w:rFonts w:ascii="Calibri" w:cs="Calibri" w:eastAsia="Calibri" w:hAnsi="Calibri"/>
          <w:color w:val="1c1c1c"/>
          <w:sz w:val="20"/>
          <w:szCs w:val="20"/>
        </w:rPr>
        <w:t xml:space="preserve">• The identification of measurement with Hopf→PF coarse-graining. From the Directed Admissibility theorem and decoherence structure.</w:t>
      </w:r>
    </w:p>
    <w:p>
      <w:pPr>
        <w:spacing w:after="50" w:before="50"/>
        <w:ind w:left="400"/>
      </w:pPr>
      <w:r>
        <w:rPr>
          <w:rFonts w:ascii="Calibri" w:cs="Calibri" w:eastAsia="Calibri" w:hAnsi="Calibri"/>
          <w:color w:val="1c1c1c"/>
          <w:sz w:val="20"/>
          <w:szCs w:val="20"/>
        </w:rPr>
        <w:t xml:space="preserve">• The equal-energy condition for quantum branches. From unitarity.</w:t>
      </w:r>
    </w:p>
    <w:p/>
    <w:p>
      <w:pPr>
        <w:pStyle w:val="Heading3"/>
        <w:pBdr>
          <w:bottom w:val="single" w:color="b5451b" w:sz="4"/>
        </w:pBdr>
        <w:spacing w:after="70" w:before="200"/>
      </w:pPr>
      <w:r>
        <w:rPr>
          <w:rFonts w:ascii="Calibri" w:cs="Calibri" w:eastAsia="Calibri" w:hAnsi="Calibri"/>
          <w:b/>
          <w:bCs/>
          <w:color w:val="b5451b"/>
          <w:sz w:val="22"/>
          <w:szCs w:val="22"/>
        </w:rPr>
        <w:t xml:space="preserve">6.2  What is proposed</w:t>
      </w:r>
    </w:p>
    <w:p>
      <w:pPr>
        <w:spacing w:after="50" w:before="50"/>
        <w:ind w:left="400"/>
      </w:pPr>
      <w:r>
        <w:rPr>
          <w:rFonts w:ascii="Calibri" w:cs="Calibri" w:eastAsia="Calibri" w:hAnsi="Calibri"/>
          <w:color w:val="1c1c1c"/>
          <w:sz w:val="20"/>
          <w:szCs w:val="20"/>
        </w:rPr>
        <w:t xml:space="preserve">• The identification of quantum superposition with a Hopf corridor state (Step 1). Structurally motivated by U(1) = SO(2), not derived from QM axioms.</w:t>
      </w:r>
    </w:p>
    <w:p>
      <w:pPr>
        <w:spacing w:after="50" w:before="50"/>
        <w:ind w:left="400"/>
      </w:pPr>
      <w:r>
        <w:rPr>
          <w:rFonts w:ascii="Calibri" w:cs="Calibri" w:eastAsia="Calibri" w:hAnsi="Calibri"/>
          <w:color w:val="1c1c1c"/>
          <w:sz w:val="20"/>
          <w:szCs w:val="20"/>
        </w:rPr>
        <w:t xml:space="preserve">• The small-D limit in step 4. May break down at the quantum level where D ~ 2·DV_TC by the virial theorem.</w:t>
      </w:r>
    </w:p>
    <w:p>
      <w:pPr>
        <w:spacing w:after="50" w:before="50"/>
        <w:ind w:left="400"/>
      </w:pPr>
      <w:r>
        <w:rPr>
          <w:rFonts w:ascii="Calibri" w:cs="Calibri" w:eastAsia="Calibri" w:hAnsi="Calibri"/>
          <w:color w:val="1c1c1c"/>
          <w:sz w:val="20"/>
          <w:szCs w:val="20"/>
        </w:rPr>
        <w:t xml:space="preserve">• The identification E_exhaust = D/2. Dimensionally consistent but not derived from the corridor energy accounting.</w:t>
      </w:r>
    </w:p>
    <w:p/>
    <w:p>
      <w:pPr>
        <w:pStyle w:val="Heading3"/>
        <w:pBdr>
          <w:bottom w:val="single" w:color="b5451b" w:sz="4"/>
        </w:pBdr>
        <w:spacing w:after="70" w:before="200"/>
      </w:pPr>
      <w:r>
        <w:rPr>
          <w:rFonts w:ascii="Calibri" w:cs="Calibri" w:eastAsia="Calibri" w:hAnsi="Calibri"/>
          <w:b/>
          <w:bCs/>
          <w:color w:val="b5451b"/>
          <w:sz w:val="22"/>
          <w:szCs w:val="22"/>
        </w:rPr>
        <w:t xml:space="preserve">6.3  What the derivation does NOT claim</w:t>
      </w:r>
    </w:p>
    <w:p>
      <w:pPr>
        <w:spacing w:after="50" w:before="50"/>
        <w:ind w:left="400"/>
      </w:pPr>
      <w:r>
        <w:rPr>
          <w:rFonts w:ascii="Calibri" w:cs="Calibri" w:eastAsia="Calibri" w:hAnsi="Calibri"/>
          <w:color w:val="1c1c1c"/>
          <w:sz w:val="20"/>
          <w:szCs w:val="20"/>
        </w:rPr>
        <w:t xml:space="preserve">• It does not explain why probability is |c_j|² rather than some other function of |c_j|. It shows that IF the mismatch has the centrifugal logarithmic form, THEN |c_j|² follows. The "why that form" question is answered by the Hopf identification — which is proposed.</w:t>
      </w:r>
    </w:p>
    <w:p>
      <w:pPr>
        <w:spacing w:after="50" w:before="50"/>
        <w:ind w:left="400"/>
      </w:pPr>
      <w:r>
        <w:rPr>
          <w:rFonts w:ascii="Calibri" w:cs="Calibri" w:eastAsia="Calibri" w:hAnsi="Calibri"/>
          <w:color w:val="1c1c1c"/>
          <w:sz w:val="20"/>
          <w:szCs w:val="20"/>
        </w:rPr>
        <w:t xml:space="preserve">• It does not address the preferred basis problem (why the measurement basis is {|j⟩}). The branching kernel is defined relative to a choice of successor corridors, which corresponds to the measurement basis. This is not derived.</w:t>
      </w:r>
    </w:p>
    <w:p>
      <w:pPr>
        <w:spacing w:after="50" w:before="50"/>
        <w:ind w:left="400"/>
      </w:pPr>
      <w:r>
        <w:rPr>
          <w:rFonts w:ascii="Calibri" w:cs="Calibri" w:eastAsia="Calibri" w:hAnsi="Calibri"/>
          <w:color w:val="1c1c1c"/>
          <w:sz w:val="20"/>
          <w:szCs w:val="20"/>
        </w:rPr>
        <w:t xml:space="preserve">• It does not extend automatically to non-Abelian symmetry groups. The Hopf structure is SO(2) = U(1). SU(2) and SU(3) would require higher-dimensional analogs.</w:t>
      </w:r>
    </w:p>
    <w:p/>
    <w:p>
      <w:pPr>
        <w:pStyle w:val="Heading1"/>
        <w:shd w:color="1a1a2e" w:val="solid"/>
        <w:spacing w:after="140" w:before="360"/>
        <w:ind w:left="120" w:right="120"/>
      </w:pPr>
      <w:r>
        <w:rPr>
          <w:rFonts w:ascii="Calibri" w:cs="Calibri" w:eastAsia="Calibri" w:hAnsi="Calibri"/>
          <w:b/>
          <w:bCs/>
          <w:color w:val="ffffff"/>
          <w:sz w:val="32"/>
          <w:szCs w:val="32"/>
        </w:rPr>
        <w:t xml:space="preserve">7. Open Problems</w:t>
      </w:r>
    </w:p>
    <w:p>
      <w:pPr>
        <w:pStyle w:val="Heading3"/>
        <w:pBdr>
          <w:bottom w:val="single" w:color="b5451b" w:sz="4"/>
        </w:pBdr>
        <w:spacing w:after="70" w:before="200"/>
      </w:pPr>
      <w:r>
        <w:rPr>
          <w:rFonts w:ascii="Calibri" w:cs="Calibri" w:eastAsia="Calibri" w:hAnsi="Calibri"/>
          <w:b/>
          <w:bCs/>
          <w:color w:val="b5451b"/>
          <w:sz w:val="22"/>
          <w:szCs w:val="22"/>
        </w:rPr>
        <w:t xml:space="preserve">7.1  The Hopf identification (primary)</w:t>
      </w:r>
    </w:p>
    <w:p>
      <w:pPr>
        <w:spacing w:after="70" w:before="70"/>
      </w:pPr>
      <w:r>
        <w:rPr>
          <w:rFonts w:ascii="Calibri" w:cs="Calibri" w:eastAsia="Calibri" w:hAnsi="Calibri"/>
          <w:color w:val="1c1c1c"/>
          <w:sz w:val="20"/>
          <w:szCs w:val="20"/>
        </w:rPr>
        <w:t xml:space="preserve">Derive condition (a) — quantum superposition has Hopf character — from something more primitive. The most promising path: show that the U(1) gauge symmetry of electromagnetism is the SO(2) symmetry of the lowest-level Hopf corridor in the universe-tree. This would connect gauge theory to the corridor grammar via the global identity invariants.</w:t>
      </w:r>
    </w:p>
    <w:p/>
    <w:p>
      <w:pPr>
        <w:pStyle w:val="Heading3"/>
        <w:pBdr>
          <w:bottom w:val="single" w:color="b5451b" w:sz="4"/>
        </w:pBdr>
        <w:spacing w:after="70" w:before="200"/>
      </w:pPr>
      <w:r>
        <w:rPr>
          <w:rFonts w:ascii="Calibri" w:cs="Calibri" w:eastAsia="Calibri" w:hAnsi="Calibri"/>
          <w:b/>
          <w:bCs/>
          <w:color w:val="b5451b"/>
          <w:sz w:val="22"/>
          <w:szCs w:val="22"/>
        </w:rPr>
        <w:t xml:space="preserve">7.2  The small-D validity</w:t>
      </w:r>
    </w:p>
    <w:p>
      <w:pPr>
        <w:spacing w:after="70" w:before="70"/>
      </w:pPr>
      <w:r>
        <w:rPr>
          <w:rFonts w:ascii="Calibri" w:cs="Calibri" w:eastAsia="Calibri" w:hAnsi="Calibri"/>
          <w:color w:val="1c1c1c"/>
          <w:sz w:val="20"/>
          <w:szCs w:val="20"/>
        </w:rPr>
        <w:t xml:space="preserve">The centrifugal term V_eff ≈ −D·ln(r) dominates only when D &lt;&lt; ΔV_Hopf. At the quantum level, D ~ 2·DV_TC by the virial theorem (zero-point energy equals barrier height). Establishing whether the centrifugal form is still the dominant contribution in this regime — or whether higher-order potential terms enter — is required to make the derivation fully rigorous.</w:t>
      </w:r>
    </w:p>
    <w:p/>
    <w:p>
      <w:pPr>
        <w:pStyle w:val="Heading3"/>
        <w:pBdr>
          <w:bottom w:val="single" w:color="8b6914" w:sz="4"/>
        </w:pBdr>
        <w:spacing w:after="70" w:before="200"/>
      </w:pPr>
      <w:r>
        <w:rPr>
          <w:rFonts w:ascii="Calibri" w:cs="Calibri" w:eastAsia="Calibri" w:hAnsi="Calibri"/>
          <w:b/>
          <w:bCs/>
          <w:color w:val="8b6914"/>
          <w:sz w:val="22"/>
          <w:szCs w:val="22"/>
        </w:rPr>
        <w:t xml:space="preserve">7.3  Gleason path</w:t>
      </w:r>
    </w:p>
    <w:p>
      <w:pPr>
        <w:spacing w:after="70" w:before="70"/>
      </w:pPr>
      <w:r>
        <w:rPr>
          <w:rFonts w:ascii="Calibri" w:cs="Calibri" w:eastAsia="Calibri" w:hAnsi="Calibri"/>
          <w:color w:val="1c1c1c"/>
          <w:sz w:val="20"/>
          <w:szCs w:val="20"/>
        </w:rPr>
        <w:t xml:space="preserve">Check whether the branching kernel K ~ exp(−M_SN²/E) satisfies Gleason's axioms: frame independence (K_j depends only on the corridor state, not on how other branches are grouped) and countable additivity. If yes, K_j = |c_j|² follows from Gleason without the Hopf identification.</w:t>
      </w:r>
    </w:p>
    <w:p/>
    <w:p>
      <w:pPr>
        <w:pStyle w:val="Heading3"/>
        <w:pBdr>
          <w:bottom w:val="single" w:color="8b6914" w:sz="4"/>
        </w:pBdr>
        <w:spacing w:after="70" w:before="200"/>
      </w:pPr>
      <w:r>
        <w:rPr>
          <w:rFonts w:ascii="Calibri" w:cs="Calibri" w:eastAsia="Calibri" w:hAnsi="Calibri"/>
          <w:b/>
          <w:bCs/>
          <w:color w:val="8b6914"/>
          <w:sz w:val="22"/>
          <w:szCs w:val="22"/>
        </w:rPr>
        <w:t xml:space="preserve">7.4  Non-Abelian extension</w:t>
      </w:r>
    </w:p>
    <w:p>
      <w:pPr>
        <w:spacing w:after="70" w:before="70"/>
      </w:pPr>
      <w:r>
        <w:rPr>
          <w:rFonts w:ascii="Calibri" w:cs="Calibri" w:eastAsia="Calibri" w:hAnsi="Calibri"/>
          <w:color w:val="1c1c1c"/>
          <w:sz w:val="20"/>
          <w:szCs w:val="20"/>
        </w:rPr>
        <w:t xml:space="preserve">The Born rule derivation here applies to U(1) = SO(2) measurements. For SU(2) (spin) and SU(3) (color), the gauge group is non-Abelian and the Hopf structure must be generalized. The Bogdanov-Takens framework may provide the right codimension-2 structure for SU(2).</w:t>
      </w:r>
    </w:p>
    <w:p/>
    <w:p>
      <w:pPr>
        <w:spacing w:before="600"/>
        <w:jc w:val="center"/>
      </w:pPr>
      <w:r>
        <w:rPr>
          <w:rFonts w:ascii="Calibri" w:cs="Calibri" w:eastAsia="Calibri" w:hAnsi="Calibri"/>
          <w:i/>
          <w:iCs/>
          <w:color w:val="888888"/>
          <w:sz w:val="18"/>
          <w:szCs w:val="18"/>
        </w:rPr>
        <w:t xml:space="preserve">Mindemann, M. — April 2026 — Working derivation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2026-04-19T12:21:15.489Z</dcterms:created>
  <dcterms:modified xsi:type="dcterms:W3CDTF">2026-04-19T12:21:15.490Z</dcterms:modified>
</cp:coreProperties>
</file>

<file path=docProps/custom.xml><?xml version="1.0" encoding="utf-8"?>
<Properties xmlns="http://schemas.openxmlformats.org/officeDocument/2006/custom-properties" xmlns:vt="http://schemas.openxmlformats.org/officeDocument/2006/docPropsVTypes"/>
</file>