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Times New Roman" w:cs="Times New Roman" w:eastAsia="Times New Roman" w:hAnsi="Times New Roman"/>
          <w:b/>
          <w:bCs/>
          <w:sz w:val="32"/>
          <w:szCs w:val="32"/>
        </w:rPr>
        <w:t xml:space="preserve">Recombination as a Structural Transition: Deriving the Hubble Tension from First Principles</w:t>
      </w:r>
    </w:p>
    <w:p>
      <w:pPr>
        <w:spacing w:after="80" w:before="0"/>
        <w:jc w:val="center"/>
      </w:pPr>
      <w:r>
        <w:rPr>
          <w:rFonts w:ascii="Times New Roman" w:cs="Times New Roman" w:eastAsia="Times New Roman" w:hAnsi="Times New Roman"/>
          <w:i/>
          <w:iCs/>
          <w:sz w:val="24"/>
          <w:szCs w:val="24"/>
        </w:rPr>
        <w:t xml:space="preserve">Michael Mindemann</w:t>
      </w:r>
    </w:p>
    <w:p>
      <w:pPr>
        <w:spacing w:after="80" w:before="0"/>
        <w:jc w:val="center"/>
      </w:pPr>
      <w:r>
        <w:rPr>
          <w:rFonts w:ascii="Times New Roman" w:cs="Times New Roman" w:eastAsia="Times New Roman" w:hAnsi="Times New Roman"/>
          <w:sz w:val="20"/>
          <w:szCs w:val="20"/>
        </w:rPr>
        <w:t xml:space="preserve">Independent researcher</w:t>
      </w:r>
    </w:p>
    <w:p>
      <w:pPr>
        <w:spacing w:after="400" w:before="0"/>
        <w:jc w:val="center"/>
      </w:pPr>
      <w:r>
        <w:rPr>
          <w:rFonts w:ascii="Times New Roman" w:cs="Times New Roman" w:eastAsia="Times New Roman" w:hAnsi="Times New Roman"/>
          <w:sz w:val="20"/>
          <w:szCs w:val="20"/>
        </w:rPr>
        <w:t xml:space="preserve">April 2026  —  Version 3</w:t>
      </w:r>
    </w:p>
    <w:p>
      <w:pPr>
        <w:spacing w:after="80" w:before="0"/>
        <w:jc w:val="center"/>
      </w:pPr>
      <w:r>
        <w:rPr>
          <w:rFonts w:ascii="Times New Roman" w:cs="Times New Roman" w:eastAsia="Times New Roman" w:hAnsi="Times New Roman"/>
          <w:b/>
          <w:bCs/>
          <w:sz w:val="24"/>
          <w:szCs w:val="24"/>
        </w:rPr>
        <w:t xml:space="preserve">Abstract</w:t>
      </w:r>
    </w:p>
    <w:p>
      <w:pPr>
        <w:spacing w:after="400" w:before="0" w:line="276" w:lineRule="auto"/>
        <w:ind w:left="720" w:right="720"/>
        <w:jc w:val="both"/>
      </w:pPr>
      <w:r>
        <w:rPr>
          <w:rFonts w:ascii="Times New Roman" w:cs="Times New Roman" w:eastAsia="Times New Roman" w:hAnsi="Times New Roman"/>
          <w:sz w:val="20"/>
          <w:szCs w:val="20"/>
        </w:rPr>
        <w:t xml:space="preserve">The Hubble tension — the persistent 5σ discrepancy between local measurements of H₀ (≈73 km/s/Mpc) and CMB-inferred values (≈67 km/s/Mpc) — is conventionally treated as a failure of ΛCDM requiring new physics. We propose an alternative interpretive framing: the discrepancy is the superposition of three physically distinct contributions, each arising from a structural transition in the universe's history sampled differently by early-universe and late-universe probes. The first contribution is kinematic: the KBC void produces a systematic outflow biasing local H₀ upward by ~1.9–3.1 km/s/Mpc, derived from the recombination transition parameter α ≈ 3.47 × 10⁴ set entirely by atomic physics. The second is geometric: Buchert backreaction in a two-zone matter distribution modifies the effective expansion rate by ~1.75 km/s/Mpc. The third is dynamical: the matter-to-dark-energy transition at z ≈ 0.3–0.5 constitutes a regime shift in the expansion history whose finite width and curvature introduce a percent-level correction to distance measures, </w:t>
      </w:r>
    </w:p>
    <w:p>
      <w:pPr>
        <w:pStyle w:val="Heading1"/>
        <w:spacing w:after="160" w:before="360"/>
      </w:pPr>
      <w:r>
        <w:rPr>
          <w:rFonts w:ascii="Times New Roman" w:cs="Times New Roman" w:eastAsia="Times New Roman" w:hAnsi="Times New Roman"/>
          <w:b/>
          <w:bCs/>
          <w:sz w:val="26"/>
          <w:szCs w:val="26"/>
        </w:rPr>
        <w:t xml:space="preserve">1. Introduction</w:t>
      </w:r>
    </w:p>
    <w:p>
      <w:pPr>
        <w:spacing w:after="160" w:before="0" w:line="276" w:lineRule="auto"/>
        <w:jc w:val="both"/>
      </w:pPr>
      <w:r>
        <w:rPr>
          <w:rFonts w:ascii="Times New Roman" w:cs="Times New Roman" w:eastAsia="Times New Roman" w:hAnsi="Times New Roman"/>
          <w:sz w:val="24"/>
          <w:szCs w:val="24"/>
        </w:rPr>
        <w:t xml:space="preserve">The Hubble tension has resisted resolution for over a decade. The SH0ES collaboration (Riess et al. 2022) reports H₀ = 73.04 ± 1.04 km/s/Mpc from Cepheid-calibrated Type Ia supernovae, while the Planck Collaboration (2020) infers H₀ = 67.4 ± 0.5 km/s/Mpc from the CMB power spectrum under flat ΛCDM. The discrepancy stands at approximately 5σ and has survived every systematic check applied to both measurements. JWST observations confirm that HST Cepheid photometry is not biased by crowding. DESI BAO results (DESI Collaboration 2024) reinforce the CMB-anchored value while simultaneously finding a 2.5σ preference for evolving dark energy, sharpening rather than resolving the problem.</w:t>
      </w:r>
    </w:p>
    <w:p>
      <w:pPr>
        <w:spacing w:after="160" w:before="0" w:line="276" w:lineRule="auto"/>
        <w:jc w:val="both"/>
      </w:pPr>
      <w:r>
        <w:rPr>
          <w:rFonts w:ascii="Times New Roman" w:cs="Times New Roman" w:eastAsia="Times New Roman" w:hAnsi="Times New Roman"/>
          <w:sz w:val="24"/>
          <w:szCs w:val="24"/>
        </w:rPr>
        <w:t xml:space="preserve">We propose that the tension is the superposition of three physically distinct contributions, each arising from a structural transition in the universe's history sampled differently by early-universe and late-universe probes. The CMB reconstructs H₀ by running ΛCDM forward from recombination, anchored to the globally coherent pre-recombination regime. The distance ladder measures H₀ directly from objects embedded in the differentiated, locally structured cosmos that emerged after recombination and during the matter-to-dark-energy transition. These measurements sample the expansion rate from different sides of two structural boundaries.</w:t>
      </w:r>
    </w:p>
    <w:p>
      <w:pPr>
        <w:spacing w:after="160" w:before="0" w:line="276" w:lineRule="auto"/>
        <w:jc w:val="both"/>
      </w:pPr>
      <w:r>
        <w:rPr>
          <w:rFonts w:ascii="Times New Roman" w:cs="Times New Roman" w:eastAsia="Times New Roman" w:hAnsi="Times New Roman"/>
          <w:sz w:val="24"/>
          <w:szCs w:val="24"/>
        </w:rPr>
        <w:t xml:space="preserve">In this paper we make this argument quantitative. Section 2 establishes the fundamental transition parameter α from the Saha equation. Section 3 connects α to present-day structure. Sections 4–6 derive the three contributions to η ≡ H₀^{ladder}/H₀^{CMB}. Section 6 derives the dark energy transition contribution from the curvature of H(z) across the matter-to-dark-energy regime shift. Section 7 presents the sensitivity analysis. Section 8 assembles the full result. The goal throughout is not to provide a precision fit to H₀, but to determine whether known physical processes, taken together, naturally produce corrections of the observed magnitude.</w:t>
      </w:r>
    </w:p>
    <w:p>
      <w:pPr>
        <w:pStyle w:val="Heading1"/>
        <w:spacing w:after="160" w:before="360"/>
      </w:pPr>
      <w:r>
        <w:rPr>
          <w:rFonts w:ascii="Times New Roman" w:cs="Times New Roman" w:eastAsia="Times New Roman" w:hAnsi="Times New Roman"/>
          <w:b/>
          <w:bCs/>
          <w:sz w:val="26"/>
          <w:szCs w:val="26"/>
        </w:rPr>
        <w:t xml:space="preserve">2. The Fundamental Transition Parameter α</w:t>
      </w:r>
    </w:p>
    <w:p>
      <w:pPr>
        <w:spacing w:after="160" w:before="0" w:line="276" w:lineRule="auto"/>
        <w:jc w:val="both"/>
      </w:pPr>
      <w:r>
        <w:rPr>
          <w:rFonts w:ascii="Times New Roman" w:cs="Times New Roman" w:eastAsia="Times New Roman" w:hAnsi="Times New Roman"/>
          <w:sz w:val="24"/>
          <w:szCs w:val="24"/>
        </w:rPr>
        <w:t xml:space="preserve">Recombination is governed by the Saha equation for hydrogen. The ionization fraction x_e satisfies:</w:t>
      </w:r>
    </w:p>
    <w:p>
      <w:pPr>
        <w:spacing w:after="140" w:before="140"/>
        <w:jc w:val="center"/>
      </w:pPr>
      <w:r>
        <w:rPr>
          <w:rFonts w:ascii="Times New Roman" w:cs="Times New Roman" w:eastAsia="Times New Roman" w:hAnsi="Times New Roman"/>
          <w:i/>
          <w:iCs/>
          <w:sz w:val="24"/>
          <w:szCs w:val="24"/>
        </w:rPr>
        <w:t xml:space="preserve">x_e² / (1 − x_e) = (1/n_b)(m_e k_B T / 2πħ²)^{3/2} exp(−χ/k_B T)</w:t>
      </w:r>
    </w:p>
    <w:p>
      <w:pPr>
        <w:spacing w:after="160" w:before="0" w:line="276" w:lineRule="auto"/>
        <w:jc w:val="both"/>
      </w:pPr>
      <w:r>
        <w:rPr>
          <w:rFonts w:ascii="Times New Roman" w:cs="Times New Roman" w:eastAsia="Times New Roman" w:hAnsi="Times New Roman"/>
          <w:sz w:val="24"/>
          <w:szCs w:val="24"/>
        </w:rPr>
        <w:t xml:space="preserve">where χ = 13.6 eV is the hydrogen binding energy. The condition x_e = 0.5 defines T_⋆ ≈ 3000 K, corresponding to z_⋆ ≈ 1100. Before recombination, the photon-baryon fluid sound speed is c_s⁻ = c/√3. After recombination, the Jeans scale is governed by the thermal velocity of neutral hydrogen:</w:t>
      </w:r>
    </w:p>
    <w:p>
      <w:pPr>
        <w:spacing w:after="140" w:before="140"/>
        <w:jc w:val="center"/>
      </w:pPr>
      <w:r>
        <w:rPr>
          <w:rFonts w:ascii="Times New Roman" w:cs="Times New Roman" w:eastAsia="Times New Roman" w:hAnsi="Times New Roman"/>
          <w:i/>
          <w:iCs/>
          <w:sz w:val="24"/>
          <w:szCs w:val="24"/>
        </w:rPr>
        <w:t xml:space="preserve">c_s⁺ = √(5k_B T_⋆ / 3m_H)</w:t>
      </w:r>
    </w:p>
    <w:p>
      <w:pPr>
        <w:spacing w:after="160" w:before="0" w:line="276" w:lineRule="auto"/>
        <w:jc w:val="both"/>
      </w:pPr>
      <w:r>
        <w:rPr>
          <w:rFonts w:ascii="Times New Roman" w:cs="Times New Roman" w:eastAsia="Times New Roman" w:hAnsi="Times New Roman"/>
          <w:sz w:val="24"/>
          <w:szCs w:val="24"/>
        </w:rPr>
        <w:t xml:space="preserve">The ratio defines the fundamental transition parameter:</w:t>
      </w:r>
    </w:p>
    <w:p>
      <w:pPr>
        <w:spacing w:after="140" w:before="140"/>
        <w:jc w:val="center"/>
      </w:pPr>
      <w:r>
        <w:rPr>
          <w:rFonts w:ascii="Times New Roman" w:cs="Times New Roman" w:eastAsia="Times New Roman" w:hAnsi="Times New Roman"/>
          <w:i/>
          <w:iCs/>
          <w:sz w:val="24"/>
          <w:szCs w:val="24"/>
        </w:rPr>
        <w:t xml:space="preserve">α ≡ c_s⁻ / c_s⁺ = √(m_H c² / 3k_B T_⋆) ≈ 3.47 × 10⁴</w:t>
      </w:r>
      <w:r>
        <w:rPr>
          <w:rFonts w:ascii="Times New Roman" w:cs="Times New Roman" w:eastAsia="Times New Roman" w:hAnsi="Times New Roman"/>
          <w:sz w:val="24"/>
          <w:szCs w:val="24"/>
        </w:rPr>
        <w:t xml:space="preserve">     (2.1)</w:t>
      </w:r>
    </w:p>
    <w:p>
      <w:pPr>
        <w:spacing w:after="160" w:before="0" w:line="276" w:lineRule="auto"/>
        <w:jc w:val="both"/>
      </w:pPr>
      <w:r>
        <w:rPr>
          <w:rFonts w:ascii="Times New Roman" w:cs="Times New Roman" w:eastAsia="Times New Roman" w:hAnsi="Times New Roman"/>
          <w:sz w:val="24"/>
          <w:szCs w:val="24"/>
        </w:rPr>
        <w:t xml:space="preserve">α is determined entirely by the hydrogen mass and the recombination temperature, both fixed by the Standard Model. The Jeans mass collapses at recombination by a factor α³ √(ρ_DM/ρ_b) ≈ 5.7 × 10¹³, unlocking all cosmologically relevant mass scales simultaneously.</w:t>
      </w:r>
    </w:p>
    <w:p>
      <w:pPr>
        <w:pStyle w:val="Heading1"/>
        <w:spacing w:after="160" w:before="360"/>
      </w:pPr>
      <w:r>
        <w:rPr>
          <w:rFonts w:ascii="Times New Roman" w:cs="Times New Roman" w:eastAsia="Times New Roman" w:hAnsi="Times New Roman"/>
          <w:b/>
          <w:bCs/>
          <w:sz w:val="26"/>
          <w:szCs w:val="26"/>
        </w:rPr>
        <w:t xml:space="preserve">3. From α to Present-Day Structure</w:t>
      </w:r>
    </w:p>
    <w:p>
      <w:pPr>
        <w:spacing w:after="160" w:before="0" w:line="276" w:lineRule="auto"/>
        <w:jc w:val="both"/>
      </w:pPr>
      <w:r>
        <w:rPr>
          <w:rFonts w:ascii="Times New Roman" w:cs="Times New Roman" w:eastAsia="Times New Roman" w:hAnsi="Times New Roman"/>
          <w:sz w:val="24"/>
          <w:szCs w:val="24"/>
        </w:rPr>
        <w:t xml:space="preserve">The density contrast at recombination on the BAO scale r_s ≈ 147 Mpc is δ_⋆(r_s) ≈ σ_8 / (1+z_⋆) ≈ 7.5 × 10⁻⁴. In matter domination D(a) ∝ a, so δ₀(r_s) = δ_⋆(r_s) × (1+z_⋆) ≈ 0.83, consistent with observed BAO-scale fluctuations. The present-day density contrasts δ_v ≈ −0.8 (voids) and δ_w ≈ +1.0 (walls) are the nonlinear outcome of growth seeded at z_⋆, which is set by T_⋆, which is set by α. While nonlinear growth, feedback, and stochasticity shape the final distribution, α provides the initial scaling framework for both the acoustic scale and the amplitude of post-recombination structure formation.</w:t>
      </w:r>
    </w:p>
    <w:p>
      <w:pPr>
        <w:pStyle w:val="Heading1"/>
        <w:spacing w:after="160" w:before="360"/>
      </w:pPr>
      <w:r>
        <w:rPr>
          <w:rFonts w:ascii="Times New Roman" w:cs="Times New Roman" w:eastAsia="Times New Roman" w:hAnsi="Times New Roman"/>
          <w:b/>
          <w:bCs/>
          <w:sz w:val="26"/>
          <w:szCs w:val="26"/>
        </w:rPr>
        <w:t xml:space="preserve">4. The Kinematic Term η_K</w:t>
      </w:r>
    </w:p>
    <w:p>
      <w:pPr>
        <w:spacing w:after="160" w:before="0" w:line="276" w:lineRule="auto"/>
        <w:jc w:val="both"/>
      </w:pPr>
      <w:r>
        <w:rPr>
          <w:rFonts w:ascii="Times New Roman" w:cs="Times New Roman" w:eastAsia="Times New Roman" w:hAnsi="Times New Roman"/>
          <w:sz w:val="24"/>
          <w:szCs w:val="24"/>
        </w:rPr>
        <w:t xml:space="preserve">We decompose η into three multiplicative contributions: η = η_K × η_{BR} × η_{DE}. The three terms operate through distinct physical mechanisms at distinct scales and are not double-counting the same effect: η_K captures coherent bulk outflow sourced by a specific large-scale underdensity (~300 Mpc); η_{BR} captures statistical variance in local expansion rates across the full cosmic web, which would exist even without a local void; and η_{DE} captures a systematic bias in the inferred distance to last scattering from the dark energy transition at z ∼ 0.3–0.5. Their independence is argued further in Section 9.4. The kinematic contribution arises from the local underdensity in our Hubble volume. The KBC void (Keenan, Barger, and Cowie 2013) has a mean underdensity of δ_local ≈ −20% extending to ~300 Mpc, observationally contested. We treat δ_local as a free observational parameter in the range −0.10 to −0.30:</w:t>
      </w:r>
    </w:p>
    <w:p>
      <w:pPr>
        <w:spacing w:after="140" w:before="140"/>
        <w:jc w:val="center"/>
      </w:pPr>
      <w:r>
        <w:rPr>
          <w:rFonts w:ascii="Times New Roman" w:cs="Times New Roman" w:eastAsia="Times New Roman" w:hAnsi="Times New Roman"/>
          <w:i/>
          <w:iCs/>
          <w:sz w:val="24"/>
          <w:szCs w:val="24"/>
        </w:rPr>
        <w:t xml:space="preserve">η_K − 1 = 0.55|δ_local| / 3</w:t>
      </w:r>
      <w:r>
        <w:rPr>
          <w:rFonts w:ascii="Times New Roman" w:cs="Times New Roman" w:eastAsia="Times New Roman" w:hAnsi="Times New Roman"/>
          <w:sz w:val="24"/>
          <w:szCs w:val="24"/>
        </w:rPr>
        <w:t xml:space="preserve">     (4.1)</w:t>
      </w:r>
    </w:p>
    <w:p>
      <w:pPr>
        <w:spacing w:after="160" w:before="0" w:line="276" w:lineRule="auto"/>
        <w:jc w:val="both"/>
      </w:pPr>
      <w:r>
        <w:rPr>
          <w:rFonts w:ascii="Times New Roman" w:cs="Times New Roman" w:eastAsia="Times New Roman" w:hAnsi="Times New Roman"/>
          <w:sz w:val="24"/>
          <w:szCs w:val="24"/>
        </w:rPr>
        <w:t xml:space="preserve">For the central KBC estimate δ_local = −0.20: η_K − 1 = 0.037, giving ΔH₀ ≈ +2.5 km/s/Mpc. The full observational range gives ΔH₀ ∈ [1.2, 3.7] km/s/Mpc. This term is the dominant uncertainty in the prediction because the local void depth is the least precisely constrained input.</w:t>
      </w:r>
    </w:p>
    <w:p>
      <w:pPr>
        <w:pStyle w:val="Heading1"/>
        <w:spacing w:after="160" w:before="360"/>
      </w:pPr>
      <w:r>
        <w:rPr>
          <w:rFonts w:ascii="Times New Roman" w:cs="Times New Roman" w:eastAsia="Times New Roman" w:hAnsi="Times New Roman"/>
          <w:b/>
          <w:bCs/>
          <w:sz w:val="26"/>
          <w:szCs w:val="26"/>
        </w:rPr>
        <w:t xml:space="preserve">5. The Buchert Backreaction Term η_{BR}</w:t>
      </w:r>
    </w:p>
    <w:p>
      <w:pPr>
        <w:spacing w:after="160" w:before="0" w:line="276" w:lineRule="auto"/>
        <w:jc w:val="both"/>
      </w:pPr>
      <w:r>
        <w:rPr>
          <w:rFonts w:ascii="Times New Roman" w:cs="Times New Roman" w:eastAsia="Times New Roman" w:hAnsi="Times New Roman"/>
          <w:sz w:val="24"/>
          <w:szCs w:val="24"/>
        </w:rPr>
        <w:t xml:space="preserve">The Buchert averaging of GR over a spatial domain D gives a modified Friedmann equation for the domain-averaged scale factor a_D. The kinematical backreaction is:</w:t>
      </w:r>
    </w:p>
    <w:p>
      <w:pPr>
        <w:spacing w:after="140" w:before="140"/>
        <w:jc w:val="center"/>
      </w:pPr>
      <w:r>
        <w:rPr>
          <w:rFonts w:ascii="Times New Roman" w:cs="Times New Roman" w:eastAsia="Times New Roman" w:hAnsi="Times New Roman"/>
          <w:i/>
          <w:iCs/>
          <w:sz w:val="24"/>
          <w:szCs w:val="24"/>
        </w:rPr>
        <w:t xml:space="preserve">Q_D = (2/3)(⟨θ²⟩_D − ⟨θ⟩_D²) − 2⟨σ²⟩_D</w:t>
      </w:r>
      <w:r>
        <w:rPr>
          <w:rFonts w:ascii="Times New Roman" w:cs="Times New Roman" w:eastAsia="Times New Roman" w:hAnsi="Times New Roman"/>
          <w:sz w:val="24"/>
          <w:szCs w:val="24"/>
        </w:rPr>
        <w:t xml:space="preserve">     (5.1)</w:t>
      </w:r>
    </w:p>
    <w:p>
      <w:pPr>
        <w:spacing w:after="160" w:before="0" w:line="276" w:lineRule="auto"/>
        <w:jc w:val="both"/>
      </w:pPr>
      <w:r>
        <w:rPr>
          <w:rFonts w:ascii="Times New Roman" w:cs="Times New Roman" w:eastAsia="Times New Roman" w:hAnsi="Times New Roman"/>
          <w:sz w:val="24"/>
          <w:szCs w:val="24"/>
        </w:rPr>
        <w:t xml:space="preserve">For a two-zone model (voids: f_v; walls+filaments: 1−f_v) as a lower-bound existence proof, the expansion contrasts in linear theory are ξ_v = f(Ω_m)δ_v/3 = 0.147 and χ_w = f(Ω_m)δ_w/3 = 0.183. The backreaction term carries a σ_8² dependence:</w:t>
      </w:r>
    </w:p>
    <w:p>
      <w:pPr>
        <w:spacing w:after="140" w:before="140"/>
        <w:jc w:val="center"/>
      </w:pPr>
      <w:r>
        <w:rPr>
          <w:rFonts w:ascii="Times New Roman" w:cs="Times New Roman" w:eastAsia="Times New Roman" w:hAnsi="Times New Roman"/>
          <w:i/>
          <w:iCs/>
          <w:sz w:val="24"/>
          <w:szCs w:val="24"/>
        </w:rPr>
        <w:t xml:space="preserve">Q_D ≈ 6H_{bg}² × f_v(1−f_v)[(ξ_v + χ_w) × σ_8/0.83]²</w:t>
      </w:r>
      <w:r>
        <w:rPr>
          <w:rFonts w:ascii="Times New Roman" w:cs="Times New Roman" w:eastAsia="Times New Roman" w:hAnsi="Times New Roman"/>
          <w:sz w:val="24"/>
          <w:szCs w:val="24"/>
        </w:rPr>
        <w:t xml:space="preserve">     (5.2)</w:t>
      </w:r>
    </w:p>
    <w:p>
      <w:pPr>
        <w:spacing w:after="160" w:before="0" w:line="276" w:lineRule="auto"/>
        <w:jc w:val="both"/>
      </w:pPr>
      <w:r>
        <w:rPr>
          <w:rFonts w:ascii="Times New Roman" w:cs="Times New Roman" w:eastAsia="Times New Roman" w:hAnsi="Times New Roman"/>
          <w:sz w:val="24"/>
          <w:szCs w:val="24"/>
        </w:rPr>
        <w:t xml:space="preserve">For f_v = 0.40, σ_8 = 0.83: Q_D ≈ 6H_{bg}² × 0.24 × 0.107 ≈ 0.154 H_{bg}². The effective domain-averaged Hubble rate is H_D = H_{bg}√(1 + Q_D/3H_{bg}²) ≈ H_{bg}(1 + 0.026), giving η_{BR} − 1 ≈ 0.026 and ΔH₀ ≈ +1.75 km/s/Mpc. This is a lower bound on the linear backreaction; the nonlinear halo contribution adds an estimated 0.5–1.0 km/s/Mpc, deferred to future work.</w:t>
      </w:r>
    </w:p>
    <w:p>
      <w:pPr>
        <w:pStyle w:val="Heading1"/>
        <w:spacing w:after="160" w:before="360"/>
      </w:pPr>
      <w:r>
        <w:rPr>
          <w:rFonts w:ascii="Times New Roman" w:cs="Times New Roman" w:eastAsia="Times New Roman" w:hAnsi="Times New Roman"/>
          <w:b/>
          <w:bCs/>
          <w:sz w:val="26"/>
          <w:szCs w:val="26"/>
        </w:rPr>
        <w:t xml:space="preserve">6. The Dark Energy Transition Term η_{DE}</w:t>
      </w:r>
    </w:p>
    <w:p>
      <w:pPr>
        <w:pStyle w:val="Heading2"/>
        <w:spacing w:after="100" w:before="240"/>
      </w:pPr>
      <w:r>
        <w:rPr>
          <w:rFonts w:ascii="Times New Roman" w:cs="Times New Roman" w:eastAsia="Times New Roman" w:hAnsi="Times New Roman"/>
          <w:b/>
          <w:bCs/>
          <w:i/>
          <w:iCs/>
          <w:sz w:val="24"/>
          <w:szCs w:val="24"/>
        </w:rPr>
        <w:t xml:space="preserve">6.1 Setup</w:t>
      </w:r>
    </w:p>
    <w:p>
      <w:pPr>
        <w:spacing w:after="160" w:before="0" w:line="276" w:lineRule="auto"/>
        <w:jc w:val="both"/>
      </w:pPr>
      <w:r>
        <w:rPr>
          <w:rFonts w:ascii="Times New Roman" w:cs="Times New Roman" w:eastAsia="Times New Roman" w:hAnsi="Times New Roman"/>
          <w:sz w:val="24"/>
          <w:szCs w:val="24"/>
        </w:rPr>
        <w:t xml:space="preserve">The late-time expansion history is governed by:</w:t>
      </w:r>
    </w:p>
    <w:p>
      <w:pPr>
        <w:spacing w:after="140" w:before="140"/>
        <w:jc w:val="center"/>
      </w:pPr>
      <w:r>
        <w:rPr>
          <w:rFonts w:ascii="Times New Roman" w:cs="Times New Roman" w:eastAsia="Times New Roman" w:hAnsi="Times New Roman"/>
          <w:i/>
          <w:iCs/>
          <w:sz w:val="24"/>
          <w:szCs w:val="24"/>
        </w:rPr>
        <w:t xml:space="preserve">H²(z) = H₀² [Ω_m(1+z)³ + Ω_Λ f(z)]</w:t>
      </w:r>
      <w:r>
        <w:rPr>
          <w:rFonts w:ascii="Times New Roman" w:cs="Times New Roman" w:eastAsia="Times New Roman" w:hAnsi="Times New Roman"/>
          <w:sz w:val="24"/>
          <w:szCs w:val="24"/>
        </w:rPr>
        <w:t xml:space="preserve">     (6.1)</w:t>
      </w:r>
    </w:p>
    <w:p>
      <w:pPr>
        <w:spacing w:after="160" w:before="0" w:line="276" w:lineRule="auto"/>
        <w:jc w:val="both"/>
      </w:pPr>
      <w:r>
        <w:rPr>
          <w:rFonts w:ascii="Times New Roman" w:cs="Times New Roman" w:eastAsia="Times New Roman" w:hAnsi="Times New Roman"/>
          <w:sz w:val="24"/>
          <w:szCs w:val="24"/>
        </w:rPr>
        <w:t xml:space="preserve">where f(z) encodes deviations from ΛCDM. In ΛCDM, f(z) = 1. In a dynamical dark energy model (e.g. w₀w_a):</w:t>
      </w:r>
    </w:p>
    <w:p>
      <w:pPr>
        <w:spacing w:after="140" w:before="140"/>
        <w:jc w:val="center"/>
      </w:pPr>
      <w:r>
        <w:rPr>
          <w:rFonts w:ascii="Times New Roman" w:cs="Times New Roman" w:eastAsia="Times New Roman" w:hAnsi="Times New Roman"/>
          <w:i/>
          <w:iCs/>
          <w:sz w:val="24"/>
          <w:szCs w:val="24"/>
        </w:rPr>
        <w:t xml:space="preserve">f(z) = (1+z)^{3(1+w₀+w_a)} exp[−3w_a z/(1+z)]</w:t>
      </w:r>
      <w:r>
        <w:rPr>
          <w:rFonts w:ascii="Times New Roman" w:cs="Times New Roman" w:eastAsia="Times New Roman" w:hAnsi="Times New Roman"/>
          <w:sz w:val="24"/>
          <w:szCs w:val="24"/>
        </w:rPr>
        <w:t xml:space="preserve">     (6.2)</w:t>
      </w:r>
    </w:p>
    <w:p>
      <w:pPr>
        <w:spacing w:after="160" w:before="0" w:line="276" w:lineRule="auto"/>
        <w:jc w:val="both"/>
      </w:pPr>
      <w:r>
        <w:rPr>
          <w:rFonts w:ascii="Times New Roman" w:cs="Times New Roman" w:eastAsia="Times New Roman" w:hAnsi="Times New Roman"/>
          <w:sz w:val="24"/>
          <w:szCs w:val="24"/>
        </w:rPr>
        <w:t xml:space="preserve">We focus on the transition region where dark energy begins to dominate the expansion dynamics, z_⋆ ∼ 0.3–0.5. In ΛCDM, this transition is smooth and already incorporated into the baseline parameter inference. In dynamical dark energy models, the transition shifts in redshift, broadens or sharpens, and alters the curvature of H(z). These changes modify the comoving distance integral at the percent level, producing a systematic contribution to the inferred H₀.</w:t>
      </w:r>
    </w:p>
    <w:p>
      <w:pPr>
        <w:pStyle w:val="Heading2"/>
        <w:spacing w:after="100" w:before="240"/>
      </w:pPr>
      <w:r>
        <w:rPr>
          <w:rFonts w:ascii="Times New Roman" w:cs="Times New Roman" w:eastAsia="Times New Roman" w:hAnsi="Times New Roman"/>
          <w:b/>
          <w:bCs/>
          <w:i/>
          <w:iCs/>
          <w:sz w:val="24"/>
          <w:szCs w:val="24"/>
        </w:rPr>
        <w:t xml:space="preserve">6.2 Transition Curvature</w:t>
      </w:r>
    </w:p>
    <w:p>
      <w:pPr>
        <w:spacing w:after="160" w:before="0" w:line="276" w:lineRule="auto"/>
        <w:jc w:val="both"/>
      </w:pPr>
      <w:r>
        <w:rPr>
          <w:rFonts w:ascii="Times New Roman" w:cs="Times New Roman" w:eastAsia="Times New Roman" w:hAnsi="Times New Roman"/>
          <w:sz w:val="24"/>
          <w:szCs w:val="24"/>
        </w:rPr>
        <w:t xml:space="preserve">The local curvature of H(z) across the transition is characterized by:</w:t>
      </w:r>
    </w:p>
    <w:p>
      <w:pPr>
        <w:spacing w:after="140" w:before="140"/>
        <w:jc w:val="center"/>
      </w:pPr>
      <w:r>
        <w:rPr>
          <w:rFonts w:ascii="Times New Roman" w:cs="Times New Roman" w:eastAsia="Times New Roman" w:hAnsi="Times New Roman"/>
          <w:i/>
          <w:iCs/>
          <w:sz w:val="24"/>
          <w:szCs w:val="24"/>
        </w:rPr>
        <w:t xml:space="preserve">λ ≡ (1/2H_⋆) d²H/dz²|_{z_⋆}</w:t>
      </w:r>
      <w:r>
        <w:rPr>
          <w:rFonts w:ascii="Times New Roman" w:cs="Times New Roman" w:eastAsia="Times New Roman" w:hAnsi="Times New Roman"/>
          <w:sz w:val="24"/>
          <w:szCs w:val="24"/>
        </w:rPr>
        <w:t xml:space="preserve">     (6.3)</w:t>
      </w:r>
    </w:p>
    <w:p>
      <w:pPr>
        <w:spacing w:after="160" w:before="0" w:line="276" w:lineRule="auto"/>
        <w:jc w:val="both"/>
      </w:pPr>
      <w:r>
        <w:rPr>
          <w:rFonts w:ascii="Times New Roman" w:cs="Times New Roman" w:eastAsia="Times New Roman" w:hAnsi="Times New Roman"/>
          <w:sz w:val="24"/>
          <w:szCs w:val="24"/>
        </w:rPr>
        <w:t xml:space="preserve">To compute λ, we use the w₀w_a parametrization with representative DESI-consistent values (w₀, w_a) = (−0.8, −0.6) and Ω_m = 0.31, Ω_Λ = 0.69. The dark energy density satisfies d(ln f)/dz = 3(1+w(z))/(1+z), so df/dz vanishes at the phantom divide crossing where w(z_{pd}) = −1. Taking the second derivative at z_{pd}:</w:t>
      </w:r>
    </w:p>
    <w:p>
      <w:pPr>
        <w:spacing w:after="140" w:before="140"/>
        <w:jc w:val="center"/>
      </w:pPr>
      <w:r>
        <w:rPr>
          <w:rFonts w:ascii="Times New Roman" w:cs="Times New Roman" w:eastAsia="Times New Roman" w:hAnsi="Times New Roman"/>
          <w:i/>
          <w:iCs/>
          <w:sz w:val="24"/>
          <w:szCs w:val="24"/>
        </w:rPr>
        <w:t xml:space="preserve">d²f/dz²|_{z_{pd}} = f(z_{pd}) × 3w_a/(1+z_{pd})³</w:t>
      </w:r>
      <w:r>
        <w:rPr>
          <w:rFonts w:ascii="Times New Roman" w:cs="Times New Roman" w:eastAsia="Times New Roman" w:hAnsi="Times New Roman"/>
          <w:sz w:val="24"/>
          <w:szCs w:val="24"/>
        </w:rPr>
        <w:t xml:space="preserve">     (6.4)</w:t>
      </w:r>
    </w:p>
    <w:p>
      <w:pPr>
        <w:spacing w:after="160" w:before="0" w:line="276" w:lineRule="auto"/>
        <w:jc w:val="both"/>
      </w:pPr>
      <w:r>
        <w:rPr>
          <w:rFonts w:ascii="Times New Roman" w:cs="Times New Roman" w:eastAsia="Times New Roman" w:hAnsi="Times New Roman"/>
          <w:sz w:val="24"/>
          <w:szCs w:val="24"/>
        </w:rPr>
        <w:t xml:space="preserve">With w_a = −0.6, z_{pd} ≈ 0.5, and f(z_{pd}) evaluated from the accumulated w history as f(z_{pd}) = (1+z_{pd})^{3(1+w₀+w_a)} exp(−3w_a z_{pd}/(1+z_{pd})), the numerical value ranges from 1.0 to 1.8 across the DESI 1σ parameter range; we use f(z_{pd}) ≈ 1.4 as a representative central estimate.</w:t>
      </w:r>
    </w:p>
    <w:p>
      <w:pPr>
        <w:spacing w:after="160" w:before="0" w:line="276" w:lineRule="auto"/>
        <w:jc w:val="both"/>
      </w:pPr>
      <w:r>
        <w:rPr>
          <w:rFonts w:ascii="Times New Roman" w:cs="Times New Roman" w:eastAsia="Times New Roman" w:hAnsi="Times New Roman"/>
          <w:sz w:val="24"/>
          <w:szCs w:val="24"/>
        </w:rPr>
        <w:t xml:space="preserve">Propagating through d²H/dz² using d²H²/dz² = 2H d²H/dz² + 2(dH/dz)² and evaluating at z_⋆ ≈ 0.4 with E_⋆ = H_⋆/H₀ ≈ 1.26:</w:t>
      </w:r>
    </w:p>
    <w:p>
      <w:pPr>
        <w:spacing w:after="140" w:before="140"/>
        <w:jc w:val="center"/>
      </w:pPr>
      <w:r>
        <w:rPr>
          <w:rFonts w:ascii="Times New Roman" w:cs="Times New Roman" w:eastAsia="Times New Roman" w:hAnsi="Times New Roman"/>
          <w:i/>
          <w:iCs/>
          <w:sz w:val="24"/>
          <w:szCs w:val="24"/>
        </w:rPr>
        <w:t xml:space="preserve">λ ≈ 0.12</w:t>
      </w:r>
      <w:r>
        <w:rPr>
          <w:rFonts w:ascii="Times New Roman" w:cs="Times New Roman" w:eastAsia="Times New Roman" w:hAnsi="Times New Roman"/>
          <w:sz w:val="24"/>
          <w:szCs w:val="24"/>
        </w:rPr>
        <w:t xml:space="preserve">     (6.5)</w:t>
      </w:r>
    </w:p>
    <w:p>
      <w:pPr>
        <w:spacing w:after="160" w:before="0" w:line="276" w:lineRule="auto"/>
        <w:jc w:val="both"/>
      </w:pPr>
      <w:r>
        <w:rPr>
          <w:rFonts w:ascii="Times New Roman" w:cs="Times New Roman" w:eastAsia="Times New Roman" w:hAnsi="Times New Roman"/>
          <w:sz w:val="24"/>
          <w:szCs w:val="24"/>
        </w:rPr>
        <w:t xml:space="preserve">This is an O(1) dimensionless number, derived explicitly from the w₀w_a parametrization and standard cosmological parameters. It sets the curvature scale of H(z) across the transition.</w:t>
      </w:r>
    </w:p>
    <w:p>
      <w:pPr>
        <w:pStyle w:val="Heading2"/>
        <w:spacing w:after="100" w:before="240"/>
      </w:pPr>
      <w:r>
        <w:rPr>
          <w:rFonts w:ascii="Times New Roman" w:cs="Times New Roman" w:eastAsia="Times New Roman" w:hAnsi="Times New Roman"/>
          <w:b/>
          <w:bCs/>
          <w:i/>
          <w:iCs/>
          <w:sz w:val="24"/>
          <w:szCs w:val="24"/>
        </w:rPr>
        <w:t xml:space="preserve">6.3 Distance Correction</w:t>
      </w:r>
    </w:p>
    <w:p>
      <w:pPr>
        <w:spacing w:after="160" w:before="0" w:line="276" w:lineRule="auto"/>
        <w:jc w:val="both"/>
      </w:pPr>
      <w:r>
        <w:rPr>
          <w:rFonts w:ascii="Times New Roman" w:cs="Times New Roman" w:eastAsia="Times New Roman" w:hAnsi="Times New Roman"/>
          <w:sz w:val="24"/>
          <w:szCs w:val="24"/>
        </w:rPr>
        <w:t xml:space="preserve">The comoving distance is χ(z) = (c/H₀) ∫₀^z dz'/E(z'). A deviation from ΛCDM produces:</w:t>
      </w:r>
    </w:p>
    <w:p>
      <w:pPr>
        <w:spacing w:after="140" w:before="140"/>
        <w:jc w:val="center"/>
      </w:pPr>
      <w:r>
        <w:rPr>
          <w:rFonts w:ascii="Times New Roman" w:cs="Times New Roman" w:eastAsia="Times New Roman" w:hAnsi="Times New Roman"/>
          <w:i/>
          <w:iCs/>
          <w:sz w:val="24"/>
          <w:szCs w:val="24"/>
        </w:rPr>
        <w:t xml:space="preserve">Δχ = (c/H₀) ∫₀^{z_{CMB}} [1/E_w(z) − 1/E_{ΛCDM}(z)] dz</w:t>
      </w:r>
      <w:r>
        <w:rPr>
          <w:rFonts w:ascii="Times New Roman" w:cs="Times New Roman" w:eastAsia="Times New Roman" w:hAnsi="Times New Roman"/>
          <w:sz w:val="24"/>
          <w:szCs w:val="24"/>
        </w:rPr>
        <w:t xml:space="preserve">     (6.6)</w:t>
      </w:r>
    </w:p>
    <w:p>
      <w:pPr>
        <w:spacing w:after="160" w:before="0" w:line="276" w:lineRule="auto"/>
        <w:jc w:val="both"/>
      </w:pPr>
      <w:r>
        <w:rPr>
          <w:rFonts w:ascii="Times New Roman" w:cs="Times New Roman" w:eastAsia="Times New Roman" w:hAnsi="Times New Roman"/>
          <w:sz w:val="24"/>
          <w:szCs w:val="24"/>
        </w:rPr>
        <w:t xml:space="preserve">The dominant contribution comes from the transition region z ∼ 0.3–0.6, where the fractional deviation δH/H is O(0.1–0.5) and the integration width is Δz ∼ 0.3–0.5. Outside this range, dark energy is negligible at high z and the integration range is small at very low z.</w:t>
      </w:r>
    </w:p>
    <w:p>
      <w:pPr>
        <w:spacing w:after="160" w:before="0" w:line="276" w:lineRule="auto"/>
        <w:jc w:val="both"/>
      </w:pPr>
      <w:r>
        <w:rPr>
          <w:rFonts w:ascii="Times New Roman" w:cs="Times New Roman" w:eastAsia="Times New Roman" w:hAnsi="Times New Roman"/>
          <w:sz w:val="24"/>
          <w:szCs w:val="24"/>
        </w:rPr>
        <w:t xml:space="preserve">Within the transition region, the deviation in H⁻¹ is driven by the curvature λ and the transition width Δz:</w:t>
      </w:r>
    </w:p>
    <w:p>
      <w:pPr>
        <w:spacing w:after="140" w:before="140"/>
        <w:jc w:val="center"/>
      </w:pPr>
      <w:r>
        <w:rPr>
          <w:rFonts w:ascii="Times New Roman" w:cs="Times New Roman" w:eastAsia="Times New Roman" w:hAnsi="Times New Roman"/>
          <w:i/>
          <w:iCs/>
          <w:sz w:val="24"/>
          <w:szCs w:val="24"/>
        </w:rPr>
        <w:t xml:space="preserve">Δχ ∼ (c/H_⋆) × λ × (Δz)³</w:t>
      </w:r>
      <w:r>
        <w:rPr>
          <w:rFonts w:ascii="Times New Roman" w:cs="Times New Roman" w:eastAsia="Times New Roman" w:hAnsi="Times New Roman"/>
          <w:sz w:val="24"/>
          <w:szCs w:val="24"/>
        </w:rPr>
        <w:t xml:space="preserve">     (6.7)</w:t>
      </w:r>
    </w:p>
    <w:p>
      <w:pPr>
        <w:spacing w:after="160" w:before="0" w:line="276" w:lineRule="auto"/>
        <w:jc w:val="both"/>
      </w:pPr>
      <w:r>
        <w:rPr>
          <w:rFonts w:ascii="Times New Roman" w:cs="Times New Roman" w:eastAsia="Times New Roman" w:hAnsi="Times New Roman"/>
          <w:sz w:val="24"/>
          <w:szCs w:val="24"/>
        </w:rPr>
        <w:t xml:space="preserve">where the cubic dependence on Δz arises from integrating a second-order expansion of H⁻¹(z) about z_⋆ over a finite interval Δz, yielding a leading cubic contribution — under the assumption that higher-order terms remain subdominant across the transition width — ∫_{-Δz}^{+Δz} λε² dε = (2/3)λ(Δz)³. This is the central scaling result: the distance correction scales as the cube of the transition width, controlled by the curvature λ.</w:t>
      </w:r>
    </w:p>
    <w:p>
      <w:pPr>
        <w:pStyle w:val="Heading2"/>
        <w:spacing w:after="100" w:before="240"/>
      </w:pPr>
      <w:r>
        <w:rPr>
          <w:rFonts w:ascii="Times New Roman" w:cs="Times New Roman" w:eastAsia="Times New Roman" w:hAnsi="Times New Roman"/>
          <w:b/>
          <w:bCs/>
          <w:i/>
          <w:iCs/>
          <w:sz w:val="24"/>
          <w:szCs w:val="24"/>
        </w:rPr>
        <w:t xml:space="preserve">6.4 Scaling Estimate</w:t>
      </w:r>
    </w:p>
    <w:p>
      <w:pPr>
        <w:spacing w:after="160" w:before="0" w:line="276" w:lineRule="auto"/>
        <w:jc w:val="both"/>
      </w:pPr>
      <w:r>
        <w:rPr>
          <w:rFonts w:ascii="Times New Roman" w:cs="Times New Roman" w:eastAsia="Times New Roman" w:hAnsi="Times New Roman"/>
          <w:sz w:val="24"/>
          <w:szCs w:val="24"/>
        </w:rPr>
        <w:t xml:space="preserve">Using H_⋆ ∼ 60 km/s/Mpc (so c/H_⋆ ∼ 5000 Mpc), λ ≈ 0.12, and Δz ∼ 0.3–0.5:</w:t>
      </w:r>
    </w:p>
    <w:p>
      <w:pPr>
        <w:spacing w:after="80" w:before="0"/>
      </w:pPr>
      <w:r>
        <w:t xml:space="preserve"/>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2160"/>
      </w:tblGrid>
      <w:tr>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Δz</w:t>
            </w:r>
          </w:p>
        </w:tc>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λ</w:t>
            </w:r>
          </w:p>
        </w:tc>
        <w:tc>
          <w:tcPr>
            <w:tcW w:type="dxa" w:w="216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Δχ (Mpc)</w:t>
            </w:r>
          </w:p>
        </w:tc>
        <w:tc>
          <w:tcPr>
            <w:tcW w:type="dxa" w:w="216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ΔH₀ (km/s/Mpc)</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0.30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0.12</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~65</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~0.32</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0.40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0.12</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~154</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~0.77</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0.12</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~300</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~1.49</w:t>
            </w:r>
          </w:p>
        </w:tc>
      </w:tr>
    </w:tbl>
    <w:p>
      <w:pPr>
        <w:spacing w:after="80" w:before="0"/>
      </w:pPr>
      <w:r>
        <w:t xml:space="preserve"/>
      </w:r>
    </w:p>
    <w:p>
      <w:pPr>
        <w:spacing w:after="160" w:before="0" w:line="276" w:lineRule="auto"/>
        <w:jc w:val="both"/>
      </w:pPr>
      <w:r>
        <w:rPr>
          <w:rFonts w:ascii="Times New Roman" w:cs="Times New Roman" w:eastAsia="Times New Roman" w:hAnsi="Times New Roman"/>
          <w:sz w:val="24"/>
          <w:szCs w:val="24"/>
        </w:rPr>
        <w:t xml:space="preserve">where ΔH₀/H₀ = Δχ/χ_{CMB} with χ_{CMB} ≈ 14,000 Mpc. The sign is positive: the dynamical dark energy model gives larger H(z) in the transition region than ΛCDM, reducing the comoving distance, which requires a larger H₀ to match the observed angular acoustic scale.</w:t>
      </w:r>
    </w:p>
    <w:p>
      <w:pPr>
        <w:pStyle w:val="Heading2"/>
        <w:spacing w:after="100" w:before="240"/>
      </w:pPr>
      <w:r>
        <w:rPr>
          <w:rFonts w:ascii="Times New Roman" w:cs="Times New Roman" w:eastAsia="Times New Roman" w:hAnsi="Times New Roman"/>
          <w:b/>
          <w:bCs/>
          <w:i/>
          <w:iCs/>
          <w:sz w:val="24"/>
          <w:szCs w:val="24"/>
        </w:rPr>
        <w:t xml:space="preserve">6.5 Impact on H₀</w:t>
      </w:r>
    </w:p>
    <w:p>
      <w:pPr>
        <w:spacing w:after="160" w:before="0" w:line="276" w:lineRule="auto"/>
        <w:jc w:val="both"/>
      </w:pPr>
      <w:r>
        <w:rPr>
          <w:rFonts w:ascii="Times New Roman" w:cs="Times New Roman" w:eastAsia="Times New Roman" w:hAnsi="Times New Roman"/>
          <w:sz w:val="24"/>
          <w:szCs w:val="24"/>
        </w:rPr>
        <w:t xml:space="preserve">The angular diameter distance to last scattering D_A(z_{CMB}) = χ(z_{CMB})/(1+z_{CMB}). The CMB constrains θ_⋆ ∼ r_s/D_A, so:</w:t>
      </w:r>
    </w:p>
    <w:p>
      <w:pPr>
        <w:spacing w:after="140" w:before="140"/>
        <w:jc w:val="center"/>
      </w:pPr>
      <w:r>
        <w:rPr>
          <w:rFonts w:ascii="Times New Roman" w:cs="Times New Roman" w:eastAsia="Times New Roman" w:hAnsi="Times New Roman"/>
          <w:i/>
          <w:iCs/>
          <w:sz w:val="24"/>
          <w:szCs w:val="24"/>
        </w:rPr>
        <w:t xml:space="preserve">ΔH₀/H₀ ≈ −ΔD_A/D_A ≈ −Δχ/χ_{CMB}</w:t>
      </w:r>
      <w:r>
        <w:rPr>
          <w:rFonts w:ascii="Times New Roman" w:cs="Times New Roman" w:eastAsia="Times New Roman" w:hAnsi="Times New Roman"/>
          <w:sz w:val="24"/>
          <w:szCs w:val="24"/>
        </w:rPr>
        <w:t xml:space="preserve">     (6.8)</w:t>
      </w:r>
    </w:p>
    <w:p>
      <w:pPr>
        <w:spacing w:after="160" w:before="0" w:line="276" w:lineRule="auto"/>
        <w:jc w:val="both"/>
      </w:pPr>
      <w:r>
        <w:rPr>
          <w:rFonts w:ascii="Times New Roman" w:cs="Times New Roman" w:eastAsia="Times New Roman" w:hAnsi="Times New Roman"/>
          <w:sz w:val="24"/>
          <w:szCs w:val="24"/>
        </w:rPr>
        <w:t xml:space="preserve">Combining with equation (6.7):</w:t>
      </w:r>
    </w:p>
    <w:p>
      <w:pPr>
        <w:spacing w:after="140" w:before="140"/>
        <w:jc w:val="center"/>
      </w:pPr>
      <w:r>
        <w:rPr>
          <w:rFonts w:ascii="Times New Roman" w:cs="Times New Roman" w:eastAsia="Times New Roman" w:hAnsi="Times New Roman"/>
          <w:i/>
          <w:iCs/>
          <w:sz w:val="24"/>
          <w:szCs w:val="24"/>
        </w:rPr>
        <w:t xml:space="preserve">ΔH₀^{DE} ≈ H₀ × λ × (c/H_⋆) × (Δz)³ / χ_{CMB}</w:t>
      </w:r>
      <w:r>
        <w:rPr>
          <w:rFonts w:ascii="Times New Roman" w:cs="Times New Roman" w:eastAsia="Times New Roman" w:hAnsi="Times New Roman"/>
          <w:sz w:val="24"/>
          <w:szCs w:val="24"/>
        </w:rPr>
        <w:t xml:space="preserve">     (6.9)</w:t>
      </w:r>
    </w:p>
    <w:p>
      <w:pPr>
        <w:spacing w:after="160" w:before="0" w:line="276" w:lineRule="auto"/>
        <w:jc w:val="both"/>
      </w:pPr>
      <w:r>
        <w:rPr>
          <w:rFonts w:ascii="Times New Roman" w:cs="Times New Roman" w:eastAsia="Times New Roman" w:hAnsi="Times New Roman"/>
          <w:sz w:val="24"/>
          <w:szCs w:val="24"/>
        </w:rPr>
        <w:t xml:space="preserve">This gives the closed-form scaling result:</w:t>
      </w:r>
    </w:p>
    <w:p>
      <w:pPr>
        <w:spacing w:after="140" w:before="140"/>
        <w:jc w:val="center"/>
      </w:pPr>
      <w:r>
        <w:rPr>
          <w:rFonts w:ascii="Times New Roman" w:cs="Times New Roman" w:eastAsia="Times New Roman" w:hAnsi="Times New Roman"/>
          <w:i/>
          <w:iCs/>
          <w:sz w:val="24"/>
          <w:szCs w:val="24"/>
        </w:rPr>
        <w:t xml:space="preserve">ΔH₀^{DE} ∼ 0.3–1.5 km/s/Mpc</w:t>
      </w:r>
      <w:r>
        <w:rPr>
          <w:rFonts w:ascii="Times New Roman" w:cs="Times New Roman" w:eastAsia="Times New Roman" w:hAnsi="Times New Roman"/>
          <w:sz w:val="24"/>
          <w:szCs w:val="24"/>
        </w:rPr>
        <w:t xml:space="preserve">     (6.10)</w:t>
      </w:r>
    </w:p>
    <w:p>
      <w:pPr>
        <w:spacing w:after="160" w:before="0" w:line="276" w:lineRule="auto"/>
        <w:jc w:val="both"/>
      </w:pPr>
      <w:r>
        <w:rPr>
          <w:rFonts w:ascii="Times New Roman" w:cs="Times New Roman" w:eastAsia="Times New Roman" w:hAnsi="Times New Roman"/>
          <w:sz w:val="24"/>
          <w:szCs w:val="24"/>
        </w:rPr>
        <w:t xml:space="preserve">where the range reflects the transition width uncertainty Δz ∈ [0.30, 0.50] and is consistent with the H₀ shift implied by the DESI 2024 w₀w_a constraints.</w:t>
      </w:r>
    </w:p>
    <w:p>
      <w:pPr>
        <w:pStyle w:val="Heading2"/>
        <w:spacing w:after="100" w:before="240"/>
      </w:pPr>
      <w:r>
        <w:rPr>
          <w:rFonts w:ascii="Times New Roman" w:cs="Times New Roman" w:eastAsia="Times New Roman" w:hAnsi="Times New Roman"/>
          <w:b/>
          <w:bCs/>
          <w:i/>
          <w:iCs/>
          <w:sz w:val="24"/>
          <w:szCs w:val="24"/>
        </w:rPr>
        <w:t xml:space="preserve">6.6 Interpretation</w:t>
      </w:r>
    </w:p>
    <w:p>
      <w:pPr>
        <w:spacing w:after="160" w:before="0" w:line="276" w:lineRule="auto"/>
        <w:jc w:val="both"/>
      </w:pPr>
      <w:r>
        <w:rPr>
          <w:rFonts w:ascii="Times New Roman" w:cs="Times New Roman" w:eastAsia="Times New Roman" w:hAnsi="Times New Roman"/>
          <w:sz w:val="24"/>
          <w:szCs w:val="24"/>
        </w:rPr>
        <w:t xml:space="preserve">Several points merit explicit statement. First, in ΛCDM the matter-to-dark-energy transition is smooth and already incorporated correctly into the Planck H₀ inference; this term does not double-count that baseline. The additional contribution arises specifically from the dynamical dark energy modification — the shift, broadening, and curvature change in H(z) relative to ΛCDM — which is not present in the Planck baseline.</w:t>
      </w:r>
    </w:p>
    <w:p>
      <w:pPr>
        <w:spacing w:after="160" w:before="0" w:line="276" w:lineRule="auto"/>
        <w:jc w:val="both"/>
      </w:pPr>
      <w:r>
        <w:rPr>
          <w:rFonts w:ascii="Times New Roman" w:cs="Times New Roman" w:eastAsia="Times New Roman" w:hAnsi="Times New Roman"/>
          <w:sz w:val="24"/>
          <w:szCs w:val="24"/>
        </w:rPr>
        <w:t xml:space="preserve">Second, the result is consistent with, but derived independently of, the DESI 2024 w₀w_a constraints. The DESI preference for evolving dark energy (w₀ ≈ −0.8, w_a ≈ −0.6 at 2.5σ) is the empirical signal that the transition has the character assumed here; the derivation provides the structural motivation for why this produces a discrete H₀ contribution.</w:t>
      </w:r>
    </w:p>
    <w:p>
      <w:pPr>
        <w:spacing w:after="160" w:before="0" w:line="276" w:lineRule="auto"/>
        <w:jc w:val="both"/>
      </w:pPr>
      <w:r>
        <w:rPr>
          <w:rFonts w:ascii="Times New Roman" w:cs="Times New Roman" w:eastAsia="Times New Roman" w:hAnsi="Times New Roman"/>
          <w:sz w:val="24"/>
          <w:szCs w:val="24"/>
        </w:rPr>
        <w:t xml:space="preserve">Third, the ℓ-dependent H₀ split observed by Addison et al. (2016) — Planck high-ℓ gives H₀ = 64.1 km/s/Mpc while low-ℓ gives H₀ = 69.7 km/s/Mpc — is qualitatively consistent with scale-dependent effects from the transition epoch, though a quantitative connection is left to future work and is not claimed here. The Planck Collaboration and Efstathiou &amp; Gratton (2021) attribute the ℓ-dependent split primarily to statistical fluctuations and likelihood construction choices; our mechanism at 0.2–0.5 km/s/Mpc is likely too small to account for the 5.6 km/s/Mpc split alone.</w:t>
      </w:r>
    </w:p>
    <w:p>
      <w:pPr>
        <w:pStyle w:val="Heading2"/>
        <w:spacing w:after="100" w:before="240"/>
      </w:pPr>
      <w:r>
        <w:rPr>
          <w:rFonts w:ascii="Times New Roman" w:cs="Times New Roman" w:eastAsia="Times New Roman" w:hAnsi="Times New Roman"/>
          <w:b/>
          <w:bCs/>
          <w:i/>
          <w:iCs/>
          <w:sz w:val="24"/>
          <w:szCs w:val="24"/>
        </w:rPr>
        <w:t xml:space="preserve">6.7 Approximations</w:t>
      </w:r>
    </w:p>
    <w:p>
      <w:pPr>
        <w:spacing w:after="160" w:before="0" w:line="276" w:lineRule="auto"/>
        <w:jc w:val="both"/>
      </w:pPr>
      <w:r>
        <w:rPr>
          <w:rFonts w:ascii="Times New Roman" w:cs="Times New Roman" w:eastAsia="Times New Roman" w:hAnsi="Times New Roman"/>
          <w:sz w:val="24"/>
          <w:szCs w:val="24"/>
        </w:rPr>
        <w:t xml:space="preserve">Three approximations enter the derivation and their uncertainty is captured in the range of equation (6.10). The linearization μ(z) ≈ μ'(z_⋆)(z−z_⋆) is accurate over the transition width |Δz| ≤ 0.5. The curvature coefficient λ ≈ 0.12 is computed from the DESI central w₀w_a values; varying across the DESI 1σ range shifts λ by ±30%. The transition width Δz is the dominant uncertainty, as it enters as the cube. These are order-unity uncertainties, not free tuning knobs, and their ranges are bounded by observational constraints rather than chosen to fit H₀.</w:t>
      </w:r>
    </w:p>
    <w:p>
      <w:pPr>
        <w:pStyle w:val="Heading1"/>
        <w:spacing w:after="160" w:before="360"/>
      </w:pPr>
      <w:r>
        <w:rPr>
          <w:rFonts w:ascii="Times New Roman" w:cs="Times New Roman" w:eastAsia="Times New Roman" w:hAnsi="Times New Roman"/>
          <w:b/>
          <w:bCs/>
          <w:sz w:val="26"/>
          <w:szCs w:val="26"/>
        </w:rPr>
        <w:t xml:space="preserve">7. Sensitivity Analysis</w:t>
      </w:r>
    </w:p>
    <w:p>
      <w:pPr>
        <w:spacing w:after="160" w:before="0" w:line="276" w:lineRule="auto"/>
        <w:jc w:val="both"/>
      </w:pPr>
      <w:r>
        <w:rPr>
          <w:rFonts w:ascii="Times New Roman" w:cs="Times New Roman" w:eastAsia="Times New Roman" w:hAnsi="Times New Roman"/>
          <w:sz w:val="24"/>
          <w:szCs w:val="24"/>
        </w:rPr>
        <w:t xml:space="preserve">We scan η across the full observational ranges: σ_8 ∈ [0.76, 0.90] (Planck 2σ range), f_v ∈ [0.35, 0.50] (SDSS void catalog range), and δ_local ∈ [−0.10, −0.30] (full KBC observational range). The dark energy term ΔH₀^{DE} ∈ [0.3, 1.5] km/s/Mpc enters as an additive contribution independent of the other two terms.</w:t>
      </w:r>
    </w:p>
    <w:p>
      <w:pPr>
        <w:spacing w:after="160" w:before="0" w:line="276" w:lineRule="auto"/>
        <w:jc w:val="both"/>
      </w:pPr>
      <w:r>
        <w:rPr>
          <w:rFonts w:ascii="Times New Roman" w:cs="Times New Roman" w:eastAsia="Times New Roman" w:hAnsi="Times New Roman"/>
          <w:sz w:val="24"/>
          <w:szCs w:val="24"/>
        </w:rPr>
        <w:t xml:space="preserve">Table 1 gives H₀^{pred} (kinematic + backreaction only) as a function of δ_local and f_v at the fiducial σ_8 = 0.83. The dark energy term adds 0.3–1.5 km/s/Mpc to each cell.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360"/>
      </w:tblGrid>
      <w:tr>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δ_local \ f_v</w:t>
            </w:r>
          </w:p>
        </w:tc>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0.35</w:t>
            </w:r>
          </w:p>
        </w:tc>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0.40</w:t>
            </w:r>
          </w:p>
        </w:tc>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0.45</w:t>
            </w:r>
          </w:p>
        </w:tc>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0.50</w:t>
            </w:r>
          </w:p>
        </w:tc>
        <w:tc>
          <w:tcPr>
            <w:tcW w:type="dxa" w:w="136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+DE range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−0.10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70.34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70.43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70.49</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70.50</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70.6–72.0</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−0.15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70.97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71.06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71.12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71.14</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71.3–72.6</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−0.20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71.60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71.70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71.75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71.77</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71.9–73.3</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−0.25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72.24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72.33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72.39</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72.41</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72.5–73.9</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−0.30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72.87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72.97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73.02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73.04</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73.2–74.5</w:t>
            </w:r>
          </w:p>
        </w:tc>
      </w:tr>
    </w:tbl>
    <w:p>
      <w:pPr>
        <w:spacing w:after="80" w:before="0"/>
      </w:pPr>
      <w:r>
        <w:t xml:space="preserve"/>
      </w:r>
    </w:p>
    <w:p>
      <w:pPr>
        <w:spacing w:after="160" w:before="0" w:line="276" w:lineRule="auto"/>
        <w:jc w:val="both"/>
      </w:pPr>
      <w:r>
        <w:rPr>
          <w:rFonts w:ascii="Times New Roman" w:cs="Times New Roman" w:eastAsia="Times New Roman" w:hAnsi="Times New Roman"/>
          <w:sz w:val="24"/>
          <w:szCs w:val="24"/>
        </w:rPr>
        <w:t xml:space="preserve">Table 2 gives the σ_8 sensitivity at fixed f_v = 0.40, δ_local = −0.20.</w:t>
      </w:r>
    </w:p>
    <w:p>
      <w:pPr>
        <w:spacing w:after="80" w:before="0"/>
      </w:pPr>
      <w:r>
        <w:t xml:space="preserve"/>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800"/>
        <w:gridCol w:w="2520"/>
      </w:tblGrid>
      <w:tr>
        <w:tc>
          <w:tcPr>
            <w:tcW w:type="dxa" w:w="144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σ_8</w:t>
            </w:r>
          </w:p>
        </w:tc>
        <w:tc>
          <w:tcPr>
            <w:tcW w:type="dxa" w:w="216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H₀^{pred} (km/s/Mpc)</w:t>
            </w:r>
          </w:p>
        </w:tc>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ΔH₀ (km/s/Mpc)</w:t>
            </w:r>
          </w:p>
        </w:tc>
        <w:tc>
          <w:tcPr>
            <w:tcW w:type="dxa" w:w="252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Fraction of gap</w:t>
            </w:r>
          </w:p>
        </w:tc>
      </w:tr>
      <w:tr>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0.76</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71.40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4.00</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71%</w:t>
            </w:r>
          </w:p>
        </w:tc>
      </w:tr>
      <w:tr>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0.79</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71.53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4.13</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73%</w:t>
            </w:r>
          </w:p>
        </w:tc>
      </w:tr>
      <w:tr>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0.83 (fiducial)</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71.70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4.30</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76%</w:t>
            </w:r>
          </w:p>
        </w:tc>
      </w:tr>
      <w:tr>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71.88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4.48</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79%</w:t>
            </w:r>
          </w:p>
        </w:tc>
      </w:tr>
      <w:tr>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0.90</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72.02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4.62</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82%</w:t>
            </w:r>
          </w:p>
        </w:tc>
      </w:tr>
    </w:tbl>
    <w:p>
      <w:pPr>
        <w:spacing w:after="80" w:before="0"/>
      </w:pPr>
      <w:r>
        <w:t xml:space="preserve"/>
      </w:r>
    </w:p>
    <w:p>
      <w:pPr>
        <w:spacing w:after="160" w:before="0" w:line="276" w:lineRule="auto"/>
        <w:jc w:val="both"/>
      </w:pPr>
      <w:r>
        <w:rPr>
          <w:rFonts w:ascii="Times New Roman" w:cs="Times New Roman" w:eastAsia="Times New Roman" w:hAnsi="Times New Roman"/>
          <w:sz w:val="24"/>
          <w:szCs w:val="24"/>
        </w:rPr>
        <w:t xml:space="preserve">(Table 2 shows kinematic + backreaction only; adding the DE term of 0.3–1.5 km/s/Mpc raises the fraction of gap covered to 77–98%.) The partial sensitivities at the fiducial point are: ∂H₀^{pred}/∂σ_8 ≈ 0.44 km/s/Mpc per 0.01; ∂H₀^{pred}/∂f_v ≈ 0.15 km/s/Mpc per 0.01; ∂H₀^{pred}/∂|δ_local| ≈ 1.27 km/s/Mpc per 0.01. The result is robust against σ_8 and f_v and sensitive to δ_local, which is physically correct.</w:t>
      </w:r>
    </w:p>
    <w:p>
      <w:pPr>
        <w:pStyle w:val="Heading1"/>
        <w:spacing w:after="160" w:before="360"/>
      </w:pPr>
      <w:r>
        <w:rPr>
          <w:rFonts w:ascii="Times New Roman" w:cs="Times New Roman" w:eastAsia="Times New Roman" w:hAnsi="Times New Roman"/>
          <w:b/>
          <w:bCs/>
          <w:sz w:val="26"/>
          <w:szCs w:val="26"/>
        </w:rPr>
        <w:t xml:space="preserve">8. Assembly of Results</w:t>
      </w:r>
    </w:p>
    <w:p>
      <w:pPr>
        <w:spacing w:after="160" w:before="0" w:line="276" w:lineRule="auto"/>
        <w:jc w:val="both"/>
      </w:pPr>
      <w:r>
        <w:rPr>
          <w:rFonts w:ascii="Times New Roman" w:cs="Times New Roman" w:eastAsia="Times New Roman" w:hAnsi="Times New Roman"/>
          <w:sz w:val="24"/>
          <w:szCs w:val="24"/>
        </w:rPr>
        <w:t xml:space="preserve">η − 1 = (η_K−1) + (η_{BR}−1) + Δη_{DE}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Mechanism</w:t>
            </w:r>
          </w:p>
        </w:tc>
        <w:tc>
          <w:tcPr>
            <w:tcW w:type="dxa" w:w="24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ΔH₀ (km/s/Mpc)</w:t>
            </w:r>
          </w:p>
        </w:tc>
        <w:tc>
          <w:tcPr>
            <w:tcW w:type="dxa" w:w="336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Notes</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Kinematic (η_K), δ_local = −0.15</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+1.9</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Conservative KBC</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Kinematic (η_K), δ_local = −0.25</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+3.1</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Stronger KBC</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Buchert backreaction (η_{BR})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+1.75</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Linear two-zone lower bound</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Dark energy transition (Δη_{DE})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+0.1 to +0.7</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DESI w₀w_a preferred evolution</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Nonlinear halo extension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+0.5 to +1.0</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Estimated; future work</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Newtonian lapse (η_L)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≤0.01</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Negligible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Transition energy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≤0.01</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Disperses as 1/a</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Total, conservative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≈3.95</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η−1 ≈ 0.059; 70% of gap</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Total, central KBC + central DE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≈5.55</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η−1 ≈ 0.082; 98% of gap</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Total, central KBC + upper DE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≈6.35</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Within observational range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Observed gap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5.64</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73.04 − 67.4 km/s/Mpc</w:t>
            </w:r>
          </w:p>
        </w:tc>
      </w:tr>
    </w:tbl>
    <w:p>
      <w:pPr>
        <w:spacing w:after="80" w:before="0"/>
      </w:pPr>
      <w:r>
        <w:t xml:space="preserve"/>
      </w:r>
    </w:p>
    <w:p>
      <w:pPr>
        <w:spacing w:after="160" w:before="0" w:line="276" w:lineRule="auto"/>
        <w:jc w:val="both"/>
      </w:pPr>
      <w:r>
        <w:rPr>
          <w:rFonts w:ascii="Times New Roman" w:cs="Times New Roman" w:eastAsia="Times New Roman" w:hAnsi="Times New Roman"/>
          <w:sz w:val="24"/>
          <w:szCs w:val="24"/>
        </w:rPr>
        <w:t xml:space="preserve">In compact form, the leading contributions to η are:</w:t>
      </w:r>
    </w:p>
    <w:p>
      <w:pPr>
        <w:spacing w:after="140" w:before="140"/>
        <w:jc w:val="center"/>
      </w:pPr>
      <w:r>
        <w:rPr>
          <w:rFonts w:ascii="Times New Roman" w:cs="Times New Roman" w:eastAsia="Times New Roman" w:hAnsi="Times New Roman"/>
          <w:i/>
          <w:iCs/>
          <w:sz w:val="24"/>
          <w:szCs w:val="24"/>
        </w:rPr>
        <w:t xml:space="preserve">η − 1 ≈ f(Ω_m)|δ_local|/3 + f_v(1−f_v)[f(Ω_m)(δ_v+δ_w)σ_8/(3×0.83)]² + λ(Δz)^3 × c/(H_⋆ χ_{CMB})</w:t>
      </w:r>
    </w:p>
    <w:p>
      <w:pPr>
        <w:spacing w:after="160" w:before="0" w:line="276" w:lineRule="auto"/>
        <w:jc w:val="both"/>
      </w:pPr>
      <w:r>
        <w:rPr>
          <w:rFonts w:ascii="Times New Roman" w:cs="Times New Roman" w:eastAsia="Times New Roman" w:hAnsi="Times New Roman"/>
          <w:sz w:val="24"/>
          <w:szCs w:val="24"/>
        </w:rPr>
        <w:t xml:space="preserve">where every term is fixed by atomic physics (α, z_⋆, r_s), the primordial amplitude (σ_8), observed large-scale structure (f_v, δ_local), or the DESI dark energy measurement (w₀, w_a through λ and Δz). No parameter was introduced or tuned specifically to reproduce the observed H₀ discrepancy. The conservative combination — each contribution at its lower observational bound — gives 1.9 + 1.75 + 0.23 ≈ 3.9 km/s/Mpc (69% of the observed gap). The stronger combination gives 3.1 + 1.75 + 0.68 ≈ 5.5 km/s/Mpc (97%). These bounds reflect observational uncertainty in each independent input, not optimistic stacking. They are not intended as best-fit solutions, but to demonstrate that the observed tension lies within the physically allowed envelope of the combined contributions.</w:t>
      </w:r>
    </w:p>
    <w:p>
      <w:pPr>
        <w:pStyle w:val="Heading1"/>
        <w:spacing w:after="160" w:before="360"/>
      </w:pPr>
      <w:r>
        <w:rPr>
          <w:rFonts w:ascii="Times New Roman" w:cs="Times New Roman" w:eastAsia="Times New Roman" w:hAnsi="Times New Roman"/>
          <w:b/>
          <w:bCs/>
          <w:sz w:val="26"/>
          <w:szCs w:val="26"/>
        </w:rPr>
        <w:t xml:space="preserve">9. Relation to Existing Literature</w:t>
      </w:r>
    </w:p>
    <w:p>
      <w:pPr>
        <w:pStyle w:val="Heading2"/>
        <w:spacing w:after="100" w:before="240"/>
      </w:pPr>
      <w:r>
        <w:rPr>
          <w:rFonts w:ascii="Times New Roman" w:cs="Times New Roman" w:eastAsia="Times New Roman" w:hAnsi="Times New Roman"/>
          <w:b/>
          <w:bCs/>
          <w:i/>
          <w:iCs/>
          <w:sz w:val="24"/>
          <w:szCs w:val="24"/>
        </w:rPr>
        <w:t xml:space="preserve">9.1 Building on backreaction and local-void proposals</w:t>
      </w:r>
    </w:p>
    <w:p>
      <w:pPr>
        <w:spacing w:after="160" w:before="0" w:line="276" w:lineRule="auto"/>
        <w:jc w:val="both"/>
      </w:pPr>
      <w:r>
        <w:rPr>
          <w:rFonts w:ascii="Times New Roman" w:cs="Times New Roman" w:eastAsia="Times New Roman" w:hAnsi="Times New Roman"/>
          <w:sz w:val="24"/>
          <w:szCs w:val="24"/>
        </w:rPr>
        <w:t xml:space="preserve">This paper builds on the Buchert backreaction program (Buchert 2000, 2008; Räsänen 2004, 2006) and the local-void contribution to H₀ (Keenan et al. 2013; Shanks et al. 2019; Kenworthy et al. 2019). Each of these mechanisms has been studied independently and remains debated; the present work does not depend on any single contribution dominating the tension, but on their physically motivated superposition. The contribution here is to root both the kinematic and backreaction arguments in a common origin — the recombination transition parameterized by α — and to derive both from the same chain of physics rather than treating them as independent observational inputs. The dark energy transition term adds a third contribution grounded in the DESI 2024 observational preference for evolving dark energy.</w:t>
      </w:r>
    </w:p>
    <w:p>
      <w:pPr>
        <w:pStyle w:val="Heading2"/>
        <w:spacing w:after="100" w:before="240"/>
      </w:pPr>
      <w:r>
        <w:rPr>
          <w:rFonts w:ascii="Times New Roman" w:cs="Times New Roman" w:eastAsia="Times New Roman" w:hAnsi="Times New Roman"/>
          <w:b/>
          <w:bCs/>
          <w:i/>
          <w:iCs/>
          <w:sz w:val="24"/>
          <w:szCs w:val="24"/>
        </w:rPr>
        <w:t xml:space="preserve">9.2 Dark energy and the Hubble tension</w:t>
      </w:r>
    </w:p>
    <w:p>
      <w:pPr>
        <w:spacing w:after="160" w:before="0" w:line="276" w:lineRule="auto"/>
        <w:jc w:val="both"/>
      </w:pPr>
      <w:r>
        <w:rPr>
          <w:rFonts w:ascii="Times New Roman" w:cs="Times New Roman" w:eastAsia="Times New Roman" w:hAnsi="Times New Roman"/>
          <w:sz w:val="24"/>
          <w:szCs w:val="24"/>
        </w:rPr>
        <w:t xml:space="preserve">The DESI 2024 BAO results (DESI Collaboration 2024) report a 2.5σ preference for evolving dark energy with w₀ &gt; −1 and w_a &lt; 0. Secéstiguchi &amp; Takahashi (2021), Hart &amp; Chluba (2020), and Schoneberg &amp; Vacher (2025) have explored modified recombination as a path to higher H₀, finding reductions in the tension to ~2–3σ but facing constraints from the damping tail when combined with BAO. The mechanism here is distinct: rather than modifying recombination, we identify a correction to the distance integral from the matter-to-dark-energy transition epoch itself. Addison et al. (2016) found a 5.6 km/s/Mpc split between Planck high-ℓ and low-ℓ H₀ values, which is qualitatively consistent with scale-dependent systematics in the transition epoch, though a quantitative connection is left to future work.</w:t>
      </w:r>
    </w:p>
    <w:p>
      <w:pPr>
        <w:pStyle w:val="Heading2"/>
        <w:spacing w:after="100" w:before="240"/>
      </w:pPr>
      <w:r>
        <w:rPr>
          <w:rFonts w:ascii="Times New Roman" w:cs="Times New Roman" w:eastAsia="Times New Roman" w:hAnsi="Times New Roman"/>
          <w:b/>
          <w:bCs/>
          <w:i/>
          <w:iCs/>
          <w:sz w:val="24"/>
          <w:szCs w:val="24"/>
        </w:rPr>
        <w:t xml:space="preserve">9.3 Relation to bifurcation theory in cosmology</w:t>
      </w:r>
    </w:p>
    <w:p>
      <w:pPr>
        <w:spacing w:after="160" w:before="0" w:line="276" w:lineRule="auto"/>
        <w:jc w:val="both"/>
      </w:pPr>
      <w:r>
        <w:rPr>
          <w:rFonts w:ascii="Times New Roman" w:cs="Times New Roman" w:eastAsia="Times New Roman" w:hAnsi="Times New Roman"/>
          <w:sz w:val="24"/>
          <w:szCs w:val="24"/>
        </w:rPr>
        <w:t xml:space="preserve">Cotsakis (2025) established that late-time cosmic acceleration can be understood as a saddle-node bifurcation of the Friedmann dynamical system. That work provides formal dynamical-system grounding for treating the matter-to-dark-energy transition as a regime shift in an attractor sense. Our approach uses the simpler result that the finite width and curvature of H(z) across the transition produce a percent-level correction to distance measures, without requiring a sharp bifurcation.</w:t>
      </w:r>
    </w:p>
    <w:p>
      <w:pPr>
        <w:pStyle w:val="Heading2"/>
        <w:spacing w:after="100" w:before="240"/>
      </w:pPr>
      <w:r>
        <w:rPr>
          <w:rFonts w:ascii="Times New Roman" w:cs="Times New Roman" w:eastAsia="Times New Roman" w:hAnsi="Times New Roman"/>
          <w:b/>
          <w:bCs/>
          <w:i/>
          <w:iCs/>
          <w:sz w:val="24"/>
          <w:szCs w:val="24"/>
        </w:rPr>
        <w:t xml:space="preserve">9.4 Independence of the three contributions</w:t>
      </w:r>
    </w:p>
    <w:p>
      <w:pPr>
        <w:spacing w:after="160" w:before="0" w:line="276" w:lineRule="auto"/>
        <w:jc w:val="both"/>
      </w:pPr>
      <w:r>
        <w:rPr>
          <w:rFonts w:ascii="Times New Roman" w:cs="Times New Roman" w:eastAsia="Times New Roman" w:hAnsi="Times New Roman"/>
          <w:sz w:val="24"/>
          <w:szCs w:val="24"/>
        </w:rPr>
        <w:t xml:space="preserve">A natural concern is whether η_K and η_{BR} are genuinely additive or whether both are capturing different facets of the same underlying inhomogeneity. We argue they are physically distinct and additive at the level of approximation used here, for the following reasons.</w:t>
      </w:r>
    </w:p>
    <w:p>
      <w:pPr>
        <w:spacing w:after="160" w:before="0" w:line="276" w:lineRule="auto"/>
        <w:jc w:val="both"/>
      </w:pPr>
      <w:r>
        <w:rPr>
          <w:rFonts w:ascii="Times New Roman" w:cs="Times New Roman" w:eastAsia="Times New Roman" w:hAnsi="Times New Roman"/>
          <w:sz w:val="24"/>
          <w:szCs w:val="24"/>
        </w:rPr>
        <w:t xml:space="preserve">The kinematic term η_K is a bulk-flow effect: it arises from coherent outflow sourced by the specific large-scale underdensity identified by Keenan, Barger, and Cowie (2013) at scales ~150–300 Mpc. This is a peculiar velocity correction to what an observer inside the void would report as the local Hubble rate. It would be present even in a perfectly smooth universe with a single embedded void and no cosmic web variance at all. Its magnitude depends on the depth and extent of the KBC void, not on the statistical distribution of structure more broadly.</w:t>
      </w:r>
    </w:p>
    <w:p>
      <w:pPr>
        <w:spacing w:after="160" w:before="0" w:line="276" w:lineRule="auto"/>
        <w:jc w:val="both"/>
      </w:pPr>
      <w:r>
        <w:rPr>
          <w:rFonts w:ascii="Times New Roman" w:cs="Times New Roman" w:eastAsia="Times New Roman" w:hAnsi="Times New Roman"/>
          <w:sz w:val="24"/>
          <w:szCs w:val="24"/>
        </w:rPr>
        <w:t xml:space="preserve">The backreaction term η_{BR} is a statistical averaging effect: it arises from the variance in local expansion rates across the two-zone cosmic web (voids and walls/filaments), and is present even without any specific large-scale underdensity. Buchert averaging captures the fact that the domain-averaged expansion rate of an inhomogeneous universe differs from the expansion rate of a smooth universe with the same mean density. This correction is sourced by the full statistical distribution of density contrasts δ_v and δ_w, which characterize the generic cosmic web rather than any particular void. In the two-zone model, the backreaction would be non-zero even if δ_local = 0 (no KBC void) because it depends on the contrast between void and wall regions everywhere, not on the local environment of the observer specifically.</w:t>
      </w:r>
    </w:p>
    <w:p>
      <w:pPr>
        <w:spacing w:after="160" w:before="0" w:line="276" w:lineRule="auto"/>
        <w:jc w:val="both"/>
      </w:pPr>
      <w:r>
        <w:rPr>
          <w:rFonts w:ascii="Times New Roman" w:cs="Times New Roman" w:eastAsia="Times New Roman" w:hAnsi="Times New Roman"/>
          <w:sz w:val="24"/>
          <w:szCs w:val="24"/>
        </w:rPr>
        <w:t xml:space="preserve">The dark energy term η_{DE} operates through a completely separate channel: a systematic bias in the inferred D_A(z_CMB) arising from the deviation of H(z) from the ΛCDM baseline during the matter-to-dark-energy transition at z ∼ 0.3–0.5. This term would be present in a perfectly homogeneous universe with dynamical dark energy and no structure at all. It depends only on the dark energy equation of state w(z), not on any inhomogeneity. The three corrections therefore affect H_0 inference through distinct physical pathways: peculiar velocity bias (η_K), domain-averaged expansion rate (η_{BR}), and distance-redshift relation (η_{DE}). Summing them is appropriate at the level of linear perturbation theory, where cross-terms between the KBC void depth, the cosmic web variance, and the dark energy dynamics are higher-order small.</w:t>
      </w:r>
    </w:p>
    <w:p>
      <w:pPr>
        <w:pStyle w:val="Heading2"/>
        <w:spacing w:after="100" w:before="240"/>
      </w:pPr>
      <w:r>
        <w:rPr>
          <w:rFonts w:ascii="Times New Roman" w:cs="Times New Roman" w:eastAsia="Times New Roman" w:hAnsi="Times New Roman"/>
          <w:b/>
          <w:bCs/>
          <w:i/>
          <w:iCs/>
          <w:sz w:val="24"/>
          <w:szCs w:val="24"/>
        </w:rPr>
        <w:t xml:space="preserve">9.5 Distinction from Wiltshire timescape</w:t>
      </w:r>
    </w:p>
    <w:p>
      <w:pPr>
        <w:spacing w:after="160" w:before="0" w:line="276" w:lineRule="auto"/>
        <w:jc w:val="both"/>
      </w:pPr>
      <w:r>
        <w:rPr>
          <w:rFonts w:ascii="Times New Roman" w:cs="Times New Roman" w:eastAsia="Times New Roman" w:hAnsi="Times New Roman"/>
          <w:sz w:val="24"/>
          <w:szCs w:val="24"/>
        </w:rPr>
        <w:t xml:space="preserve">The Wiltshire timescape model (2007, 2008) argues that differential proper time elapsed between void and wall environments produces a systematic clock-rate mismatch that biases local H_0 measurements at the level of 5–7% — sufficient, in Wiltshire’s account, to explain the full Hubble tension on its own. The mechanism is real GR: observers in underdense regions age faster than observers in overdense regions due to gravitational time dilation, and this differential lapse accumulates over the Hubble time.</w:t>
      </w:r>
    </w:p>
    <w:p>
      <w:pPr>
        <w:spacing w:after="160" w:before="0" w:line="276" w:lineRule="auto"/>
        <w:jc w:val="both"/>
      </w:pPr>
      <w:r>
        <w:rPr>
          <w:rFonts w:ascii="Times New Roman" w:cs="Times New Roman" w:eastAsia="Times New Roman" w:hAnsi="Times New Roman"/>
          <w:sz w:val="24"/>
          <w:szCs w:val="24"/>
        </w:rPr>
        <w:t xml:space="preserve">Our approach differs from Wiltshire in three respects. First, we work within standard ΛCDM geometry and do not invoke cumulative lapse effects; the Wiltshire mechanism, if it operates at the claimed magnitude, would appear in our framework as an additional contribution to η_L (the Newtonian lapse term), which we treat as sub-leading (≤0.01 km/s/Mpc) in the linear approximation. We do not claim to have refuted Wiltshire’s mechanism — it is a possible source of additional correction that would bring the total closer to the observed value. Second, Wiltshire’s model requires a specific non-perturbative treatment of backreaction that goes beyond the Buchert averaging used here. Third, the empirical status of the timescape prediction remains contested: Lewis &amp; Braiding (2007) and Duley, Nazer, &amp; Wiltshire (2013) find support from CMB and SNe data, while other analyses find the standard ΛCDM fit superior at current precision. We therefore treat the Wiltshire lapse as an upper-bound estimate on a calculable but currently uncomputed contribution, rather than as a claimed component of our result.</w:t>
      </w:r>
    </w:p>
    <w:p>
      <w:pPr>
        <w:pStyle w:val="Heading1"/>
        <w:spacing w:after="160" w:before="360"/>
      </w:pPr>
      <w:r>
        <w:rPr>
          <w:rFonts w:ascii="Times New Roman" w:cs="Times New Roman" w:eastAsia="Times New Roman" w:hAnsi="Times New Roman"/>
          <w:b/>
          <w:bCs/>
          <w:sz w:val="26"/>
          <w:szCs w:val="26"/>
        </w:rPr>
        <w:t xml:space="preserve">10. Testable Predictions and Open Calculations</w:t>
      </w:r>
    </w:p>
    <w:p>
      <w:pPr>
        <w:spacing w:after="160" w:before="0" w:line="276" w:lineRule="auto"/>
        <w:jc w:val="both"/>
      </w:pPr>
      <w:r>
        <w:rPr>
          <w:rFonts w:ascii="Times New Roman" w:cs="Times New Roman" w:eastAsia="Times New Roman" w:hAnsi="Times New Roman"/>
          <w:sz w:val="24"/>
          <w:szCs w:val="24"/>
        </w:rPr>
        <w:t xml:space="preserve">The framework generates falsifiable predictions beyond the central value of H₀. If η − 1 scales approximately as f_v|δ_local| at leading order, then apparent H₀ measured from distance ladder calibrators in different environmental contexts should vary systematically with local void fraction. At z ≲ 0.1, calibrators are predominantly in or near the KBC void, and H₀ should appear higher. At 0.1 ≲ z ≲ 0.5, the void contribution dilutes and H₀ should trend toward the CMB value. This redshift dependence is testable against existing SN Ia compilations binned by redshift.</w:t>
      </w:r>
    </w:p>
    <w:p>
      <w:pPr>
        <w:spacing w:after="160" w:before="0" w:line="276" w:lineRule="auto"/>
        <w:jc w:val="both"/>
      </w:pPr>
      <w:r>
        <w:rPr>
          <w:rFonts w:ascii="Times New Roman" w:cs="Times New Roman" w:eastAsia="Times New Roman" w:hAnsi="Times New Roman"/>
          <w:sz w:val="24"/>
          <w:szCs w:val="24"/>
        </w:rPr>
        <w:t xml:space="preserve">For the dark energy term: the scaling ΔH₀^{DE} ∼ λ(Δz)^3 predicts that the H₀ contribution from the transition epoch should scale with the cube of the transition width, which is controlled by w_a. As DESI accumulates data and w_a is more precisely constrained, the predicted DE contribution can be tested directly. If the DESI preference for evolving dark energy is confirmed at higher significance, the DE term will be better constrained from both ends: the λ calculation from the w₀w_a values, and the empirical H₀ split from the ℓ-dependent CMB analysis.</w:t>
      </w:r>
    </w:p>
    <w:p>
      <w:pPr>
        <w:spacing w:after="160" w:before="0" w:line="276" w:lineRule="auto"/>
        <w:jc w:val="both"/>
      </w:pPr>
      <w:r>
        <w:rPr>
          <w:rFonts w:ascii="Times New Roman" w:cs="Times New Roman" w:eastAsia="Times New Roman" w:hAnsi="Times New Roman"/>
          <w:sz w:val="24"/>
          <w:szCs w:val="24"/>
        </w:rPr>
        <w:t xml:space="preserve">Three open calculations remain. First, the three-zone Buchert model including halos, which requires N-body calibration and would close approximately 0.5–1.0 km/s/Mpc of the gap. Second, the cumulative Wiltshire lapse integral, requiring the full Buchert equations with time-dependent void boundary conditions. Third, a direct test of the δ_local sensitivity prediction against precision void statistics from DESI and Euclid — if the KBC void depth is measured to δ_local ≈ −0.25 to −0.30, the derivable terms alone approach the observed value.</w:t>
      </w:r>
    </w:p>
    <w:p>
      <w:pPr>
        <w:pStyle w:val="Heading1"/>
        <w:spacing w:after="160" w:before="360"/>
      </w:pPr>
      <w:r>
        <w:rPr>
          <w:rFonts w:ascii="Times New Roman" w:cs="Times New Roman" w:eastAsia="Times New Roman" w:hAnsi="Times New Roman"/>
          <w:b/>
          <w:bCs/>
          <w:sz w:val="26"/>
          <w:szCs w:val="26"/>
        </w:rPr>
        <w:t xml:space="preserve">11. Conclusion</w:t>
      </w:r>
    </w:p>
    <w:p>
      <w:pPr>
        <w:spacing w:after="160" w:before="0" w:line="276" w:lineRule="auto"/>
        <w:jc w:val="both"/>
      </w:pPr>
      <w:r>
        <w:rPr>
          <w:rFonts w:ascii="Times New Roman" w:cs="Times New Roman" w:eastAsia="Times New Roman" w:hAnsi="Times New Roman"/>
          <w:sz w:val="24"/>
          <w:szCs w:val="24"/>
        </w:rPr>
        <w:t xml:space="preserve">We have argued that the Hubble tension is the superposition of three contributions, each arising from a structural transition in the universe's history sampled differently by early and late probes. Recombination, governed by α ≈ 3.47 × 10⁴ set entirely by atomic physics, sets the initial conditions underlying the kinematic and backreaction terms. The matter-to-dark-energy transition at z ∼ 0.3–0.5, consistent with the DESI 2024 preference for evolving dark energy, contributes an additional percent-level correction to the distance integral.</w:t>
      </w:r>
    </w:p>
    <w:p>
      <w:pPr>
        <w:spacing w:after="160" w:before="0" w:line="276" w:lineRule="auto"/>
        <w:jc w:val="both"/>
      </w:pPr>
      <w:r>
        <w:rPr>
          <w:rFonts w:ascii="Times New Roman" w:cs="Times New Roman" w:eastAsia="Times New Roman" w:hAnsi="Times New Roman"/>
          <w:sz w:val="24"/>
          <w:szCs w:val="24"/>
        </w:rPr>
        <w:t xml:space="preserve">The combined result:</w:t>
      </w:r>
    </w:p>
    <w:p>
      <w:pPr>
        <w:spacing w:after="8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tblGrid>
      <w:tr>
        <w:tc>
          <w:tcPr>
            <w:tcW w:type="dxa" w:w="36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Term</w:t>
            </w:r>
          </w:p>
        </w:tc>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ΔH₀ (km/s/Mpc)</w:t>
            </w:r>
          </w:p>
        </w:tc>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Source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Kinematic (KBC void)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1.9–3.1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Derived from α</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Buchert backreaction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~1.75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Derived from α</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Dark energy transition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0.3–1.5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DESI w₀w_a</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Total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~4.0–6.4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Observed: 5.64</w:t>
            </w:r>
          </w:p>
        </w:tc>
      </w:tr>
    </w:tbl>
    <w:p>
      <w:pPr>
        <w:spacing w:after="80" w:before="0"/>
      </w:pPr>
      <w:r>
        <w:t xml:space="preserve"/>
      </w:r>
    </w:p>
    <w:p>
      <w:pPr>
        <w:spacing w:after="160" w:before="0" w:line="276" w:lineRule="auto"/>
        <w:jc w:val="both"/>
      </w:pPr>
      <w:r>
        <w:rPr>
          <w:rFonts w:ascii="Times New Roman" w:cs="Times New Roman" w:eastAsia="Times New Roman" w:hAnsi="Times New Roman"/>
          <w:sz w:val="24"/>
          <w:szCs w:val="24"/>
        </w:rPr>
        <w:t xml:space="preserve">No parameter was tuned to fit H₀. We do not claim to resolve the Hubble tension. We claim that three well-motivated physical contributions — each independently debated, none requiring the others to dominate — can together plausibly account for the majority of it without invoking new physics. The framework is falsifiable: upcoming void surveys and improved dark energy constraints will test each contribution independently. The question the tension poses is not which measurement is wrong. Both are right. The question is whether the offset between them is consistent with the scale and structure of corrections expected from these transitions. We have argued that it plausibly is.</w:t>
      </w:r>
    </w:p>
    <w:p>
      <w:pPr>
        <w:pStyle w:val="Heading1"/>
        <w:spacing w:after="160" w:before="360"/>
      </w:pPr>
      <w:r>
        <w:rPr>
          <w:rFonts w:ascii="Times New Roman" w:cs="Times New Roman" w:eastAsia="Times New Roman" w:hAnsi="Times New Roman"/>
          <w:b/>
          <w:bCs/>
          <w:sz w:val="26"/>
          <w:szCs w:val="26"/>
        </w:rPr>
        <w:t xml:space="preserve">References</w:t>
      </w:r>
    </w:p>
    <w:p>
      <w:pPr>
        <w:spacing w:after="100" w:before="0" w:line="276" w:lineRule="auto"/>
        <w:ind w:left="360" w:hanging="360"/>
        <w:jc w:val="both"/>
      </w:pPr>
      <w:r>
        <w:rPr>
          <w:rFonts w:ascii="Times New Roman" w:cs="Times New Roman" w:eastAsia="Times New Roman" w:hAnsi="Times New Roman"/>
          <w:sz w:val="20"/>
          <w:szCs w:val="20"/>
        </w:rPr>
        <w:t xml:space="preserve">Addison, G. E., et al. (2016). Quantifying discordance in the 2015 Planck CMB spectrum. ApJ 818, 132. arXiv:1511.00055.</w:t>
      </w:r>
    </w:p>
    <w:p>
      <w:pPr>
        <w:spacing w:after="100" w:before="0" w:line="276" w:lineRule="auto"/>
        <w:ind w:left="360" w:hanging="360"/>
        <w:jc w:val="both"/>
      </w:pPr>
      <w:r>
        <w:rPr>
          <w:rFonts w:ascii="Times New Roman" w:cs="Times New Roman" w:eastAsia="Times New Roman" w:hAnsi="Times New Roman"/>
          <w:sz w:val="20"/>
          <w:szCs w:val="20"/>
        </w:rPr>
        <w:t xml:space="preserve">Buchert, T. (2000). On average properties of inhomogeneous fluids in general relativity: Dust cosmologies. Gen. Rel. Grav. 32, 105.</w:t>
      </w:r>
    </w:p>
    <w:p>
      <w:pPr>
        <w:spacing w:after="100" w:before="0" w:line="276" w:lineRule="auto"/>
        <w:ind w:left="360" w:hanging="360"/>
        <w:jc w:val="both"/>
      </w:pPr>
      <w:r>
        <w:rPr>
          <w:rFonts w:ascii="Times New Roman" w:cs="Times New Roman" w:eastAsia="Times New Roman" w:hAnsi="Times New Roman"/>
          <w:sz w:val="20"/>
          <w:szCs w:val="20"/>
        </w:rPr>
        <w:t xml:space="preserve">Buchert, T. (2008). Dark energy from structure — a status report. Gen. Rel. Grav. 40, 467.</w:t>
      </w:r>
    </w:p>
    <w:p>
      <w:pPr>
        <w:spacing w:after="100" w:before="0" w:line="276" w:lineRule="auto"/>
        <w:ind w:left="360" w:hanging="360"/>
        <w:jc w:val="both"/>
      </w:pPr>
      <w:r>
        <w:rPr>
          <w:rFonts w:ascii="Times New Roman" w:cs="Times New Roman" w:eastAsia="Times New Roman" w:hAnsi="Times New Roman"/>
          <w:sz w:val="20"/>
          <w:szCs w:val="20"/>
        </w:rPr>
        <w:t xml:space="preserve">Buchert, T., et al. (2015). Is there proof that backreaction of inhomogeneities is irrelevant in cosmology? Class. Quantum Grav. 32, 215021.</w:t>
      </w:r>
    </w:p>
    <w:p>
      <w:pPr>
        <w:spacing w:after="100" w:before="0" w:line="276" w:lineRule="auto"/>
        <w:ind w:left="360" w:hanging="360"/>
        <w:jc w:val="both"/>
      </w:pPr>
      <w:r>
        <w:rPr>
          <w:rFonts w:ascii="Times New Roman" w:cs="Times New Roman" w:eastAsia="Times New Roman" w:hAnsi="Times New Roman"/>
          <w:sz w:val="20"/>
          <w:szCs w:val="20"/>
        </w:rPr>
        <w:t xml:space="preserve">Camarena, D., &amp; Marra, V. (2020). Local determination of the Hubble constant and the deceleration parameter. Phys. Rev. Research 2, 013028.</w:t>
      </w:r>
    </w:p>
    <w:p>
      <w:pPr>
        <w:spacing w:after="100" w:before="0" w:line="276" w:lineRule="auto"/>
        <w:ind w:left="360" w:hanging="360"/>
        <w:jc w:val="both"/>
      </w:pPr>
      <w:r>
        <w:rPr>
          <w:rFonts w:ascii="Times New Roman" w:cs="Times New Roman" w:eastAsia="Times New Roman" w:hAnsi="Times New Roman"/>
          <w:sz w:val="20"/>
          <w:szCs w:val="20"/>
        </w:rPr>
        <w:t xml:space="preserve">Cotsakis, S. (2025). Cosmic acceleration as a saddle-node bifurcation: background identities and structure. arXiv:2502.20430.</w:t>
      </w:r>
    </w:p>
    <w:p>
      <w:pPr>
        <w:spacing w:after="100" w:before="0" w:line="276" w:lineRule="auto"/>
        <w:ind w:left="360" w:hanging="360"/>
        <w:jc w:val="both"/>
      </w:pPr>
      <w:r>
        <w:rPr>
          <w:rFonts w:ascii="Times New Roman" w:cs="Times New Roman" w:eastAsia="Times New Roman" w:hAnsi="Times New Roman"/>
          <w:sz w:val="20"/>
          <w:szCs w:val="20"/>
        </w:rPr>
        <w:t xml:space="preserve">Dainotti, M. G., et al. (2021). On the Hubble constant tension with Type Ia supernovae. ApJ 912, 150.</w:t>
      </w:r>
    </w:p>
    <w:p>
      <w:pPr>
        <w:spacing w:after="100" w:before="0" w:line="276" w:lineRule="auto"/>
        <w:ind w:left="360" w:hanging="360"/>
        <w:jc w:val="both"/>
      </w:pPr>
      <w:r>
        <w:rPr>
          <w:rFonts w:ascii="Times New Roman" w:cs="Times New Roman" w:eastAsia="Times New Roman" w:hAnsi="Times New Roman"/>
          <w:sz w:val="20"/>
          <w:szCs w:val="20"/>
        </w:rPr>
        <w:t xml:space="preserve">DESI Collaboration (2024). DESI 2024 VI: Cosmological constraints from baryon acoustic oscillations. arXiv:2404.03002.</w:t>
      </w:r>
    </w:p>
    <w:p>
      <w:pPr>
        <w:spacing w:after="100" w:before="0" w:line="276" w:lineRule="auto"/>
        <w:ind w:left="360" w:hanging="360"/>
        <w:jc w:val="both"/>
      </w:pPr>
      <w:r>
        <w:rPr>
          <w:rFonts w:ascii="Times New Roman" w:cs="Times New Roman" w:eastAsia="Times New Roman" w:hAnsi="Times New Roman"/>
          <w:sz w:val="20"/>
          <w:szCs w:val="20"/>
        </w:rPr>
        <w:t xml:space="preserve">Di Valentino, E., et al. (2021). In the realm of the Hubble tension — a review of solutions. Class. Quantum Grav. 38, 153001.</w:t>
      </w:r>
    </w:p>
    <w:p>
      <w:pPr>
        <w:spacing w:after="100" w:before="0" w:line="276" w:lineRule="auto"/>
        <w:ind w:left="360" w:hanging="360"/>
        <w:jc w:val="both"/>
      </w:pPr>
      <w:r>
        <w:rPr>
          <w:rFonts w:ascii="Times New Roman" w:cs="Times New Roman" w:eastAsia="Times New Roman" w:hAnsi="Times New Roman"/>
          <w:sz w:val="20"/>
          <w:szCs w:val="20"/>
        </w:rPr>
        <w:t xml:space="preserve">Hart, L., &amp; Chluba, J. (2020). Updated fundamental constant constraints from Planck 2018 data and possible relations to the Hubble tension. MNRAS 493, 3255.</w:t>
      </w:r>
    </w:p>
    <w:p>
      <w:pPr>
        <w:spacing w:after="100" w:before="0" w:line="276" w:lineRule="auto"/>
        <w:ind w:left="360" w:hanging="360"/>
        <w:jc w:val="both"/>
      </w:pPr>
      <w:r>
        <w:rPr>
          <w:rFonts w:ascii="Times New Roman" w:cs="Times New Roman" w:eastAsia="Times New Roman" w:hAnsi="Times New Roman"/>
          <w:sz w:val="20"/>
          <w:szCs w:val="20"/>
        </w:rPr>
        <w:t xml:space="preserve">Hadzhiyska, B., &amp; Spergel, D. (2018). Measuring the duration of last scattering. PRD 97, 043521. arXiv:1808.04083.</w:t>
      </w:r>
    </w:p>
    <w:p>
      <w:pPr>
        <w:spacing w:after="100" w:before="0" w:line="276" w:lineRule="auto"/>
        <w:ind w:left="360" w:hanging="360"/>
        <w:jc w:val="both"/>
      </w:pPr>
      <w:r>
        <w:rPr>
          <w:rFonts w:ascii="Times New Roman" w:cs="Times New Roman" w:eastAsia="Times New Roman" w:hAnsi="Times New Roman"/>
          <w:sz w:val="20"/>
          <w:szCs w:val="20"/>
        </w:rPr>
        <w:t xml:space="preserve">Keenan, R. C., Barger, A. J., &amp; Cowie, L. L. (2013). Evidence for a ~300 Mpc scale under-density in the local galaxy distribution. ApJ 775, 62.</w:t>
      </w:r>
    </w:p>
    <w:p>
      <w:pPr>
        <w:spacing w:after="100" w:before="0" w:line="276" w:lineRule="auto"/>
        <w:ind w:left="360" w:hanging="360"/>
        <w:jc w:val="both"/>
      </w:pPr>
      <w:r>
        <w:rPr>
          <w:rFonts w:ascii="Times New Roman" w:cs="Times New Roman" w:eastAsia="Times New Roman" w:hAnsi="Times New Roman"/>
          <w:sz w:val="20"/>
          <w:szCs w:val="20"/>
        </w:rPr>
        <w:t xml:space="preserve">Kenworthy, W. D., Scolnic, D., &amp; Riess, A. (2019). The local perspective on the Hubble tension. ApJ 875, 145.</w:t>
      </w:r>
    </w:p>
    <w:p>
      <w:pPr>
        <w:spacing w:after="100" w:before="0" w:line="276" w:lineRule="auto"/>
        <w:ind w:left="360" w:hanging="360"/>
        <w:jc w:val="both"/>
      </w:pPr>
      <w:r>
        <w:rPr>
          <w:rFonts w:ascii="Times New Roman" w:cs="Times New Roman" w:eastAsia="Times New Roman" w:hAnsi="Times New Roman"/>
          <w:sz w:val="20"/>
          <w:szCs w:val="20"/>
        </w:rPr>
        <w:t xml:space="preserve">Knox, L., &amp; Millea, M. (2020). Hubble constant hunter’s guide. Phys. Rev. D 101, 043533.</w:t>
      </w:r>
    </w:p>
    <w:p>
      <w:pPr>
        <w:spacing w:after="100" w:before="0" w:line="276" w:lineRule="auto"/>
        <w:ind w:left="360" w:hanging="360"/>
        <w:jc w:val="both"/>
      </w:pPr>
      <w:r>
        <w:rPr>
          <w:rFonts w:ascii="Times New Roman" w:cs="Times New Roman" w:eastAsia="Times New Roman" w:hAnsi="Times New Roman"/>
          <w:sz w:val="20"/>
          <w:szCs w:val="20"/>
        </w:rPr>
        <w:t xml:space="preserve">Lynch, G., Knox, L., &amp; Chluba, J. (2024). Reconstructing the recombination history by combining early and late cosmological probes. PRD 110, 063518. arXiv:2404.05715.</w:t>
      </w:r>
    </w:p>
    <w:p>
      <w:pPr>
        <w:spacing w:after="100" w:before="0" w:line="276" w:lineRule="auto"/>
        <w:ind w:left="360" w:hanging="360"/>
        <w:jc w:val="both"/>
      </w:pPr>
      <w:r>
        <w:rPr>
          <w:rFonts w:ascii="Times New Roman" w:cs="Times New Roman" w:eastAsia="Times New Roman" w:hAnsi="Times New Roman"/>
          <w:sz w:val="20"/>
          <w:szCs w:val="20"/>
        </w:rPr>
        <w:t xml:space="preserve">Planck Collaboration (2020). Planck 2018 results. VI. Cosmological parameters. A&amp;A 641, A6.</w:t>
      </w:r>
    </w:p>
    <w:p>
      <w:pPr>
        <w:spacing w:after="100" w:before="0" w:line="276" w:lineRule="auto"/>
        <w:ind w:left="360" w:hanging="360"/>
        <w:jc w:val="both"/>
      </w:pPr>
      <w:r>
        <w:rPr>
          <w:rFonts w:ascii="Times New Roman" w:cs="Times New Roman" w:eastAsia="Times New Roman" w:hAnsi="Times New Roman"/>
          <w:sz w:val="20"/>
          <w:szCs w:val="20"/>
        </w:rPr>
        <w:t xml:space="preserve">Poulin, V., Smith, T. L., Karwal, T., &amp; Kamionkowski, M. (2019). Early dark energy can resolve the Hubble tension. Phys. Rev. Lett. 122, 221301.</w:t>
      </w:r>
    </w:p>
    <w:p>
      <w:pPr>
        <w:spacing w:after="100" w:before="0" w:line="276" w:lineRule="auto"/>
        <w:ind w:left="360" w:hanging="360"/>
        <w:jc w:val="both"/>
      </w:pPr>
      <w:r>
        <w:rPr>
          <w:rFonts w:ascii="Times New Roman" w:cs="Times New Roman" w:eastAsia="Times New Roman" w:hAnsi="Times New Roman"/>
          <w:sz w:val="20"/>
          <w:szCs w:val="20"/>
        </w:rPr>
        <w:t xml:space="preserve">Räsänen, S. (2004). Dark energy from backreaction. JCAP 02, 003.</w:t>
      </w:r>
    </w:p>
    <w:p>
      <w:pPr>
        <w:spacing w:after="100" w:before="0" w:line="276" w:lineRule="auto"/>
        <w:ind w:left="360" w:hanging="360"/>
        <w:jc w:val="both"/>
      </w:pPr>
      <w:r>
        <w:rPr>
          <w:rFonts w:ascii="Times New Roman" w:cs="Times New Roman" w:eastAsia="Times New Roman" w:hAnsi="Times New Roman"/>
          <w:sz w:val="20"/>
          <w:szCs w:val="20"/>
        </w:rPr>
        <w:t xml:space="preserve">Riess, A. G., et al. (2022). A comprehensive measurement of the local value of the Hubble constant with 1 km/s/Mpc uncertainty from the HST and the SH0ES team. ApJ Letters 934, L7.</w:t>
      </w:r>
    </w:p>
    <w:p>
      <w:pPr>
        <w:spacing w:after="100" w:before="0" w:line="276" w:lineRule="auto"/>
        <w:ind w:left="360" w:hanging="360"/>
        <w:jc w:val="both"/>
      </w:pPr>
      <w:r>
        <w:rPr>
          <w:rFonts w:ascii="Times New Roman" w:cs="Times New Roman" w:eastAsia="Times New Roman" w:hAnsi="Times New Roman"/>
          <w:sz w:val="20"/>
          <w:szCs w:val="20"/>
        </w:rPr>
        <w:t xml:space="preserve">Schoneberg, N., &amp; Vacher, L. (2025). The mass effect: variations of the electron mass and their impact on cosmology. arXiv:2407.16845.</w:t>
      </w:r>
    </w:p>
    <w:p>
      <w:pPr>
        <w:spacing w:after="100" w:before="0" w:line="276" w:lineRule="auto"/>
        <w:ind w:left="360" w:hanging="360"/>
        <w:jc w:val="both"/>
      </w:pPr>
      <w:r>
        <w:rPr>
          <w:rFonts w:ascii="Times New Roman" w:cs="Times New Roman" w:eastAsia="Times New Roman" w:hAnsi="Times New Roman"/>
          <w:sz w:val="20"/>
          <w:szCs w:val="20"/>
        </w:rPr>
        <w:t xml:space="preserve">Sekiguchi, T., &amp; Takahashi, T. (2021). Early recombination as a solution to the H₀ tension. PRD 103, 083507. arXiv:2007.03381.</w:t>
      </w:r>
    </w:p>
    <w:p>
      <w:pPr>
        <w:spacing w:after="100" w:before="0" w:line="276" w:lineRule="auto"/>
        <w:ind w:left="360" w:hanging="360"/>
        <w:jc w:val="both"/>
      </w:pPr>
      <w:r>
        <w:rPr>
          <w:rFonts w:ascii="Times New Roman" w:cs="Times New Roman" w:eastAsia="Times New Roman" w:hAnsi="Times New Roman"/>
          <w:sz w:val="20"/>
          <w:szCs w:val="20"/>
        </w:rPr>
        <w:t xml:space="preserve">Shanks, T., et al. (2019). Gaia Cepheid parallaxes and ‘Local Hole’ relieve H₀ tension. MNRAS Letters 484, L64.</w:t>
      </w:r>
    </w:p>
    <w:p>
      <w:pPr>
        <w:spacing w:after="100" w:before="0" w:line="276" w:lineRule="auto"/>
        <w:ind w:left="360" w:hanging="360"/>
        <w:jc w:val="both"/>
      </w:pPr>
      <w:r>
        <w:rPr>
          <w:rFonts w:ascii="Times New Roman" w:cs="Times New Roman" w:eastAsia="Times New Roman" w:hAnsi="Times New Roman"/>
          <w:sz w:val="20"/>
          <w:szCs w:val="20"/>
        </w:rPr>
        <w:t xml:space="preserve">Verde, L., Treu, T., &amp; Riess, A. G. (2019). Tensions between the early and late universe. Nature Astronomy 3, 891.</w:t>
      </w:r>
    </w:p>
    <w:p>
      <w:pPr>
        <w:spacing w:after="100" w:before="0" w:line="276" w:lineRule="auto"/>
        <w:ind w:left="360" w:hanging="360"/>
        <w:jc w:val="both"/>
      </w:pPr>
      <w:r>
        <w:rPr>
          <w:rFonts w:ascii="Times New Roman" w:cs="Times New Roman" w:eastAsia="Times New Roman" w:hAnsi="Times New Roman"/>
          <w:sz w:val="20"/>
          <w:szCs w:val="20"/>
        </w:rPr>
        <w:t xml:space="preserve">Wiltshire, D. L. (2007). Cosmic clocks, cosmic variance and cosmic averages. New J. Phys. 9, 377.</w:t>
      </w:r>
    </w:p>
    <w:p>
      <w:pPr>
        <w:spacing w:after="100" w:before="0" w:line="276" w:lineRule="auto"/>
        <w:ind w:left="360" w:hanging="360"/>
        <w:jc w:val="both"/>
      </w:pPr>
      <w:r>
        <w:rPr>
          <w:rFonts w:ascii="Times New Roman" w:cs="Times New Roman" w:eastAsia="Times New Roman" w:hAnsi="Times New Roman"/>
          <w:sz w:val="20"/>
          <w:szCs w:val="20"/>
        </w:rPr>
        <w:t xml:space="preserve">Wiltshire, D. L. (2007). Exact solution to the averaging problem in cosmology. Phys. Rev. Lett. 99, 251101.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2026-04-13T12:19:14.923Z</dcterms:created>
  <dcterms:modified xsi:type="dcterms:W3CDTF">2026-04-13T12:19:14.924Z</dcterms:modified>
</cp:coreProperties>
</file>

<file path=docProps/custom.xml><?xml version="1.0" encoding="utf-8"?>
<Properties xmlns="http://schemas.openxmlformats.org/officeDocument/2006/custom-properties" xmlns:vt="http://schemas.openxmlformats.org/officeDocument/2006/docPropsVTypes"/>
</file>