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2e" w:val="solid"/>
        <w:spacing w:after="0" w:before="0"/>
        <w:ind w:left="-720" w:right="-720"/>
        <w:jc w:val="center"/>
      </w:pPr>
      <w:r>
        <w:rPr>
          <w:rFonts w:ascii="Calibri" w:cs="Calibri" w:eastAsia="Calibri" w:hAnsi="Calibri"/>
          <w:b/>
          <w:bCs/>
          <w:color w:val="ffffff"/>
          <w:sz w:val="44"/>
          <w:szCs w:val="44"/>
        </w:rPr>
        <w:t xml:space="preserve">Two Perspectives on the Same Machinery</w:t>
      </w:r>
    </w:p>
    <w:p>
      <w:pPr>
        <w:shd w:color="2d2d44" w:val="solid"/>
        <w:spacing w:after="280" w:before="0"/>
        <w:ind w:left="-720" w:right="-720"/>
        <w:jc w:val="center"/>
      </w:pPr>
      <w:r>
        <w:rPr>
          <w:rFonts w:ascii="Calibri" w:cs="Calibri" w:eastAsia="Calibri" w:hAnsi="Calibri"/>
          <w:i/>
          <w:iCs/>
          <w:color w:val="aaaacc"/>
          <w:sz w:val="22"/>
          <w:szCs w:val="22"/>
        </w:rPr>
        <w:t xml:space="preserve">Recursive Emergence and the Elimination of Non-Viable States</w:t>
      </w:r>
    </w:p>
    <w:p>
      <w:pPr>
        <w:pStyle w:val="Heading1"/>
        <w:shd w:color="1a1a2e" w:val="solid"/>
        <w:spacing w:after="120" w:before="320"/>
        <w:ind w:left="120" w:right="120"/>
      </w:pPr>
      <w:r>
        <w:rPr>
          <w:rFonts w:ascii="Calibri" w:cs="Calibri" w:eastAsia="Calibri" w:hAnsi="Calibri"/>
          <w:b/>
          <w:bCs/>
          <w:color w:val="ffffff"/>
          <w:sz w:val="30"/>
          <w:szCs w:val="30"/>
        </w:rPr>
        <w:t xml:space="preserve">I.  The View from Above</w:t>
      </w:r>
    </w:p>
    <w:p>
      <w:pPr>
        <w:spacing w:after="70" w:before="70"/>
      </w:pPr>
      <w:r>
        <w:rPr>
          <w:rFonts w:ascii="Calibri" w:cs="Calibri" w:eastAsia="Calibri" w:hAnsi="Calibri"/>
          <w:i w:val="false"/>
          <w:iCs w:val="false"/>
          <w:color w:val="1c1c1c"/>
          <w:sz w:val="20"/>
          <w:szCs w:val="20"/>
        </w:rPr>
        <w:t xml:space="preserve">A new layer of the hierarchy becomes visible. It seems to arrive from nowhere — chemistry emerging from atomic structure, life emerging from chemistry, cognition emerging from biological organization. From this perspective the universe is generative: each level richer than the one before it, complexity building on complexity in a chain that feels, from the inside, like creation.</w:t>
      </w:r>
    </w:p>
    <w:p/>
    <w:p>
      <w:pPr>
        <w:spacing w:after="70" w:before="70"/>
      </w:pPr>
      <w:r>
        <w:rPr>
          <w:rFonts w:ascii="Calibri" w:cs="Calibri" w:eastAsia="Calibri" w:hAnsi="Calibri"/>
          <w:b w:val="false"/>
          <w:bCs w:val="false"/>
          <w:i w:val="false"/>
          <w:iCs w:val="false"/>
          <w:color w:val="1c1c1c"/>
          <w:sz w:val="20"/>
          <w:szCs w:val="20"/>
        </w:rPr>
        <w:t xml:space="preserve">The emergence view is not wrong. But it is incomplete. </w:t>
      </w:r>
      <w:r>
        <w:rPr>
          <w:rFonts w:ascii="Calibri" w:cs="Calibri" w:eastAsia="Calibri" w:hAnsi="Calibri"/>
          <w:b/>
          <w:bCs/>
          <w:i w:val="false"/>
          <w:iCs w:val="false"/>
          <w:color w:val="1c1c1c"/>
          <w:sz w:val="20"/>
          <w:szCs w:val="20"/>
        </w:rPr>
        <w:t xml:space="preserve">It describes the residue.</w:t>
      </w:r>
      <w:r>
        <w:rPr>
          <w:rFonts w:ascii="Calibri" w:cs="Calibri" w:eastAsia="Calibri" w:hAnsi="Calibri"/>
          <w:b w:val="false"/>
          <w:bCs w:val="false"/>
          <w:i w:val="false"/>
          <w:iCs w:val="false"/>
          <w:color w:val="1c1c1c"/>
          <w:sz w:val="20"/>
          <w:szCs w:val="20"/>
        </w:rPr>
        <w:t xml:space="preserve"> What it misses is the machinery that produced the residue — the cold, systematic shearing that preceded the apparent miracle.</w:t>
      </w:r>
    </w:p>
    <w:p/>
    <w:p>
      <w:pPr>
        <w:pStyle w:val="Heading1"/>
        <w:shd w:color="1a1a2e" w:val="solid"/>
        <w:spacing w:after="120" w:before="320"/>
        <w:ind w:left="120" w:right="120"/>
      </w:pPr>
      <w:r>
        <w:rPr>
          <w:rFonts w:ascii="Calibri" w:cs="Calibri" w:eastAsia="Calibri" w:hAnsi="Calibri"/>
          <w:b/>
          <w:bCs/>
          <w:color w:val="ffffff"/>
          <w:sz w:val="30"/>
          <w:szCs w:val="30"/>
        </w:rPr>
        <w:t xml:space="preserve">II.  The Machinery</w:t>
      </w:r>
    </w:p>
    <w:p>
      <w:pPr>
        <w:spacing w:after="70" w:before="70"/>
      </w:pPr>
      <w:r>
        <w:rPr>
          <w:rFonts w:ascii="Calibri" w:cs="Calibri" w:eastAsia="Calibri" w:hAnsi="Calibri"/>
          <w:i w:val="false"/>
          <w:iCs w:val="false"/>
          <w:color w:val="1c1c1c"/>
          <w:sz w:val="20"/>
          <w:szCs w:val="20"/>
        </w:rPr>
        <w:t xml:space="preserve">Every viable system exists between two structurally distinct failure boundaries. The lower boundary — the transcritical (TC) — is the starvation threshold: the point at which organizational activity can no longer sustain itself and the system collapses continuously into the trivial state. The upper boundary — the saddle-node (SN) — is the cascade threshold: the point at which the nontrivial and unstable fixed points annihilate, and the system falls discontinuously into reorganization.</w:t>
      </w:r>
    </w:p>
    <w:p/>
    <w:p>
      <w:pPr>
        <w:spacing w:after="70" w:before="70"/>
      </w:pPr>
      <w:r>
        <w:rPr>
          <w:rFonts w:ascii="Calibri" w:cs="Calibri" w:eastAsia="Calibri" w:hAnsi="Calibri"/>
          <w:b/>
          <w:bCs/>
          <w:i w:val="false"/>
          <w:iCs w:val="false"/>
          <w:color w:val="1c1c1c"/>
          <w:sz w:val="20"/>
          <w:szCs w:val="20"/>
        </w:rPr>
        <w:t xml:space="preserve">These are not the same kind of boundary.</w:t>
      </w:r>
      <w:r>
        <w:rPr>
          <w:rFonts w:ascii="Calibri" w:cs="Calibri" w:eastAsia="Calibri" w:hAnsi="Calibri"/>
          <w:b w:val="false"/>
          <w:bCs w:val="false"/>
          <w:i w:val="false"/>
          <w:iCs w:val="false"/>
          <w:color w:val="1c1c1c"/>
          <w:sz w:val="20"/>
          <w:szCs w:val="20"/>
        </w:rPr>
        <w:t xml:space="preserve"> The TC boundary is a gentle slope — the normal form is</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ẋ = μx − x²     V_TC(x) = −μx²/2 + x³/3     ΔV_TC = μ³/6</w:t>
      </w:r>
    </w:p>
    <w:p>
      <w:pPr>
        <w:spacing w:after="70" w:before="70"/>
      </w:pPr>
      <w:r>
        <w:rPr>
          <w:rFonts w:ascii="Calibri" w:cs="Calibri" w:eastAsia="Calibri" w:hAnsi="Calibri"/>
          <w:i w:val="false"/>
          <w:iCs w:val="false"/>
          <w:color w:val="1c1c1c"/>
          <w:sz w:val="20"/>
          <w:szCs w:val="20"/>
        </w:rPr>
        <w:t xml:space="preserve">The nontrivial state approaches the trivial one continuously as μ→0. There is no discontinuity. The system fades.</w:t>
      </w:r>
    </w:p>
    <w:p/>
    <w:p>
      <w:pPr>
        <w:spacing w:after="70" w:before="70"/>
      </w:pPr>
      <w:r>
        <w:rPr>
          <w:rFonts w:ascii="Calibri" w:cs="Calibri" w:eastAsia="Calibri" w:hAnsi="Calibri"/>
          <w:i w:val="false"/>
          <w:iCs w:val="false"/>
          <w:color w:val="1c1c1c"/>
          <w:sz w:val="20"/>
          <w:szCs w:val="20"/>
        </w:rPr>
        <w:t xml:space="preserve">The SN boundary is a cliff. The normal form is</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ẋ = μ − x²     V_SN(x) = −μx + x³/3     ΔV_SN = (4/3)μ^{3/2}</w:t>
      </w:r>
    </w:p>
    <w:p>
      <w:pPr>
        <w:spacing w:after="70" w:before="70"/>
      </w:pPr>
      <w:r>
        <w:rPr>
          <w:rFonts w:ascii="Calibri" w:cs="Calibri" w:eastAsia="Calibri" w:hAnsi="Calibri"/>
          <w:i w:val="false"/>
          <w:iCs w:val="false"/>
          <w:color w:val="1c1c1c"/>
          <w:sz w:val="20"/>
          <w:szCs w:val="20"/>
        </w:rPr>
        <w:t xml:space="preserve">Two fixed points — one stable, one unstable — approach each other and annihilate. Nothing continuous precedes the jump. The system is viable, viable, viable, and then it is not.</w:t>
      </w:r>
    </w:p>
    <w:p/>
    <w:p>
      <w:pPr>
        <w:spacing w:after="70" w:before="70"/>
      </w:pPr>
      <w:r>
        <w:rPr>
          <w:rFonts w:ascii="Calibri" w:cs="Calibri" w:eastAsia="Calibri" w:hAnsi="Calibri"/>
          <w:i w:val="false"/>
          <w:iCs w:val="false"/>
          <w:color w:val="1c1c1c"/>
          <w:sz w:val="20"/>
          <w:szCs w:val="20"/>
        </w:rPr>
        <w:t xml:space="preserve">The noise-scaling signatures of these two boundaries are different and their ratio is fixed in the fundamental limit. Under Kramers escape theory, the corridor half-widths scale as ΔV ~ D·log(ω₀τ), giving:</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ΔG⁻ ~ D^{1/3}   (TC starvation)</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ΔG⁺ ~ D^{2/3}   (SN cascade)</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Ratio = 2 : 1    in the pure normal form limit</w:t>
      </w:r>
    </w:p>
    <w:p/>
    <w:p>
      <w:pPr>
        <w:spacing w:after="70" w:before="70"/>
      </w:pPr>
      <w:r>
        <w:rPr>
          <w:rFonts w:ascii="Calibri" w:cs="Calibri" w:eastAsia="Calibri" w:hAnsi="Calibri"/>
          <w:b w:val="false"/>
          <w:bCs w:val="false"/>
          <w:i w:val="false"/>
          <w:iCs w:val="false"/>
          <w:color w:val="1c1c1c"/>
          <w:sz w:val="20"/>
          <w:szCs w:val="20"/>
        </w:rPr>
        <w:t xml:space="preserve">This ratio is derived, not measured. </w:t>
      </w:r>
      <w:r>
        <w:rPr>
          <w:rFonts w:ascii="Calibri" w:cs="Calibri" w:eastAsia="Calibri" w:hAnsi="Calibri"/>
          <w:b/>
          <w:bCs/>
          <w:i w:val="false"/>
          <w:iCs w:val="false"/>
          <w:color w:val="1c1c1c"/>
          <w:sz w:val="20"/>
          <w:szCs w:val="20"/>
        </w:rPr>
        <w:t xml:space="preserve">It follows from n = k·α</w:t>
      </w:r>
      <w:r>
        <w:rPr>
          <w:rFonts w:ascii="Calibri" w:cs="Calibri" w:eastAsia="Calibri" w:hAnsi="Calibri"/>
          <w:b w:val="false"/>
          <w:bCs w:val="false"/>
          <w:i w:val="false"/>
          <w:iCs w:val="false"/>
          <w:color w:val="1c1c1c"/>
          <w:sz w:val="20"/>
          <w:szCs w:val="20"/>
        </w:rPr>
        <w:t xml:space="preserve"> — where α is the power of μ in the well location and k is the order of the lowest stabilizing nonlinearity — and it is a topological invariant of the boundary type. But it is only visible after stripping away the layers that obscure it in real systems: state-dependent diffusion corrections, coupling to fast variables, higher-order potential terms, finite observation windows. Real measurements return 0.603 where theory predicts 0.5. The discrepancy is the constraints above the normal form doing work. Only when those are accounted for — only when the energy flows through both boundaries are comparable and the system is genuinely near both — does 2:1 emerge from the data.</w:t>
      </w:r>
    </w:p>
    <w:p/>
    <w:p>
      <w:pPr>
        <w:pBdr>
          <w:left w:val="thick" w:color="b5451b" w:sz="10"/>
          <w:right w:val="thick" w:color="b5451b" w:sz="10"/>
        </w:pBdr>
        <w:spacing w:after="120" w:before="120"/>
        <w:ind w:left="480" w:right="480"/>
      </w:pPr>
      <w:r>
        <w:rPr>
          <w:rFonts w:ascii="Calibri" w:cs="Calibri" w:eastAsia="Calibri" w:hAnsi="Calibri"/>
          <w:b/>
          <w:bCs/>
          <w:i/>
          <w:iCs/>
          <w:color w:val="1a1a2e"/>
          <w:sz w:val="21"/>
          <w:szCs w:val="21"/>
        </w:rPr>
        <w:t xml:space="preserve">The ratio 2:1 is not what you see first. It is what remains after everything that was not the fundamental geometry has been removed.</w:t>
      </w:r>
    </w:p>
    <w:p>
      <w:pPr>
        <w:pStyle w:val="Heading1"/>
        <w:shd w:color="1a1a2e" w:val="solid"/>
        <w:spacing w:after="120" w:before="320"/>
        <w:ind w:left="120" w:right="120"/>
      </w:pPr>
      <w:r>
        <w:rPr>
          <w:rFonts w:ascii="Calibri" w:cs="Calibri" w:eastAsia="Calibri" w:hAnsi="Calibri"/>
          <w:b/>
          <w:bCs/>
          <w:color w:val="ffffff"/>
          <w:sz w:val="30"/>
          <w:szCs w:val="30"/>
        </w:rPr>
        <w:t xml:space="preserve">III.  The Switching Mechanism — A Particle Emerging</w:t>
      </w:r>
    </w:p>
    <w:p>
      <w:pPr>
        <w:spacing w:after="70" w:before="70"/>
      </w:pPr>
      <w:r>
        <w:rPr>
          <w:rFonts w:ascii="Calibri" w:cs="Calibri" w:eastAsia="Calibri" w:hAnsi="Calibri"/>
          <w:i w:val="false"/>
          <w:iCs w:val="false"/>
          <w:color w:val="1c1c1c"/>
          <w:sz w:val="20"/>
          <w:szCs w:val="20"/>
        </w:rPr>
        <w:t xml:space="preserve">Consider the QED corridor. On one side: no bound state. On the other: the hydrogen atom — a proton, an electron, a stable organizational structure carrying 13.6 eV of binding energy, capable of forming molecules, chains, life. The TC boundary of the QED corridor is the ionization threshold. The SN boundary is the Dirac diving limit at Z·α ≈ 1, where relativistic effects cause the ground state energy to reach −m_e·c².</w:t>
      </w:r>
    </w:p>
    <w:p/>
    <w:p>
      <w:pPr>
        <w:spacing w:after="70" w:before="70"/>
      </w:pPr>
      <w:r>
        <w:rPr>
          <w:rFonts w:ascii="Calibri" w:cs="Calibri" w:eastAsia="Calibri" w:hAnsi="Calibri"/>
          <w:i w:val="false"/>
          <w:iCs w:val="false"/>
          <w:color w:val="1c1c1c"/>
          <w:sz w:val="20"/>
          <w:szCs w:val="20"/>
        </w:rPr>
        <w:t xml:space="preserve">At the TC boundary, the normal form near threshold reads:</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μ = G − G_TC       ẋ = μx − x²</w:t>
      </w:r>
    </w:p>
    <w:p>
      <w:pPr>
        <w:spacing w:after="70" w:before="70"/>
      </w:pPr>
      <w:r>
        <w:rPr>
          <w:rFonts w:ascii="Calibri" w:cs="Calibri" w:eastAsia="Calibri" w:hAnsi="Calibri"/>
          <w:i w:val="false"/>
          <w:iCs w:val="false"/>
          <w:color w:val="1c1c1c"/>
          <w:sz w:val="20"/>
          <w:szCs w:val="20"/>
        </w:rPr>
        <w:t xml:space="preserve">where x is the amplitude of the bound state and G is the electromagnetic coupling. Below G_TC: no fixed point except x=0. No atom. The organizational potential for atomic structure does not exist. Above G_TC: x* = μ appears continuously. The atom becomes possible — faintly at first, then with increasing stability as μ grows.</w:t>
      </w:r>
    </w:p>
    <w:p/>
    <w:p>
      <w:pPr>
        <w:spacing w:after="70" w:before="70"/>
      </w:pPr>
      <w:r>
        <w:rPr>
          <w:rFonts w:ascii="Calibri" w:cs="Calibri" w:eastAsia="Calibri" w:hAnsi="Calibri"/>
          <w:b w:val="false"/>
          <w:bCs w:val="false"/>
          <w:i w:val="false"/>
          <w:iCs w:val="false"/>
          <w:color w:val="1c1c1c"/>
          <w:sz w:val="20"/>
          <w:szCs w:val="20"/>
        </w:rPr>
        <w:t xml:space="preserve">The emergence looks spontaneous. </w:t>
      </w:r>
      <w:r>
        <w:rPr>
          <w:rFonts w:ascii="Calibri" w:cs="Calibri" w:eastAsia="Calibri" w:hAnsi="Calibri"/>
          <w:b/>
          <w:bCs/>
          <w:i w:val="false"/>
          <w:iCs w:val="false"/>
          <w:color w:val="1c1c1c"/>
          <w:sz w:val="20"/>
          <w:szCs w:val="20"/>
        </w:rPr>
        <w:t xml:space="preserve">It is not.</w:t>
      </w:r>
      <w:r>
        <w:rPr>
          <w:rFonts w:ascii="Calibri" w:cs="Calibri" w:eastAsia="Calibri" w:hAnsi="Calibri"/>
          <w:b w:val="false"/>
          <w:bCs w:val="false"/>
          <w:i w:val="false"/>
          <w:iCs w:val="false"/>
          <w:color w:val="1c1c1c"/>
          <w:sz w:val="20"/>
          <w:szCs w:val="20"/>
        </w:rPr>
        <w:t xml:space="preserve"> The TC crossing is the residue of everything that could not cross it. Every candidate coupling geometry, every potential bound state configuration, every possible organizational mode was subjected to the mismatch filter:</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M(s, C_j) = √[ ω_+^j² · (ω_+/ω_+^j − 1)² + ω_-^j² · (ω_-/ω_-^j − 1)² ]</w:t>
      </w:r>
    </w:p>
    <w:p>
      <w:pPr>
        <w:spacing w:after="70" w:before="70"/>
      </w:pPr>
      <w:r>
        <w:rPr>
          <w:rFonts w:ascii="Calibri" w:cs="Calibri" w:eastAsia="Calibri" w:hAnsi="Calibri"/>
          <w:i w:val="false"/>
          <w:iCs w:val="false"/>
          <w:color w:val="1c1c1c"/>
          <w:sz w:val="20"/>
          <w:szCs w:val="20"/>
        </w:rPr>
        <w:t xml:space="preserve">Only the configurations for which M was small enough — for which the cascade frequency of the QED level was harmonically compatible with the successor corridor — survived into the branching kernel:</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K(s→C_j) ~ exp(−M_SN²/E_exhaust) · Θ(Phi−1)</w:t>
      </w:r>
    </w:p>
    <w:p/>
    <w:p>
      <w:pPr>
        <w:spacing w:after="70" w:before="70"/>
      </w:pPr>
      <w:r>
        <w:rPr>
          <w:rFonts w:ascii="Calibri" w:cs="Calibri" w:eastAsia="Calibri" w:hAnsi="Calibri"/>
          <w:i w:val="false"/>
          <w:iCs w:val="false"/>
          <w:color w:val="1c1c1c"/>
          <w:sz w:val="20"/>
          <w:szCs w:val="20"/>
        </w:rPr>
        <w:t xml:space="preserve">The Theta gate is blunt. Phi = E_exhaust/E_TC(j). If Phi &lt; 1, K_rev = 0. Not suppressed. Zero. The branching kernel has no support for that transition. It was not that the reverse crossing was unlikely. It was that the corridor geometry had no room for it. The hydrogen atom’s predecessor — the unbound QED state — cannot reconstruct itself from the atomic state because the atomic state’s exhaust energy is insufficient to re-cross the ionization threshold. Phi_rev = 1/Phi_fwd &lt; 1 exactly.</w:t>
      </w:r>
    </w:p>
    <w:p/>
    <w:p>
      <w:pPr>
        <w:pBdr>
          <w:left w:val="thick" w:color="b5451b" w:sz="10"/>
          <w:right w:val="thick" w:color="b5451b" w:sz="10"/>
        </w:pBdr>
        <w:spacing w:after="120" w:before="120"/>
        <w:ind w:left="480" w:right="480"/>
      </w:pPr>
      <w:r>
        <w:rPr>
          <w:rFonts w:ascii="Calibri" w:cs="Calibri" w:eastAsia="Calibri" w:hAnsi="Calibri"/>
          <w:b/>
          <w:bCs/>
          <w:i/>
          <w:iCs/>
          <w:color w:val="1a1a2e"/>
          <w:sz w:val="21"/>
          <w:szCs w:val="21"/>
        </w:rPr>
        <w:t xml:space="preserve">The particle does not emerge. It survives. Everything else was cut.</w:t>
      </w:r>
    </w:p>
    <w:p/>
    <w:p>
      <w:pPr>
        <w:spacing w:after="70" w:before="70"/>
      </w:pPr>
      <w:r>
        <w:rPr>
          <w:rFonts w:ascii="Calibri" w:cs="Calibri" w:eastAsia="Calibri" w:hAnsi="Calibri"/>
          <w:i w:val="false"/>
          <w:iCs w:val="false"/>
          <w:color w:val="1c1c1c"/>
          <w:sz w:val="20"/>
          <w:szCs w:val="20"/>
        </w:rPr>
        <w:t xml:space="preserve">The switching mechanism at the TC boundary is a codimension-1 bifurcation — a transcritical crossing in which the trivial and nontrivial fixed points exchange stability. From the emergence view: a new state appears. From the elimination view: the mismatch filter closed, the Theta gate opened, and the branching kernel assigned nonzero weight to the successor corridor for the first time. The same event. Two descriptions.</w:t>
      </w:r>
    </w:p>
    <w:p/>
    <w:p>
      <w:pPr>
        <w:pStyle w:val="Heading1"/>
        <w:shd w:color="1a1a2e" w:val="solid"/>
        <w:spacing w:after="120" w:before="320"/>
        <w:ind w:left="120" w:right="120"/>
      </w:pPr>
      <w:r>
        <w:rPr>
          <w:rFonts w:ascii="Calibri" w:cs="Calibri" w:eastAsia="Calibri" w:hAnsi="Calibri"/>
          <w:b/>
          <w:bCs/>
          <w:color w:val="ffffff"/>
          <w:sz w:val="30"/>
          <w:szCs w:val="30"/>
        </w:rPr>
        <w:t xml:space="preserve">IV.  The Inheritance Rule and the Shape of the Tree</w:t>
      </w:r>
    </w:p>
    <w:p>
      <w:pPr>
        <w:spacing w:after="70" w:before="70"/>
      </w:pPr>
      <w:r>
        <w:rPr>
          <w:rFonts w:ascii="Calibri" w:cs="Calibri" w:eastAsia="Calibri" w:hAnsi="Calibri"/>
          <w:i w:val="false"/>
          <w:iCs w:val="false"/>
          <w:color w:val="1c1c1c"/>
          <w:sz w:val="20"/>
          <w:szCs w:val="20"/>
        </w:rPr>
        <w:t xml:space="preserve">The cascade boundary does not merely destroy. It seeds. At the SN boundary, the potential energy released — E_exhaust = DV_TC(n) — is the exhaust energy that the inheritance rule directs toward the next level:</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G_c^{n+1} = G_f^n     (starvation of level n+1 = cascade of level n)</w:t>
      </w:r>
    </w:p>
    <w:p>
      <w:pPr>
        <w:spacing w:after="70" w:before="70"/>
      </w:pPr>
      <w:r>
        <w:rPr>
          <w:rFonts w:ascii="Calibri" w:cs="Calibri" w:eastAsia="Calibri" w:hAnsi="Calibri"/>
          <w:i w:val="false"/>
          <w:iCs w:val="false"/>
          <w:color w:val="1c1c1c"/>
          <w:sz w:val="20"/>
          <w:szCs w:val="20"/>
        </w:rPr>
        <w:t xml:space="preserve">The inheritance theorem follows immediately: at any proper inheritance event, M_TC = 0 exactly. The TC boundary frequency is continuous across the crossing. The boundary is the same physical object from both sides.</w:t>
      </w:r>
    </w:p>
    <w:p/>
    <w:p>
      <w:pPr>
        <w:spacing w:after="70" w:before="70"/>
      </w:pPr>
      <w:r>
        <w:rPr>
          <w:rFonts w:ascii="Calibri" w:cs="Calibri" w:eastAsia="Calibri" w:hAnsi="Calibri"/>
          <w:i w:val="false"/>
          <w:iCs w:val="false"/>
          <w:color w:val="1c1c1c"/>
          <w:sz w:val="20"/>
          <w:szCs w:val="20"/>
        </w:rPr>
        <w:t xml:space="preserve">This is why the tree looks the way it does. Each new branch appears at the point where the previous branch's cascade released exactly enough energy to seed the new TC threshold. Not more. Not less. The Lyapunov function</w:t>
      </w:r>
    </w:p>
    <w:p>
      <w:pPr>
        <w:pBdr>
          <w:left w:val="thick" w:color="1a3a5c" w:sz="6"/>
        </w:pBdr>
        <w:shd w:color="f0f4fa" w:val="solid"/>
        <w:spacing w:after="70" w:before="70"/>
        <w:ind w:left="560"/>
      </w:pPr>
      <w:r>
        <w:rPr>
          <w:rFonts w:ascii="Courier New" w:cs="Courier New" w:eastAsia="Courier New" w:hAnsi="Courier New"/>
          <w:b/>
          <w:bCs/>
          <w:color w:val="1a1a2e"/>
          <w:sz w:val="20"/>
          <w:szCs w:val="20"/>
        </w:rPr>
        <w:t xml:space="preserve">C(n) = DV_TC(n)/DV_TC(0)</w:t>
      </w:r>
    </w:p>
    <w:p>
      <w:pPr>
        <w:spacing w:after="70" w:before="70"/>
      </w:pPr>
      <w:r>
        <w:rPr>
          <w:rFonts w:ascii="Calibri" w:cs="Calibri" w:eastAsia="Calibri" w:hAnsi="Calibri"/>
          <w:i w:val="false"/>
          <w:iCs w:val="false"/>
          <w:color w:val="1c1c1c"/>
          <w:sz w:val="20"/>
          <w:szCs w:val="20"/>
        </w:rPr>
        <w:t xml:space="preserve">is monotonically decreasing: {1.000, 1.000, 0.265, 0.030} across QED, Atomic, Chemistry, Thermodynamics. At each level 73%, then 88% of the remaining organizational potential is converted from free to bound — locked into the structural form of the new level. The residue is the next level's starting capital.</w:t>
      </w:r>
    </w:p>
    <w:p/>
    <w:p>
      <w:pPr>
        <w:spacing w:after="70" w:before="70"/>
      </w:pPr>
      <w:r>
        <w:rPr>
          <w:rFonts w:ascii="Calibri" w:cs="Calibri" w:eastAsia="Calibri" w:hAnsi="Calibri"/>
          <w:b w:val="false"/>
          <w:bCs w:val="false"/>
          <w:i w:val="false"/>
          <w:iCs w:val="false"/>
          <w:color w:val="1c1c1c"/>
          <w:sz w:val="20"/>
          <w:szCs w:val="20"/>
        </w:rPr>
        <w:t xml:space="preserve">The tree grows upward because it must. </w:t>
      </w:r>
      <w:r>
        <w:rPr>
          <w:rFonts w:ascii="Calibri" w:cs="Calibri" w:eastAsia="Calibri" w:hAnsi="Calibri"/>
          <w:b w:val="false"/>
          <w:bCs w:val="false"/>
          <w:i/>
          <w:iCs/>
          <w:color w:val="1c1c1c"/>
          <w:sz w:val="20"/>
          <w:szCs w:val="20"/>
        </w:rPr>
        <w:t xml:space="preserve">Not because anything is being created.</w:t>
      </w:r>
      <w:r>
        <w:rPr>
          <w:rFonts w:ascii="Calibri" w:cs="Calibri" w:eastAsia="Calibri" w:hAnsi="Calibri"/>
          <w:b w:val="false"/>
          <w:bCs w:val="false"/>
          <w:i w:val="false"/>
          <w:iCs w:val="false"/>
          <w:color w:val="1c1c1c"/>
          <w:sz w:val="20"/>
          <w:szCs w:val="20"/>
        </w:rPr>
        <w:t xml:space="preserve"> The boundary conditions of the universe-tree require TC floor and SN ceiling. The global alternation theorem — f(TC) = SN, f(SN) = TC — is the unique inheritance chain satisfying both simultaneously. The tree has the shape it has because every other shape was eliminated.</w:t>
      </w:r>
    </w:p>
    <w:p/>
    <w:p>
      <w:pPr>
        <w:pBdr>
          <w:left w:val="thick" w:color="b5451b" w:sz="10"/>
          <w:right w:val="thick" w:color="b5451b" w:sz="10"/>
        </w:pBdr>
        <w:spacing w:after="120" w:before="120"/>
        <w:ind w:left="480" w:right="480"/>
      </w:pPr>
      <w:r>
        <w:rPr>
          <w:rFonts w:ascii="Calibri" w:cs="Calibri" w:eastAsia="Calibri" w:hAnsi="Calibri"/>
          <w:b/>
          <w:bCs/>
          <w:i/>
          <w:iCs/>
          <w:color w:val="1a1a2e"/>
          <w:sz w:val="21"/>
          <w:szCs w:val="21"/>
        </w:rPr>
        <w:t xml:space="preserve">The universe is not building complexity. It is discovering, level by level, what the constraints permit to remain.</w:t>
      </w:r>
    </w:p>
    <w:p>
      <w:pPr>
        <w:pStyle w:val="Heading1"/>
        <w:shd w:color="1a1a2e" w:val="solid"/>
        <w:spacing w:after="120" w:before="320"/>
        <w:ind w:left="120" w:right="120"/>
      </w:pPr>
      <w:r>
        <w:rPr>
          <w:rFonts w:ascii="Calibri" w:cs="Calibri" w:eastAsia="Calibri" w:hAnsi="Calibri"/>
          <w:b/>
          <w:bCs/>
          <w:color w:val="ffffff"/>
          <w:sz w:val="30"/>
          <w:szCs w:val="30"/>
        </w:rPr>
        <w:t xml:space="preserve">V.  What Appears as Emergence</w:t>
      </w:r>
    </w:p>
    <w:p>
      <w:pPr>
        <w:spacing w:after="70" w:before="70"/>
      </w:pPr>
      <w:r>
        <w:rPr>
          <w:rFonts w:ascii="Calibri" w:cs="Calibri" w:eastAsia="Calibri" w:hAnsi="Calibri"/>
          <w:i w:val="false"/>
          <w:iCs w:val="false"/>
          <w:color w:val="1c1c1c"/>
          <w:sz w:val="20"/>
          <w:szCs w:val="20"/>
        </w:rPr>
        <w:t xml:space="preserve">A new level becomes visible. Chemistry, from the outside, looks like atomic physics discovering new degrees of freedom. From the inside of the corridor machinery: 10 eV per atom was released at the Atomic→Chemistry crossing, DV_TC dropped from 13.6 eV to 3.6 eV, and the mismatch filter allowed exactly those molecular configurations whose cascade frequencies fell within a factor of log(5)/log(4) of the next level's operating frequencies. Everything else was cut by the Theta gate.</w:t>
      </w:r>
    </w:p>
    <w:p/>
    <w:p>
      <w:pPr>
        <w:spacing w:after="70" w:before="70"/>
      </w:pPr>
      <w:r>
        <w:rPr>
          <w:rFonts w:ascii="Calibri" w:cs="Calibri" w:eastAsia="Calibri" w:hAnsi="Calibri"/>
          <w:i w:val="false"/>
          <w:iCs w:val="false"/>
          <w:color w:val="1c1c1c"/>
          <w:sz w:val="20"/>
          <w:szCs w:val="20"/>
        </w:rPr>
        <w:t xml:space="preserve">The beautiful spontaneity of emergence is real. The tree does grow. New branches do appear at the cascade point, seemingly from nowhere, carrying organizational structures that did not exist at the level below. The emergence view captures something true: the world genuinely becomes richer at each crossing.</w:t>
      </w:r>
    </w:p>
    <w:p/>
    <w:p>
      <w:pPr>
        <w:spacing w:after="70" w:before="70"/>
      </w:pPr>
      <w:r>
        <w:rPr>
          <w:rFonts w:ascii="Calibri" w:cs="Calibri" w:eastAsia="Calibri" w:hAnsi="Calibri"/>
          <w:b w:val="false"/>
          <w:bCs w:val="false"/>
          <w:i w:val="false"/>
          <w:iCs w:val="false"/>
          <w:color w:val="1c1c1c"/>
          <w:sz w:val="20"/>
          <w:szCs w:val="20"/>
        </w:rPr>
        <w:t xml:space="preserve">But the mechanism is elimination. </w:t>
      </w:r>
      <w:r>
        <w:rPr>
          <w:rFonts w:ascii="Calibri" w:cs="Calibri" w:eastAsia="Calibri" w:hAnsi="Calibri"/>
          <w:b w:val="false"/>
          <w:bCs w:val="false"/>
          <w:i w:val="false"/>
          <w:iCs w:val="false"/>
          <w:color w:val="1c1c1c"/>
          <w:sz w:val="20"/>
          <w:szCs w:val="20"/>
        </w:rPr>
        <w:t xml:space="preserve">The propagation of structure is governed less by the creation of new states than by the systematic deletion of non-viable ones. </w:t>
      </w:r>
      <w:r>
        <w:rPr>
          <w:rFonts w:ascii="Calibri" w:cs="Calibri" w:eastAsia="Calibri" w:hAnsi="Calibri"/>
          <w:b/>
          <w:bCs/>
          <w:i w:val="false"/>
          <w:iCs w:val="false"/>
          <w:color w:val="1c1c1c"/>
          <w:sz w:val="20"/>
          <w:szCs w:val="20"/>
        </w:rPr>
        <w:t xml:space="preserve">What appears as emergence is the residue of constraint-driven deletion.</w:t>
      </w:r>
    </w:p>
    <w:p/>
    <w:p>
      <w:pPr>
        <w:spacing w:after="70" w:before="70"/>
      </w:pPr>
      <w:r>
        <w:rPr>
          <w:rFonts w:ascii="Calibri" w:cs="Calibri" w:eastAsia="Calibri" w:hAnsi="Calibri"/>
          <w:i w:val="false"/>
          <w:iCs w:val="false"/>
          <w:color w:val="1c1c1c"/>
          <w:sz w:val="20"/>
          <w:szCs w:val="20"/>
        </w:rPr>
        <w:t xml:space="preserve">The same crossing that looks, from above, like the miraculous appearance of chemistry, looks from within the machinery like: the mismatch filter closed to M_SN &lt; M_threshold, the Theta gate opened (Phi_fwd &gt; 1), the branching kernel assigned weight to the successor corridors with near-rational frequency ratios, and the remaining organizational potential was invested in bound structural form. Cold. Precise. Inevitable.</w:t>
      </w:r>
    </w:p>
    <w:p/>
    <w:p>
      <w:pPr>
        <w:spacing w:after="70" w:before="70"/>
      </w:pPr>
      <w:r>
        <w:rPr>
          <w:rFonts w:ascii="Calibri" w:cs="Calibri" w:eastAsia="Calibri" w:hAnsi="Calibri"/>
          <w:i w:val="false"/>
          <w:iCs w:val="false"/>
          <w:color w:val="1c1c1c"/>
          <w:sz w:val="20"/>
          <w:szCs w:val="20"/>
        </w:rPr>
        <w:t xml:space="preserve">Both descriptions are complete. Neither is more real than the other. The tree grows by shearing. The shearing produces a tree.</w:t>
      </w:r>
    </w:p>
    <w:p/>
    <w:p>
      <w:pPr>
        <w:spacing w:before="400"/>
        <w:jc w:val="center"/>
      </w:pPr>
      <w:r>
        <w:rPr>
          <w:rFonts w:ascii="Calibri" w:cs="Calibri" w:eastAsia="Calibri" w:hAnsi="Calibri"/>
          <w:i/>
          <w:iCs/>
          <w:color w:val="888888"/>
          <w:sz w:val="17"/>
          <w:szCs w:val="17"/>
        </w:rPr>
        <w:t xml:space="preserve">Mindemann, M. — April 2026</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2026-04-20T02:16:32.932Z</dcterms:created>
  <dcterms:modified xsi:type="dcterms:W3CDTF">2026-04-20T02:16:32.934Z</dcterms:modified>
</cp:coreProperties>
</file>

<file path=docProps/custom.xml><?xml version="1.0" encoding="utf-8"?>
<Properties xmlns="http://schemas.openxmlformats.org/officeDocument/2006/custom-properties" xmlns:vt="http://schemas.openxmlformats.org/officeDocument/2006/docPropsVTypes"/>
</file>