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F3864"/>
          <w:sz w:val="40"/>
          <w:szCs w:val="40"/>
        </w:rPr>
        <w:t xml:space="preserve">Technical Summary — Addendum</w:t>
      </w:r>
    </w:p>
    <w:p>
      <w:pPr>
        <w:spacing w:after="60" w:before="0"/>
        <w:jc w:val="center"/>
      </w:pPr>
      <w:r>
        <w:rPr>
          <w:rFonts w:ascii="Arial" w:cs="Arial" w:eastAsia="Arial" w:hAnsi="Arial"/>
          <w:i/>
          <w:iCs/>
          <w:color w:val="2E75B6"/>
          <w:sz w:val="22"/>
          <w:szCs w:val="22"/>
        </w:rPr>
        <w:t xml:space="preserve">New results since v4  |  To be merged into v5</w:t>
      </w:r>
    </w:p>
    <w:p>
      <w:pPr>
        <w:spacing w:after="280" w:before="0"/>
        <w:jc w:val="center"/>
      </w:pPr>
      <w:r>
        <w:rPr>
          <w:rFonts w:ascii="Arial" w:cs="Arial" w:eastAsia="Arial" w:hAnsi="Arial"/>
          <w:color w:val="555555"/>
          <w:sz w:val="19"/>
          <w:szCs w:val="19"/>
        </w:rPr>
        <w:t xml:space="preserve">Mindemann, M.  |  April 2026</w:t>
      </w:r>
    </w:p>
    <w:p>
      <w:pPr>
        <w:pBdr>
          <w:bottom w:val="single" w:color="CCCCCC" w:sz="4" w:space="1"/>
        </w:pBdr>
        <w:spacing w:after="110" w:before="11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555555"/>
          <w:sz w:val="18"/>
          <w:szCs w:val="18"/>
        </w:rPr>
        <w:t xml:space="preserve">This addendum records results established after Technical Summary v4 was written. It covers four areas: (1) the Born rule Step 1 derivation via U(1) gauge structure, including the Gleason path analysis and resolution of the virial theorem caveat; (2) closure of the Zamolodchikov formal gap via the Lagrangian stress-energy tensor; (3) SN→SN inheritance confirmed via support restriction; and (4) the energy-constraint ratio R = D/ΔV as standard notation with its fragility gradient consequence. Each entry carries an updated derivation status. This document should be read alongside v4; it does not stand alone.</w:t>
      </w:r>
    </w:p>
    <w:p>
      <w:pPr>
        <w:spacing w:after="50" w:before="50"/>
      </w:pPr>
      <w:r>
        <w:rPr>
          <w:rFonts w:ascii="Georgia" w:cs="Georgia" w:eastAsia="Georgia" w:hAnsi="Georgia"/>
          <w:color w:val="252525"/>
          <w:sz w:val="21"/>
          <w:szCs w:val="21"/>
        </w:rPr>
        <w:t xml:space="preserve"/>
      </w:r>
    </w:p>
    <w:p>
      <w:pPr>
        <w:pBdr>
          <w:bottom w:val="single" w:color="1F3864" w:sz="12" w:space="5"/>
        </w:pBdr>
        <w:spacing w:after="120" w:before="420"/>
      </w:pPr>
      <w:r>
        <w:rPr>
          <w:rFonts w:ascii="Arial" w:cs="Arial" w:eastAsia="Arial" w:hAnsi="Arial"/>
          <w:b/>
          <w:bCs/>
          <w:color w:val="1F3864"/>
          <w:sz w:val="32"/>
          <w:szCs w:val="32"/>
        </w:rPr>
        <w:t xml:space="preserve">ADDENDUM A  —  BORN RULE: STEP 1 DERIVED (U(1) SCOPE)</w:t>
      </w:r>
    </w:p>
    <w:p>
      <w:pPr>
        <w:pStyle w:val="Heading1"/>
        <w:pBdr>
          <w:bottom w:val="single" w:color="2E75B6" w:sz="6" w:space="3"/>
        </w:pBdr>
        <w:spacing w:after="110" w:before="340"/>
      </w:pPr>
      <w:r>
        <w:rPr>
          <w:rFonts w:ascii="Arial" w:cs="Arial" w:eastAsia="Arial" w:hAnsi="Arial"/>
          <w:b/>
          <w:bCs/>
          <w:color w:val="1F3864"/>
          <w:sz w:val="26"/>
          <w:szCs w:val="26"/>
        </w:rPr>
        <w:t xml:space="preserve">A.1  What Changed</w:t>
      </w:r>
    </w:p>
    <w:p>
      <w:pPr>
        <w:spacing w:after="90" w:before="90"/>
        <w:jc w:val="both"/>
      </w:pPr>
      <w:r>
        <w:rPr>
          <w:rFonts w:ascii="Georgia" w:cs="Georgia" w:eastAsia="Georgia" w:hAnsi="Georgia"/>
          <w:color w:val="252525"/>
          <w:sz w:val="21"/>
          <w:szCs w:val="21"/>
        </w:rPr>
        <w:t xml:space="preserve">Technical Summary v4 §25.4 lists Born rule Step 1 as an open problem: 'The identification of quantum superposition as having Hopf character (SO(2) = U(1)) is structurally motivated but not derived from quantum mechanical axioms.' That label is now too weak. Step 1 has been derived for U(1) measurements from the gauge structure of electromagnetism. The derivation does not require new framework assumptions — it uses the U(1) gauge symmetry of EM (established physics) and the corridor normal form theory (prior RST result). Scope is limited to U(1): electromagnetic measurements, photon number, electric charge. SU(2) and SU(3) remain open.</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A.2  The Fiber Bundle Structure of the QED Corridor</w:t>
      </w:r>
    </w:p>
    <w:p>
      <w:pPr>
        <w:spacing w:after="90" w:before="90"/>
        <w:jc w:val="both"/>
      </w:pPr>
      <w:r>
        <w:rPr>
          <w:rFonts w:ascii="Georgia" w:cs="Georgia" w:eastAsia="Georgia" w:hAnsi="Georgia"/>
          <w:color w:val="252525"/>
          <w:sz w:val="21"/>
          <w:szCs w:val="21"/>
        </w:rPr>
        <w:t xml:space="preserve">The physical hierarchy validation (Technical Summary §15) classifies the QED starvation boundary (ionization threshold) as transcritical (TC). The Born rule derivation requires the QED corridor to have Hopf character. These are not contradictory — they describe different levels of the same structure:</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300"/>
        <w:gridCol w:w="3100"/>
      </w:tblGrid>
      <w:tr>
        <w:tc>
          <w:tcPr>
            <w:tcW w:type="dxa" w:w="25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Level of description</w:t>
            </w:r>
          </w:p>
        </w:tc>
        <w:tc>
          <w:tcPr>
            <w:tcW w:type="dxa" w:w="2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Activity variable</w:t>
            </w:r>
          </w:p>
        </w:tc>
        <w:tc>
          <w:tcPr>
            <w:tcW w:type="dxa" w:w="13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Character</w:t>
            </w:r>
          </w:p>
        </w:tc>
        <w:tc>
          <w:tcPr>
            <w:tcW w:type="dxa" w:w="3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What it describes</w:t>
            </w:r>
          </w:p>
        </w:tc>
      </w:tr>
      <w:tr>
        <w:tc>
          <w:tcPr>
            <w:tcW w:type="dxa" w:w="25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Base (classical, post-decoherence)</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x = |Ψ|²  (real, ≥ 0)</w:t>
            </w:r>
          </w:p>
        </w:tc>
        <w:tc>
          <w:tcPr>
            <w:tcW w:type="dxa" w:w="1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TC</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Coupling G = Zα crossing G_c: bound state appears/disappears continuously</w:t>
            </w:r>
          </w:p>
        </w:tc>
      </w:tr>
      <w:tr>
        <w:tc>
          <w:tcPr>
            <w:tcW w:type="dxa" w:w="25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Fiber (gauge degree of freedom)</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θ (U(1) phase)</w:t>
            </w:r>
          </w:p>
        </w:tc>
        <w:tc>
          <w:tcPr>
            <w:tcW w:type="dxa" w:w="13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U(1) = SO(2)</w:t>
            </w:r>
          </w:p>
        </w:tc>
        <w:tc>
          <w:tcPr>
            <w:tcW w:type="dxa" w:w="3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The electromagnetic gauge phase — physically real, not observable alone</w:t>
            </w:r>
          </w:p>
        </w:tc>
      </w:tr>
      <w:tr>
        <w:tc>
          <w:tcPr>
            <w:tcW w:type="dxa" w:w="25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Total space (quantum, pre-decoherence)</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Ψ = |Ψ|·e^{iθ}  (complex)</w:t>
            </w:r>
          </w:p>
        </w:tc>
        <w:tc>
          <w:tcPr>
            <w:tcW w:type="dxa" w:w="1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Hopf</w:t>
            </w:r>
          </w:p>
        </w:tc>
        <w:tc>
          <w:tcPr>
            <w:tcW w:type="dxa" w:w="3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Full complex amplitude with U(1) fiber over TC base</w:t>
            </w:r>
          </w:p>
        </w:tc>
      </w:tr>
    </w:tbl>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The QED corridor is a fiber bundle: TC base with U(1) fiber. This is not an analogy — it follows directly from U(1) gauge invariance of electromagnetism. Under a U(1) gauge transformation, Ψ → e^{iqΛ}Ψ. The observable |Ψ|² is gauge-invariant (TC base). The phase θ is the gauge fiber. The total space Ψ carries the Hopf structure.</w:t>
      </w:r>
    </w:p>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Near the ionization TC boundary (G → G_c), the combined dynamics of the complex activity variable in 2D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8" w:before="28"/>
              <w:jc w:val="center"/>
            </w:pPr>
            <w:r>
              <w:rPr>
                <w:rFonts w:ascii="Courier New" w:cs="Courier New" w:eastAsia="Courier New" w:hAnsi="Courier New"/>
                <w:color w:val="1F3864"/>
                <w:sz w:val="19"/>
                <w:szCs w:val="19"/>
              </w:rPr>
              <w:t xml:space="preserve">ż = (μ + iω₀)z − (1 + ib)|z|²z     [supercritical Hopf normal form]</w:t>
            </w:r>
          </w:p>
        </w:tc>
      </w:tr>
    </w:tbl>
    <w:p>
      <w:pPr>
        <w:spacing w:after="90" w:before="90"/>
        <w:jc w:val="both"/>
      </w:pPr>
      <w:r>
        <w:rPr>
          <w:rFonts w:ascii="Georgia" w:cs="Georgia" w:eastAsia="Georgia" w:hAnsi="Georgia"/>
          <w:color w:val="252525"/>
          <w:sz w:val="21"/>
          <w:szCs w:val="21"/>
        </w:rPr>
        <w:t xml:space="preserve">This combined equation is exactly the Hopf normal form. The TC character is a property of the base (real amplitude dynamics). The Hopf character is a property of the total space (complex amplitude dynamics). The physical hierarchy validation operates at the base level — correctly assigning TC to the coupling dynamics — while quantum mechanics operates at the total space level.</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A.3  Quantum Superposition as a Hopf State</w:t>
      </w:r>
    </w:p>
    <w:p>
      <w:pPr>
        <w:spacing w:after="90" w:before="90"/>
        <w:jc w:val="both"/>
      </w:pPr>
      <w:r>
        <w:rPr>
          <w:rFonts w:ascii="Georgia" w:cs="Georgia" w:eastAsia="Georgia" w:hAnsi="Georgia"/>
          <w:color w:val="252525"/>
          <w:sz w:val="21"/>
          <w:szCs w:val="21"/>
        </w:rPr>
        <w:t xml:space="preserve">A quantum superposition |ψ⟩ = Σⱼ cⱼ|j⟩ is a point in the QED corridor's Hopf total space. Each complex amplitude cⱼ = |cⱼ|·e^{iθⱼ} gives the polar coordinates (rⱼ, θⱼ) in the Hopf phase space. The constraint Σⱼ|cⱼ|² = 1 is the unit sphere in Cⁿ. Modding out global phase (U(1) gauge invariance), the state lives in: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8" w:before="28"/>
              <w:jc w:val="center"/>
            </w:pPr>
            <w:r>
              <w:rPr>
                <w:rFonts w:ascii="Courier New" w:cs="Courier New" w:eastAsia="Courier New" w:hAnsi="Courier New"/>
                <w:color w:val="1F3864"/>
                <w:sz w:val="19"/>
                <w:szCs w:val="19"/>
              </w:rPr>
              <w:t xml:space="preserve">Cⁿ / U(1)  =  CP^{n−1}     [complex projective space]</w:t>
            </w:r>
          </w:p>
        </w:tc>
      </w:tr>
    </w:tbl>
    <w:p>
      <w:pPr>
        <w:spacing w:after="90" w:before="90"/>
        <w:jc w:val="both"/>
      </w:pPr>
      <w:r>
        <w:rPr>
          <w:rFonts w:ascii="Georgia" w:cs="Georgia" w:eastAsia="Georgia" w:hAnsi="Georgia"/>
          <w:color w:val="252525"/>
          <w:sz w:val="21"/>
          <w:szCs w:val="21"/>
        </w:rPr>
        <w:t xml:space="preserve">For n = 2 (qubit), this is exactly the Hopf fibration S³ → S²: total space S³ (unit sphere in C²), base S² (Bloch sphere), fiber S¹ = U(1) (global phase). This is not an analogy. The mathematical structure of a two-level quantum system IS the Hopf fibration.</w:t>
      </w:r>
    </w:p>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Measurement (decoherence) is Hopf → base projection: it averages over the U(1) fiber, destroying phase information while preserving |cⱼ|. This is the Hopf → PF coarse-graining theorem applied at the quantum level: SO(2) averaging removes oscillatory character, leaving amplitude statistics.</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A.4  Born Rule from U(1)-Invariant Measure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(Born Rule — U(1) scope)  </w:t>
            </w:r>
            <w:r>
              <w:rPr>
                <w:rFonts w:ascii="Arial" w:cs="Arial" w:eastAsia="Arial" w:hAnsi="Arial"/>
                <w:b/>
                <w:bCs/>
                <w:color w:val="1A5C2A"/>
                <w:sz w:val="16"/>
                <w:szCs w:val="16"/>
              </w:rPr>
              <w:t xml:space="preserve">[DERIVED]</w:t>
            </w:r>
          </w:p>
          <w:p>
            <w:pPr>
              <w:spacing w:after="16" w:before="16"/>
              <w:jc w:val="both"/>
            </w:pPr>
            <w:r>
              <w:rPr>
                <w:rFonts w:ascii="Georgia" w:cs="Georgia" w:eastAsia="Georgia" w:hAnsi="Georgia"/>
                <w:color w:val="252525"/>
                <w:sz w:val="21"/>
                <w:szCs w:val="21"/>
              </w:rPr>
              <w:t xml:space="preserve">The QED corridor has U(1) gauge symmetry (electromagnetism). The QED activity variable is complex with U(1) fiber structure. A quantum superposition lives in the Hopf total space. Measurement = Hopf → base projection (decoherence theorem). The natural U(1)-invariant probability measure on the Hopf bundle — the unique measure satisfying normalization, frame independence, and continuity in the fiber —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8" w:before="28"/>
                    <w:jc w:val="center"/>
                  </w:pPr>
                  <w:r>
                    <w:rPr>
                      <w:rFonts w:ascii="Courier New" w:cs="Courier New" w:eastAsia="Courier New" w:hAnsi="Courier New"/>
                      <w:color w:val="1F3864"/>
                      <w:sz w:val="19"/>
                      <w:szCs w:val="19"/>
                    </w:rPr>
                    <w:t xml:space="preserve">K_j = |c_j|²     [Born rule — exact, not approximate]</w:t>
                  </w:r>
                </w:p>
              </w:tc>
            </w:tr>
          </w:tbl>
          <w:p>
            <w:pPr>
              <w:spacing w:after="48" w:before="16"/>
              <w:jc w:val="both"/>
            </w:pPr>
            <w:r>
              <w:rPr>
                <w:rFonts w:ascii="Georgia" w:cs="Georgia" w:eastAsia="Georgia" w:hAnsi="Georgia"/>
                <w:b/>
                <w:bCs/>
                <w:color w:val="252525"/>
                <w:sz w:val="21"/>
                <w:szCs w:val="21"/>
              </w:rPr>
              <w:t xml:space="preserve">Conditional on: </w:t>
            </w:r>
            <w:r>
              <w:rPr>
                <w:rFonts w:ascii="Georgia" w:cs="Georgia" w:eastAsia="Georgia" w:hAnsi="Georgia"/>
                <w:color w:val="252525"/>
                <w:sz w:val="21"/>
                <w:szCs w:val="21"/>
              </w:rPr>
              <w:t xml:space="preserve">(i) U(1) gauge symmetry of electromagnetism (established physics); (ii) identification of the QED corridor activity variable as the complex gauge field Ψ rather than the real |Ψ|² (physically well-motivated: gauge theories require complex fields, covariant derivatives couple to the phase). Scope: U(1) measurements only.</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A.5  Resolution of the Virial Theorem Caveat</w:t>
      </w:r>
    </w:p>
    <w:p>
      <w:pPr>
        <w:spacing w:after="90" w:before="90"/>
        <w:jc w:val="both"/>
      </w:pPr>
      <w:r>
        <w:rPr>
          <w:rFonts w:ascii="Georgia" w:cs="Georgia" w:eastAsia="Georgia" w:hAnsi="Georgia"/>
          <w:color w:val="252525"/>
          <w:sz w:val="21"/>
          <w:szCs w:val="21"/>
        </w:rPr>
        <w:t xml:space="preserve">born_rule_doc.docx identifies a caveat: the centrifugal argument in Step 3 (V_eff = V_Hopf − D·ln(r)) requires small D, but the virial theorem forces D ~ 2·ΔV_TC at the quantum level, making D comparable to the barrier. This appeared to break the centrifugal derivation.</w:t>
      </w:r>
    </w:p>
    <w:p>
      <w:pPr>
        <w:spacing w:after="90" w:before="90"/>
        <w:jc w:val="both"/>
      </w:pPr>
      <w:r>
        <w:rPr>
          <w:rFonts w:ascii="Georgia" w:cs="Georgia" w:eastAsia="Georgia" w:hAnsi="Georgia"/>
          <w:color w:val="252525"/>
          <w:sz w:val="21"/>
          <w:szCs w:val="21"/>
        </w:rPr>
        <w:t xml:space="preserve">The caveat is resolved by recognizing that the centrifugal argument (Steps 3–4) is a constructive mechanism for the small-D limit. The exact result does not need it. Steps 1, 2, 5 give Born rule exactly via U(1) fiber geometry without any small-D approximation: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300"/>
      </w:tblGrid>
      <w:tr>
        <w:tc>
          <w:tcPr>
            <w:tcW w:type="dxa" w:w="2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Path</w:t>
            </w:r>
          </w:p>
        </w:tc>
        <w:tc>
          <w:tcPr>
            <w:tcW w:type="dxa" w:w="1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Requires small-D?</w:t>
            </w:r>
          </w:p>
        </w:tc>
        <w:tc>
          <w:tcPr>
            <w:tcW w:type="dxa" w:w="1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Gives Born rule</w:t>
            </w:r>
          </w:p>
        </w:tc>
        <w:tc>
          <w:tcPr>
            <w:tcW w:type="dxa" w:w="33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Notes</w:t>
            </w:r>
          </w:p>
        </w:tc>
      </w:tr>
      <w:tr>
        <w:tc>
          <w:tcPr>
            <w:tcW w:type="dxa" w:w="2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Steps 1→2→5 (fiber geometry)</w:t>
            </w:r>
          </w:p>
        </w:tc>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No</w:t>
            </w:r>
          </w:p>
        </w:tc>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Exactly</w:t>
            </w:r>
          </w:p>
        </w:tc>
        <w:tc>
          <w:tcPr>
            <w:tcW w:type="dxa" w:w="33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U(1)-invariant measure on Hopf bundle is |c_j|² for any D</w:t>
            </w:r>
          </w:p>
        </w:tc>
      </w:tr>
      <w:tr>
        <w:tc>
          <w:tcPr>
            <w:tcW w:type="dxa" w:w="2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Steps 3→4 (centrifugal mechanism)</w:t>
            </w:r>
          </w:p>
        </w:tc>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Yes</w:t>
            </w:r>
          </w:p>
        </w:tc>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Approximately</w:t>
            </w:r>
          </w:p>
        </w:tc>
        <w:tc>
          <w:tcPr>
            <w:tcW w:type="dxa" w:w="33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Constructive, valid in low-noise limit; breaks at quantum level</w:t>
            </w:r>
          </w:p>
        </w:tc>
      </w:tr>
    </w:tbl>
    <w:p>
      <w:pPr>
        <w:spacing w:after="90" w:before="90"/>
        <w:jc w:val="both"/>
      </w:pPr>
      <w:r>
        <w:rPr>
          <w:rFonts w:ascii="Georgia" w:cs="Georgia" w:eastAsia="Georgia" w:hAnsi="Georgia"/>
          <w:color w:val="252525"/>
          <w:sz w:val="21"/>
          <w:szCs w:val="21"/>
        </w:rPr>
        <w:t xml:space="preserve">The virial theorem caveat applies only to the centrifugal path. The fiber geometry path is exact and unaffected. Born rule is not approximate.</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A.6  The Gleason Path Analysis</w:t>
      </w:r>
    </w:p>
    <w:p>
      <w:pPr>
        <w:spacing w:after="90" w:before="90"/>
        <w:jc w:val="both"/>
      </w:pPr>
      <w:r>
        <w:rPr>
          <w:rFonts w:ascii="Georgia" w:cs="Georgia" w:eastAsia="Georgia" w:hAnsi="Georgia"/>
          <w:color w:val="252525"/>
          <w:sz w:val="21"/>
          <w:szCs w:val="21"/>
        </w:rPr>
        <w:t xml:space="preserve">An alternative route was examined: whether Gleason's theorem (1957) could close the Born rule gap independently of the Hopf identification. Gleason: the only countably additive, frame-independent probability measures on closed subspaces of a Hilbert space (dim ≥ 3) are of the form Tr(ρP_j), which for pure states gives |c_j|². The corridor branching kernel K_j ~ exp(−M_SN(j)²/E) would need to satisfy frame independence (K_j depends only on branch j, not on which other branches appear alongside it).</w:t>
      </w:r>
    </w:p>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Analysis shows the Gleason path does not bypass Step 1. It converts the question from 'is superposition a Hopf state?' to 'is ω₊(j) proportional to |c_j|?' These are equivalent — the Gleason constraint M_SN² = E·ln(1/|c_j|²) is satisfied precisely when ω₊(j) ~ |c_j|, which is the Hopf identification. The two paths converge on the same requirement.</w:t>
      </w:r>
    </w:p>
    <w:p>
      <w:pPr>
        <w:spacing w:after="90" w:before="90"/>
        <w:jc w:val="both"/>
      </w:pPr>
      <w:r>
        <w:rPr>
          <w:rFonts w:ascii="Georgia" w:cs="Georgia" w:eastAsia="Georgia" w:hAnsi="Georgia"/>
          <w:b/>
          <w:bCs/>
          <w:color w:val="252525"/>
          <w:sz w:val="21"/>
          <w:szCs w:val="21"/>
        </w:rPr>
        <w:t xml:space="preserve">What Gleason contributes: </w:t>
      </w:r>
      <w:r>
        <w:rPr>
          <w:rFonts w:ascii="Georgia" w:cs="Georgia" w:eastAsia="Georgia" w:hAnsi="Georgia"/>
          <w:color w:val="252525"/>
          <w:sz w:val="21"/>
          <w:szCs w:val="21"/>
        </w:rPr>
        <w:t xml:space="preserve">(1) Confirms the Born rule form |c_j|² is the unique frame-independent, countably additive measure — no alternative is possible. (2) Provides a corridor argument for non-contextuality: ω₊(j) is a property of the physical corridor j, determined by its internal dynamics, independent of which other corridors are offered alongside it. Physical corridor parameters do not change based on measurement context. This is a corridor derivation of non-contextuality for physically realized outcomes.</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1A5C2A" w:sz="1"/>
              <w:left w:val="single" w:color="1A5C2A" w:sz="1"/>
              <w:bottom w:val="single" w:color="1A5C2A" w:sz="1"/>
              <w:right w:val="single" w:color="1A5C2A" w:sz="1"/>
            </w:tcBorders>
            <w:shd w:fill="1A5C2A"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STATUS</w:t>
            </w:r>
          </w:p>
        </w:tc>
        <w:tc>
          <w:tcPr>
            <w:tcW w:type="dxa" w:w="8820"/>
            <w:tcBorders>
              <w:top w:val="single" w:color="1A5C2A" w:sz="1"/>
              <w:left w:val="single" w:color="1A5C2A" w:sz="1"/>
              <w:bottom w:val="single" w:color="1A5C2A" w:sz="1"/>
              <w:right w:val="single" w:color="1A5C2A" w:sz="1"/>
            </w:tcBorders>
            <w:shd w:fill="F0F8F2" w:val="clear"/>
            <w:tcMar>
              <w:top w:type="dxa" w:w="60"/>
              <w:left w:type="dxa" w:w="120"/>
              <w:bottom w:type="dxa" w:w="60"/>
              <w:right w:type="dxa" w:w="120"/>
            </w:tcMar>
          </w:tcPr>
          <w:p>
            <w:pPr>
              <w:jc w:val="both"/>
            </w:pPr>
            <w:r>
              <w:rPr>
                <w:rFonts w:ascii="Georgia" w:cs="Georgia" w:eastAsia="Georgia" w:hAnsi="Georgia"/>
                <w:color w:val="555555"/>
                <w:sz w:val="18"/>
                <w:szCs w:val="18"/>
              </w:rPr>
              <w:t xml:space="preserve">Born rule Step 1 is now SUBSTANTIALLY DERIVED for U(1) measurements from U(1) gauge structure of EM. The virial theorem caveat is resolved. Gleason path confirmed as consistency proof, not independent derivation. Preferred basis problem and SU(2)/SU(3) extension remain open.</w:t>
            </w:r>
          </w:p>
        </w:tc>
      </w:tr>
    </w:tbl>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A.7  What Remains Open</w:t>
      </w:r>
    </w:p>
    <w:p>
      <w:pPr>
        <w:spacing w:after="60" w:before="60"/>
        <w:ind w:left="560"/>
        <w:jc w:val="both"/>
      </w:pPr>
      <w:r>
        <w:rPr>
          <w:rFonts w:ascii="Georgia" w:cs="Georgia" w:eastAsia="Georgia" w:hAnsi="Georgia"/>
          <w:b/>
          <w:bCs/>
          <w:color w:val="252525"/>
          <w:sz w:val="21"/>
          <w:szCs w:val="21"/>
        </w:rPr>
        <w:t xml:space="preserve">Preferred basis problem: </w:t>
      </w:r>
      <w:r>
        <w:rPr>
          <w:rFonts w:ascii="Georgia" w:cs="Georgia" w:eastAsia="Georgia" w:hAnsi="Georgia"/>
          <w:color w:val="252525"/>
          <w:sz w:val="21"/>
          <w:szCs w:val="21"/>
        </w:rPr>
        <w:t xml:space="preserve">The derivation shows WHY Born rule gives |c_j|² in a given basis. It does not derive WHICH basis corresponds to which physical corridors. The corridor framework assigns measurement basis = successor corridor choice. The mapping from quantum state vectors to specific corridor transitions requires specifying what counts as a corridor at the quantum level.</w:t>
      </w:r>
    </w:p>
    <w:p>
      <w:pPr>
        <w:spacing w:after="60" w:before="60"/>
        <w:ind w:left="560"/>
        <w:jc w:val="both"/>
      </w:pPr>
      <w:r>
        <w:rPr>
          <w:rFonts w:ascii="Georgia" w:cs="Georgia" w:eastAsia="Georgia" w:hAnsi="Georgia"/>
          <w:b/>
          <w:bCs/>
          <w:color w:val="252525"/>
          <w:sz w:val="21"/>
          <w:szCs w:val="21"/>
        </w:rPr>
        <w:t xml:space="preserve">SU(2) spin measurements: </w:t>
      </w:r>
      <w:r>
        <w:rPr>
          <w:rFonts w:ascii="Georgia" w:cs="Georgia" w:eastAsia="Georgia" w:hAnsi="Georgia"/>
          <w:color w:val="252525"/>
          <w:sz w:val="21"/>
          <w:szCs w:val="21"/>
        </w:rPr>
        <w:t xml:space="preserve">For spin, the gauge group is SU(2) ~ S³. The analog of the Hopf fibration is the quaternionic Hopf fibration S⁷ → S⁴ with fiber S³ ≅ SU(2). The Born rule for spin measurements requires deriving this extension. The RST BT point structure (codimension-2) may provide the right mechanism — not yet derived.</w:t>
      </w:r>
    </w:p>
    <w:p>
      <w:pPr>
        <w:spacing w:after="60" w:before="60"/>
        <w:ind w:left="560"/>
        <w:jc w:val="both"/>
      </w:pPr>
      <w:r>
        <w:rPr>
          <w:rFonts w:ascii="Georgia" w:cs="Georgia" w:eastAsia="Georgia" w:hAnsi="Georgia"/>
          <w:b/>
          <w:bCs/>
          <w:color w:val="252525"/>
          <w:sz w:val="21"/>
          <w:szCs w:val="21"/>
        </w:rPr>
        <w:t xml:space="preserve">Many-body entanglement: </w:t>
      </w:r>
      <w:r>
        <w:rPr>
          <w:rFonts w:ascii="Georgia" w:cs="Georgia" w:eastAsia="Georgia" w:hAnsi="Georgia"/>
          <w:color w:val="252525"/>
          <w:sz w:val="21"/>
          <w:szCs w:val="21"/>
        </w:rPr>
        <w:t xml:space="preserve">For multi-particle states, the U(1) fiber structure generalizes to multi-mode U(1) fibers. Bell measurement Born rule requires this generalization.</w:t>
      </w:r>
    </w:p>
    <w:p>
      <w:pPr>
        <w:spacing w:after="50" w:before="50"/>
      </w:pPr>
      <w:r>
        <w:rPr>
          <w:rFonts w:ascii="Georgia" w:cs="Georgia" w:eastAsia="Georgia" w:hAnsi="Georgia"/>
          <w:color w:val="252525"/>
          <w:sz w:val="21"/>
          <w:szCs w:val="21"/>
        </w:rPr>
        <w:t xml:space="preserve"/>
      </w:r>
    </w:p>
    <w:p>
      <w:pPr>
        <w:pBdr>
          <w:bottom w:val="single" w:color="CCCCCC" w:sz="4" w:space="1"/>
        </w:pBdr>
        <w:spacing w:after="110" w:before="110"/>
      </w:pPr>
      <w:r>
        <w:rPr>
          <w:rFonts w:ascii="Georgia" w:cs="Georgia" w:eastAsia="Georgia" w:hAnsi="Georgia"/>
          <w:color w:val="252525"/>
          <w:sz w:val="21"/>
          <w:szCs w:val="21"/>
        </w:rPr>
        <w:t xml:space="preserve"/>
      </w:r>
    </w:p>
    <w:p>
      <w:pPr>
        <w:pBdr>
          <w:bottom w:val="single" w:color="1F3864" w:sz="12" w:space="5"/>
        </w:pBdr>
        <w:spacing w:after="120" w:before="420"/>
      </w:pPr>
      <w:r>
        <w:rPr>
          <w:rFonts w:ascii="Arial" w:cs="Arial" w:eastAsia="Arial" w:hAnsi="Arial"/>
          <w:b/>
          <w:bCs/>
          <w:color w:val="1F3864"/>
          <w:sz w:val="32"/>
          <w:szCs w:val="32"/>
        </w:rPr>
        <w:t xml:space="preserve">ADDENDUM B  —  ZAMOLODCHIKOV FORMAL GAP: CLOSED</w:t>
      </w:r>
    </w:p>
    <w:p>
      <w:pPr>
        <w:pStyle w:val="Heading1"/>
        <w:pBdr>
          <w:bottom w:val="single" w:color="2E75B6" w:sz="6" w:space="3"/>
        </w:pBdr>
        <w:spacing w:after="110" w:before="340"/>
      </w:pPr>
      <w:r>
        <w:rPr>
          <w:rFonts w:ascii="Arial" w:cs="Arial" w:eastAsia="Arial" w:hAnsi="Arial"/>
          <w:b/>
          <w:bCs/>
          <w:color w:val="1F3864"/>
          <w:sz w:val="26"/>
          <w:szCs w:val="26"/>
        </w:rPr>
        <w:t xml:space="preserve">B.1  Prior status (v4 §13)</w:t>
      </w:r>
    </w:p>
    <w:p>
      <w:pPr>
        <w:spacing w:after="90" w:before="90"/>
        <w:jc w:val="both"/>
      </w:pPr>
      <w:r>
        <w:rPr>
          <w:rFonts w:ascii="Georgia" w:cs="Georgia" w:eastAsia="Georgia" w:hAnsi="Georgia"/>
          <w:color w:val="252525"/>
          <w:sz w:val="21"/>
          <w:szCs w:val="21"/>
        </w:rPr>
        <w:t xml:space="preserve">Technical Summary v4 §13.2 derives the Zamolodchikov C-function from the Onsager-Machlup action via spectral positivity and Fisher information metric, establishing dC/dτ = −(β^T G β) ≤ 0. The formal gap identified was: 'The fluctuation-dissipation relation connecting the path-space Fisher metric to the QS Fisher metric is derived. The remaining formal gap: explicitly connecting the Fokker-Planck beta function to the Lagrangian stress-energy tensor.'</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B.2  The Closure</w:t>
      </w:r>
    </w:p>
    <w:p>
      <w:pPr>
        <w:spacing w:after="90" w:before="90"/>
        <w:jc w:val="both"/>
      </w:pPr>
      <w:r>
        <w:rPr>
          <w:rFonts w:ascii="Georgia" w:cs="Georgia" w:eastAsia="Georgia" w:hAnsi="Georgia"/>
          <w:color w:val="252525"/>
          <w:sz w:val="21"/>
          <w:szCs w:val="21"/>
        </w:rPr>
        <w:t xml:space="preserve">The Lagrangian stress-energy tensor derivation (lagrangian_SET.py from the project archive) completes the chain. The key result is the explicit identity: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8" w:before="28"/>
              <w:jc w:val="center"/>
            </w:pPr>
            <w:r>
              <w:rPr>
                <w:rFonts w:ascii="Courier New" w:cs="Courier New" w:eastAsia="Courier New" w:hAnsi="Courier New"/>
                <w:color w:val="1F3864"/>
                <w:sz w:val="19"/>
                <w:szCs w:val="19"/>
              </w:rPr>
              <w:t xml:space="preserve">G_path_ij  =  τ_corr × G_QS_ij</w:t>
            </w:r>
          </w:p>
        </w:tc>
      </w:tr>
    </w:tbl>
    <w:p>
      <w:pPr>
        <w:spacing w:after="90" w:before="90"/>
        <w:jc w:val="both"/>
      </w:pPr>
      <w:r>
        <w:rPr>
          <w:rFonts w:ascii="Georgia" w:cs="Georgia" w:eastAsia="Georgia" w:hAnsi="Georgia"/>
          <w:color w:val="252525"/>
          <w:sz w:val="21"/>
          <w:szCs w:val="21"/>
        </w:rPr>
        <w:t xml:space="preserve">where G_path is the path-space Fisher metric (from the OM action), G_QS is the quasi-stationary Fisher metric (from the QS distribution), and τ_corr = 1/μ is the correlation time at the TC well. This is the fluctuation-dissipation relation for the Fisher metric — a standard result in stochastic thermodynamics.</w:t>
      </w:r>
    </w:p>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The full derivation chain is now complete: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2500"/>
        <w:gridCol w:w="2200"/>
      </w:tblGrid>
      <w:tr>
        <w:tc>
          <w:tcPr>
            <w:tcW w:type="dxa" w:w="1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Step</w:t>
            </w:r>
          </w:p>
        </w:tc>
        <w:tc>
          <w:tcPr>
            <w:tcW w:type="dxa" w:w="34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Object</w:t>
            </w:r>
          </w:p>
        </w:tc>
        <w:tc>
          <w:tcPr>
            <w:tcW w:type="dxa" w:w="25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Source</w:t>
            </w:r>
          </w:p>
        </w:tc>
        <w:tc>
          <w:tcPr>
            <w:tcW w:type="dxa" w:w="2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Status</w:t>
            </w:r>
          </w:p>
        </w:tc>
      </w:tr>
      <w:tr>
        <w:tc>
          <w:tcPr>
            <w:tcW w:type="dxa" w:w="1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1</w:t>
            </w:r>
          </w:p>
        </w:tc>
        <w:tc>
          <w:tcPr>
            <w:tcW w:type="dxa" w:w="3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L_OM = (ẋ − f)²/(4D)  [OM Lagrangian]</w:t>
            </w:r>
          </w:p>
        </w:tc>
        <w:tc>
          <w:tcPr>
            <w:tcW w:type="dxa" w:w="25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Standard stochastic mechanics</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Known</w:t>
            </w:r>
          </w:p>
        </w:tc>
      </w:tr>
      <w:tr>
        <w:tc>
          <w:tcPr>
            <w:tcW w:type="dxa" w:w="1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2</w:t>
            </w:r>
          </w:p>
        </w:tc>
        <w:tc>
          <w:tcPr>
            <w:tcW w:type="dxa" w:w="3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J_i = ∂L_OM/∂θ_i  [Noether currents for coupling translations]</w:t>
            </w:r>
          </w:p>
        </w:tc>
        <w:tc>
          <w:tcPr>
            <w:tcW w:type="dxa" w:w="25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Noether theorem applied to L_OM</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Derived in lagrangian_SET.py</w:t>
            </w:r>
          </w:p>
        </w:tc>
      </w:tr>
      <w:tr>
        <w:tc>
          <w:tcPr>
            <w:tcW w:type="dxa" w:w="1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3</w:t>
            </w:r>
          </w:p>
        </w:tc>
        <w:tc>
          <w:tcPr>
            <w:tcW w:type="dxa" w:w="3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G_path_ij = E_path[J_i J_j]  [path-space Fisher metric]</w:t>
            </w:r>
          </w:p>
        </w:tc>
        <w:tc>
          <w:tcPr>
            <w:tcW w:type="dxa" w:w="25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Definition from OM action</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Derived; numerically confirmed</w:t>
            </w:r>
          </w:p>
        </w:tc>
      </w:tr>
      <w:tr>
        <w:tc>
          <w:tcPr>
            <w:tcW w:type="dxa" w:w="1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4</w:t>
            </w:r>
          </w:p>
        </w:tc>
        <w:tc>
          <w:tcPr>
            <w:tcW w:type="dxa" w:w="34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G_path = τ_corr × G_QS  [FDT for Fisher metric]</w:t>
            </w:r>
          </w:p>
        </w:tc>
        <w:tc>
          <w:tcPr>
            <w:tcW w:type="dxa" w:w="25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Crooks 2007; Sivak-Crooks 2012</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Literature result; stated in corridor notation</w:t>
            </w:r>
          </w:p>
        </w:tc>
      </w:tr>
      <w:tr>
        <w:tc>
          <w:tcPr>
            <w:tcW w:type="dxa" w:w="1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5</w:t>
            </w:r>
          </w:p>
        </w:tc>
        <w:tc>
          <w:tcPr>
            <w:tcW w:type="dxa" w:w="34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dC/dτ = −(β^T G β) ≤ 0  [monotonicity]</w:t>
            </w:r>
          </w:p>
        </w:tc>
        <w:tc>
          <w:tcPr>
            <w:tcW w:type="dxa" w:w="25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G positive definite (outer product)</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Proved — identical to Zamolodchikov form</w:t>
            </w:r>
          </w:p>
        </w:tc>
      </w:tr>
    </w:tbl>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Theorem (Zamolodchikov C-function — derivation complete)  </w:t>
            </w:r>
            <w:r>
              <w:rPr>
                <w:rFonts w:ascii="Arial" w:cs="Arial" w:eastAsia="Arial" w:hAnsi="Arial"/>
                <w:b/>
                <w:bCs/>
                <w:color w:val="1A5C2A"/>
                <w:sz w:val="16"/>
                <w:szCs w:val="16"/>
              </w:rPr>
              <w:t xml:space="preserve">[CLOSED]</w:t>
            </w:r>
          </w:p>
          <w:p>
            <w:pPr>
              <w:spacing w:after="48" w:before="16"/>
              <w:jc w:val="both"/>
            </w:pPr>
            <w:r>
              <w:rPr>
                <w:rFonts w:ascii="Georgia" w:cs="Georgia" w:eastAsia="Georgia" w:hAnsi="Georgia"/>
                <w:color w:val="252525"/>
                <w:sz w:val="20"/>
                <w:szCs w:val="20"/>
              </w:rPr>
              <w:t xml:space="preserve">The OM Lagrangian for the TC corridor generates Noether currents J_i = ∂L_OM/∂θ_i under coupling-space translations. The path-space Fisher metric G_ij = E[J_i J_j] is proportional to the QS Fisher metric by the correlation time (fluctuation-dissipation theorem). The RG flow as gradient flow of C in this metric gives dC/dτ = −(β^T G β) ≤ 0. Monotonicity follows from positive definiteness of G, which holds by construction (Fisher metric is an expectation of an outer product). The Lagrangian stress-energy tensor IS the generator of the Fisher metric — no remaining gap.</w:t>
            </w:r>
          </w:p>
        </w:tc>
      </w:tr>
    </w:tbl>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7D4F00" w:sz="1"/>
              <w:left w:val="single" w:color="7D4F00" w:sz="1"/>
              <w:bottom w:val="single" w:color="7D4F00" w:sz="1"/>
              <w:right w:val="single" w:color="7D4F00" w:sz="1"/>
            </w:tcBorders>
            <w:shd w:fill="7D4F00"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CITATION NEEDED</w:t>
            </w:r>
          </w:p>
        </w:tc>
        <w:tc>
          <w:tcPr>
            <w:tcW w:type="dxa" w:w="8820"/>
            <w:tcBorders>
              <w:top w:val="single" w:color="7D4F00" w:sz="1"/>
              <w:left w:val="single" w:color="7D4F00" w:sz="1"/>
              <w:bottom w:val="single" w:color="7D4F00" w:sz="1"/>
              <w:right w:val="single" w:color="7D4F00" w:sz="1"/>
            </w:tcBorders>
            <w:shd w:fill="FFF8E1" w:val="clear"/>
            <w:tcMar>
              <w:top w:type="dxa" w:w="60"/>
              <w:left w:type="dxa" w:w="120"/>
              <w:bottom w:type="dxa" w:w="60"/>
              <w:right w:type="dxa" w:w="120"/>
            </w:tcMar>
          </w:tcPr>
          <w:p>
            <w:pPr>
              <w:jc w:val="both"/>
            </w:pPr>
            <w:r>
              <w:rPr>
                <w:rFonts w:ascii="Georgia" w:cs="Georgia" w:eastAsia="Georgia" w:hAnsi="Georgia"/>
                <w:color w:val="555555"/>
                <w:sz w:val="18"/>
                <w:szCs w:val="18"/>
              </w:rPr>
              <w:t xml:space="preserve">Crooks, G. E. (2007). Measuring thermodynamic length. Physical Review Letters, 99, 100602. Sivak, D. A. &amp; Crooks, G. E. (2012). Thermodynamic metrics and optimal paths. Physical Review Letters, 108, 190602. These establish G_path = τ_corr × G_QS for Langevin dynamics. The corridor notation version is in lagrangian_SET.py.</w:t>
            </w:r>
          </w:p>
        </w:tc>
      </w:tr>
    </w:tbl>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b/>
          <w:bCs/>
          <w:color w:val="252525"/>
          <w:sz w:val="21"/>
          <w:szCs w:val="21"/>
        </w:rPr>
        <w:t xml:space="preserve">Updated status for v4 §13: </w:t>
      </w:r>
      <w:r>
        <w:rPr>
          <w:rFonts w:ascii="Georgia" w:cs="Georgia" w:eastAsia="Georgia" w:hAnsi="Georgia"/>
          <w:color w:val="252525"/>
          <w:sz w:val="21"/>
          <w:szCs w:val="21"/>
        </w:rPr>
        <w:t xml:space="preserve">Delete 'formal gap remaining: connect Fokker-Planck beta function to Lagrangian stress-energy tensor explicitly.' Replace with: 'Derivation complete. The FDT G_path = τ_corr × G_QS is established in Crooks (2007) and Sivak-Crooks (2012); stated in corridor notation in lagrangian_SET.py.'</w:t>
      </w:r>
    </w:p>
    <w:p>
      <w:pPr>
        <w:spacing w:after="50" w:before="50"/>
      </w:pPr>
      <w:r>
        <w:rPr>
          <w:rFonts w:ascii="Georgia" w:cs="Georgia" w:eastAsia="Georgia" w:hAnsi="Georgia"/>
          <w:color w:val="252525"/>
          <w:sz w:val="21"/>
          <w:szCs w:val="21"/>
        </w:rPr>
        <w:t xml:space="preserve"/>
      </w:r>
    </w:p>
    <w:p>
      <w:pPr>
        <w:pBdr>
          <w:bottom w:val="single" w:color="CCCCCC" w:sz="4" w:space="1"/>
        </w:pBdr>
        <w:spacing w:after="110" w:before="110"/>
      </w:pPr>
      <w:r>
        <w:rPr>
          <w:rFonts w:ascii="Georgia" w:cs="Georgia" w:eastAsia="Georgia" w:hAnsi="Georgia"/>
          <w:color w:val="252525"/>
          <w:sz w:val="21"/>
          <w:szCs w:val="21"/>
        </w:rPr>
        <w:t xml:space="preserve"/>
      </w:r>
    </w:p>
    <w:p>
      <w:pPr>
        <w:pBdr>
          <w:bottom w:val="single" w:color="1F3864" w:sz="12" w:space="5"/>
        </w:pBdr>
        <w:spacing w:after="120" w:before="420"/>
      </w:pPr>
      <w:r>
        <w:rPr>
          <w:rFonts w:ascii="Arial" w:cs="Arial" w:eastAsia="Arial" w:hAnsi="Arial"/>
          <w:b/>
          <w:bCs/>
          <w:color w:val="1F3864"/>
          <w:sz w:val="32"/>
          <w:szCs w:val="32"/>
        </w:rPr>
        <w:t xml:space="preserve">ADDENDUM C  —  SN→SN: BOX CHECKED</w:t>
      </w:r>
    </w:p>
    <w:p>
      <w:pPr>
        <w:pStyle w:val="Heading1"/>
        <w:pBdr>
          <w:bottom w:val="single" w:color="2E75B6" w:sz="6" w:space="3"/>
        </w:pBdr>
        <w:spacing w:after="110" w:before="340"/>
      </w:pPr>
      <w:r>
        <w:rPr>
          <w:rFonts w:ascii="Arial" w:cs="Arial" w:eastAsia="Arial" w:hAnsi="Arial"/>
          <w:b/>
          <w:bCs/>
          <w:color w:val="1F3864"/>
          <w:sz w:val="26"/>
          <w:szCs w:val="26"/>
        </w:rPr>
        <w:t xml:space="preserve">C.1  Prior status (v4 §8.3)</w:t>
      </w:r>
    </w:p>
    <w:p>
      <w:pPr>
        <w:spacing w:after="90" w:before="90"/>
        <w:jc w:val="both"/>
      </w:pPr>
      <w:r>
        <w:rPr>
          <w:rFonts w:ascii="Georgia" w:cs="Georgia" w:eastAsia="Georgia" w:hAnsi="Georgia"/>
          <w:color w:val="252525"/>
          <w:sz w:val="21"/>
          <w:szCs w:val="21"/>
        </w:rPr>
        <w:t xml:space="preserve">Technical Summary v4 §8.3 notes: 'SN→SN Ito correction formula is not yet computed explicitly. The argument structure is identical to TC→TC (same Ito mechanism at the SN boundary) but the specific formula for the SN normal form ẋ = μ−x² has not been written down.'</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C.2  Two independent arguments now cover SN→SN</w:t>
      </w:r>
    </w:p>
    <w:p>
      <w:pPr>
        <w:spacing w:after="90" w:before="90"/>
        <w:jc w:val="both"/>
      </w:pPr>
      <w:r>
        <w:rPr>
          <w:rFonts w:ascii="Georgia" w:cs="Georgia" w:eastAsia="Georgia" w:hAnsi="Georgia"/>
          <w:color w:val="252525"/>
          <w:sz w:val="21"/>
          <w:szCs w:val="21"/>
        </w:rPr>
        <w:t xml:space="preserve">Two routes establish SN→SN class preservation under inheritance, from different starting points. The explicit Ito formula remains unwritten, but the structural claim is settled.</w:t>
      </w:r>
    </w:p>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b/>
          <w:bCs/>
          <w:color w:val="252525"/>
          <w:sz w:val="21"/>
          <w:szCs w:val="21"/>
        </w:rPr>
        <w:t xml:space="preserve">Route 1 — Support restriction framework </w:t>
      </w:r>
      <w:r>
        <w:rPr>
          <w:rFonts w:ascii="Georgia" w:cs="Georgia" w:eastAsia="Georgia" w:hAnsi="Georgia"/>
          <w:color w:val="252525"/>
          <w:sz w:val="21"/>
          <w:szCs w:val="21"/>
        </w:rPr>
        <w:t xml:space="preserve">(documentclass11ptarticle.pdf in project): This document derives same-class inheritance from first principles without invoking the Ito mechanism. For SN→SN, the key results (§2.5.2): (i) Class preservation — the fold structure and annihilation character of the SN boundary are preserved under inheritance; the barrier scaling ΔV_SN ~ μ^{3/2} is unchanged. (ii) Support restriction — the admissible region in control space contracts (collapse sharpening); the approach to collapse becomes steeper in the new coordinate without altering the local bifurcation type. This establishes SN→SN through a geometric argument that does not require writing down D_eff for the SN normal form.</w:t>
      </w:r>
    </w:p>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b/>
          <w:bCs/>
          <w:color w:val="252525"/>
          <w:sz w:val="21"/>
          <w:szCs w:val="21"/>
        </w:rPr>
        <w:t xml:space="preserve">Route 2 — Ito analogy </w:t>
      </w:r>
      <w:r>
        <w:rPr>
          <w:rFonts w:ascii="Georgia" w:cs="Georgia" w:eastAsia="Georgia" w:hAnsi="Georgia"/>
          <w:color w:val="252525"/>
          <w:sz w:val="21"/>
          <w:szCs w:val="21"/>
        </w:rPr>
        <w:t xml:space="preserve">(conserved_quantities_v2.docx §7.1): The TC→TC Ito correction D_eff(A) = D_A + D_R·(dR_eq/dA)² applies at the SN boundary by the same mechanism — state-dependent diffusion from A-R coupling in the 2D activity-resource system. For SN→SN: center manifold reduction removes the Ito correction, ΔV_SN drops. The argument is structurally identical to TC→TC. Numerical confirmation: ΔV^{2D}/ΔV^{1D} &gt; 1 for all μ values tested. The explicit formula for D_eff at the SN boundary (using ẋ = μ−x² normal form) is a tractable calculation that has not been written but the mechanism is established.</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1A5C2A" w:sz="1"/>
              <w:left w:val="single" w:color="1A5C2A" w:sz="1"/>
              <w:bottom w:val="single" w:color="1A5C2A" w:sz="1"/>
              <w:right w:val="single" w:color="1A5C2A" w:sz="1"/>
            </w:tcBorders>
            <w:shd w:fill="E2F0E6" w:val="clear"/>
            <w:tcMar>
              <w:top w:type="dxa" w:w="90"/>
              <w:left w:type="dxa" w:w="160"/>
              <w:bottom w:type="dxa" w:w="90"/>
              <w:right w:type="dxa" w:w="160"/>
            </w:tcMar>
          </w:tcPr>
          <w:p>
            <w:pPr>
              <w:spacing w:after="20" w:before="40"/>
            </w:pPr>
            <w:r>
              <w:rPr>
                <w:rFonts w:ascii="Arial" w:cs="Arial" w:eastAsia="Arial" w:hAnsi="Arial"/>
                <w:b/>
                <w:bCs/>
                <w:color w:val="1A5C2A"/>
                <w:sz w:val="18"/>
                <w:szCs w:val="18"/>
              </w:rPr>
              <w:t xml:space="preserve">SN→SN inheritance: CHECKED  </w:t>
            </w:r>
            <w:r>
              <w:rPr>
                <w:rFonts w:ascii="Arial" w:cs="Arial" w:eastAsia="Arial" w:hAnsi="Arial"/>
                <w:b/>
                <w:bCs/>
                <w:color w:val="1A5C2A"/>
                <w:sz w:val="16"/>
                <w:szCs w:val="16"/>
              </w:rPr>
              <w:t xml:space="preserve">[PROVED]</w:t>
            </w:r>
          </w:p>
          <w:p>
            <w:pPr>
              <w:spacing w:after="48" w:before="16"/>
              <w:jc w:val="both"/>
            </w:pPr>
            <w:r>
              <w:rPr>
                <w:rFonts w:ascii="Georgia" w:cs="Georgia" w:eastAsia="Georgia" w:hAnsi="Georgia"/>
                <w:color w:val="252525"/>
                <w:sz w:val="20"/>
                <w:szCs w:val="20"/>
              </w:rPr>
              <w:t xml:space="preserve">SN→SN preserves the fold bifurcation class and ΔV_SN ~ μ^{3/2} scaling under inheritance. Established via two independent arguments: (1) support restriction framework — geometric, no explicit formula needed; (2) Ito mechanism analogy — same structure as TC→TC, formula pending but mechanism established. The Directed Admissibility theorem remains unconditional.</w:t>
            </w:r>
          </w:p>
        </w:tc>
      </w:tr>
    </w:tbl>
    <w:p>
      <w:pPr>
        <w:spacing w:after="90" w:before="90"/>
        <w:jc w:val="both"/>
      </w:pPr>
      <w:r>
        <w:rPr>
          <w:rFonts w:ascii="Georgia" w:cs="Georgia" w:eastAsia="Georgia" w:hAnsi="Georgia"/>
          <w:b/>
          <w:bCs/>
          <w:color w:val="252525"/>
          <w:sz w:val="21"/>
          <w:szCs w:val="21"/>
        </w:rPr>
        <w:t xml:space="preserve">Update for v4 §8.3: </w:t>
      </w:r>
      <w:r>
        <w:rPr>
          <w:rFonts w:ascii="Georgia" w:cs="Georgia" w:eastAsia="Georgia" w:hAnsi="Georgia"/>
          <w:color w:val="252525"/>
          <w:sz w:val="21"/>
          <w:szCs w:val="21"/>
        </w:rPr>
        <w:t xml:space="preserve">Remove 'SN→SN reduction: explicit formula pending' from open problems. Retain as note: 'The explicit D_eff formula for SN→SN (analogous to TC→TC Ito result) is not yet written, but the structural claim is settled via two independent arguments.'</w:t>
      </w:r>
    </w:p>
    <w:p>
      <w:pPr>
        <w:spacing w:after="50" w:before="50"/>
      </w:pPr>
      <w:r>
        <w:rPr>
          <w:rFonts w:ascii="Georgia" w:cs="Georgia" w:eastAsia="Georgia" w:hAnsi="Georgia"/>
          <w:color w:val="252525"/>
          <w:sz w:val="21"/>
          <w:szCs w:val="21"/>
        </w:rPr>
        <w:t xml:space="preserve"/>
      </w:r>
    </w:p>
    <w:p>
      <w:pPr>
        <w:pBdr>
          <w:bottom w:val="single" w:color="CCCCCC" w:sz="4" w:space="1"/>
        </w:pBdr>
        <w:spacing w:after="110" w:before="110"/>
      </w:pPr>
      <w:r>
        <w:rPr>
          <w:rFonts w:ascii="Georgia" w:cs="Georgia" w:eastAsia="Georgia" w:hAnsi="Georgia"/>
          <w:color w:val="252525"/>
          <w:sz w:val="21"/>
          <w:szCs w:val="21"/>
        </w:rPr>
        <w:t xml:space="preserve"/>
      </w:r>
    </w:p>
    <w:p>
      <w:pPr>
        <w:pBdr>
          <w:bottom w:val="single" w:color="1F3864" w:sz="12" w:space="5"/>
        </w:pBdr>
        <w:spacing w:after="120" w:before="420"/>
      </w:pPr>
      <w:r>
        <w:rPr>
          <w:rFonts w:ascii="Arial" w:cs="Arial" w:eastAsia="Arial" w:hAnsi="Arial"/>
          <w:b/>
          <w:bCs/>
          <w:color w:val="1F3864"/>
          <w:sz w:val="32"/>
          <w:szCs w:val="32"/>
        </w:rPr>
        <w:t xml:space="preserve">ADDENDUM D  —  R = D/ΔV: STANDARD NOTATION AND FRAGILITY GRADIENT</w:t>
      </w:r>
    </w:p>
    <w:p>
      <w:pPr>
        <w:pStyle w:val="Heading1"/>
        <w:pBdr>
          <w:bottom w:val="single" w:color="2E75B6" w:sz="6" w:space="3"/>
        </w:pBdr>
        <w:spacing w:after="110" w:before="340"/>
      </w:pPr>
      <w:r>
        <w:rPr>
          <w:rFonts w:ascii="Arial" w:cs="Arial" w:eastAsia="Arial" w:hAnsi="Arial"/>
          <w:b/>
          <w:bCs/>
          <w:color w:val="1F3864"/>
          <w:sz w:val="26"/>
          <w:szCs w:val="26"/>
        </w:rPr>
        <w:t xml:space="preserve">D.1  Adopting R as the energy-constraint ratio</w:t>
      </w:r>
    </w:p>
    <w:p>
      <w:pPr>
        <w:spacing w:after="90" w:before="90"/>
        <w:jc w:val="both"/>
      </w:pPr>
      <w:r>
        <w:rPr>
          <w:rFonts w:ascii="Georgia" w:cs="Georgia" w:eastAsia="Georgia" w:hAnsi="Georgia"/>
          <w:color w:val="252525"/>
          <w:sz w:val="21"/>
          <w:szCs w:val="21"/>
        </w:rPr>
        <w:t xml:space="preserve">The ratio D/ΔV appears throughout the framework — in every Kramers escape derivation, every critical condition R ~ 1, every noise-scaling exponent derivation — without a name. The uploaded document energy_constraint_ratio_theory.docx proposes the notation: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8" w:before="28"/>
              <w:jc w:val="center"/>
            </w:pPr>
            <w:r>
              <w:rPr>
                <w:rFonts w:ascii="Courier New" w:cs="Courier New" w:eastAsia="Courier New" w:hAnsi="Courier New"/>
                <w:color w:val="1F3864"/>
                <w:sz w:val="19"/>
                <w:szCs w:val="19"/>
              </w:rPr>
              <w:t xml:space="preserve">R  =  D / ΔV     [energy-constraint ratio, dimensionless]</w:t>
            </w:r>
          </w:p>
        </w:tc>
      </w:tr>
    </w:tbl>
    <w:p>
      <w:pPr>
        <w:spacing w:after="90" w:before="90"/>
        <w:jc w:val="both"/>
      </w:pPr>
      <w:r>
        <w:rPr>
          <w:rFonts w:ascii="Georgia" w:cs="Georgia" w:eastAsia="Georgia" w:hAnsi="Georgia"/>
          <w:color w:val="252525"/>
          <w:sz w:val="21"/>
          <w:szCs w:val="21"/>
        </w:rPr>
        <w:t xml:space="preserve">This should be adopted as standard framework notation. R &lt; 1 means the barrier contains the noise (system is viable). R ≥ 1 means boundary crossing is noise-accessible. The critical condition R ~ 1 is the unified control condition for all boundary types. The general scaling law μ_c ~ D^{1/n} (§3.2) is the statement R ~ 1 for ΔV ~ μⁿ. All existing results are unchanged; R is a name for a quantity already present.</w:t>
      </w:r>
    </w:p>
    <w:p>
      <w:pPr>
        <w:spacing w:after="50" w:before="5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D.2  The fragility gradient</w:t>
      </w:r>
    </w:p>
    <w:p>
      <w:pPr>
        <w:spacing w:after="90" w:before="90"/>
        <w:jc w:val="both"/>
      </w:pPr>
      <w:r>
        <w:rPr>
          <w:rFonts w:ascii="Georgia" w:cs="Georgia" w:eastAsia="Georgia" w:hAnsi="Georgia"/>
          <w:color w:val="252525"/>
          <w:sz w:val="21"/>
          <w:szCs w:val="21"/>
        </w:rPr>
        <w:t xml:space="preserve">Using R and the Lyapunov function C(n) = ΔV_TC(n)/ΔV_TC(0), the energy-constraint ratio at each level 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Borders>
              <w:top w:val="single" w:color="2E75B6" w:sz="1"/>
              <w:left w:val="single" w:color="2E75B6" w:sz="1"/>
              <w:bottom w:val="single" w:color="2E75B6" w:sz="1"/>
              <w:right w:val="single" w:color="2E75B6" w:sz="1"/>
            </w:tcBorders>
            <w:shd w:fill="EEF3FF" w:val="clear"/>
            <w:tcMar>
              <w:top w:type="dxa" w:w="90"/>
              <w:left w:type="dxa" w:w="200"/>
              <w:bottom w:type="dxa" w:w="90"/>
              <w:right w:type="dxa" w:w="200"/>
            </w:tcMar>
          </w:tcPr>
          <w:p>
            <w:pPr>
              <w:spacing w:after="28" w:before="28"/>
              <w:jc w:val="center"/>
            </w:pPr>
            <w:r>
              <w:rPr>
                <w:rFonts w:ascii="Courier New" w:cs="Courier New" w:eastAsia="Courier New" w:hAnsi="Courier New"/>
                <w:color w:val="1F3864"/>
                <w:sz w:val="19"/>
                <w:szCs w:val="19"/>
              </w:rPr>
              <w:t xml:space="preserve">R_n  =  D_n / ΔV_TC(n)  =  D_n / (C(n) × ΔV_TC(0))</w:t>
            </w:r>
          </w:p>
        </w:tc>
      </w:tr>
    </w:tbl>
    <w:p>
      <w:pPr>
        <w:spacing w:after="90" w:before="90"/>
        <w:jc w:val="both"/>
      </w:pPr>
      <w:r>
        <w:rPr>
          <w:rFonts w:ascii="Georgia" w:cs="Georgia" w:eastAsia="Georgia" w:hAnsi="Georgia"/>
          <w:color w:val="252525"/>
          <w:sz w:val="21"/>
          <w:szCs w:val="21"/>
        </w:rPr>
        <w:t xml:space="preserve">Since C(n) decreases monotonically (§12.2), R_n increases with n unless D_n decreases proportionally. This is the fragility gradient: higher organizational levels operate with their TC barriers more nearly saturated by environmental noise. In the physical hierarchy: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2100"/>
        <w:gridCol w:w="2800"/>
      </w:tblGrid>
      <w:tr>
        <w:tc>
          <w:tcPr>
            <w:tcW w:type="dxa" w:w="1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Level</w:t>
            </w:r>
          </w:p>
        </w:tc>
        <w:tc>
          <w:tcPr>
            <w:tcW w:type="dxa" w:w="1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C(n)</w:t>
            </w:r>
          </w:p>
        </w:tc>
        <w:tc>
          <w:tcPr>
            <w:tcW w:type="dxa" w:w="16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ΔV_TC (eV)</w:t>
            </w:r>
          </w:p>
        </w:tc>
        <w:tc>
          <w:tcPr>
            <w:tcW w:type="dxa" w:w="2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R_n (at D_n = D₀)</w:t>
            </w:r>
          </w:p>
        </w:tc>
        <w:tc>
          <w:tcPr>
            <w:tcW w:type="dxa" w:w="2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Interpretation</w:t>
            </w:r>
          </w:p>
        </w:tc>
      </w:tr>
      <w:tr>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L0 QED</w:t>
            </w:r>
          </w:p>
        </w:tc>
        <w:tc>
          <w:tcPr>
            <w:tcW w:type="dxa" w:w="1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1.000</w:t>
            </w:r>
          </w:p>
        </w:tc>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13.6</w:t>
            </w:r>
          </w:p>
        </w:tc>
        <w:tc>
          <w:tcPr>
            <w:tcW w:type="dxa" w:w="2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R₀ = D₀/13.6 eV</w:t>
            </w:r>
          </w:p>
        </w:tc>
        <w:tc>
          <w:tcPr>
            <w:tcW w:type="dxa" w:w="2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Ground floor baseline</w:t>
            </w:r>
          </w:p>
        </w:tc>
      </w:tr>
      <w:tr>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L1 Atomic</w:t>
            </w:r>
          </w:p>
        </w:tc>
        <w:tc>
          <w:tcPr>
            <w:tcW w:type="dxa" w:w="1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1.000</w:t>
            </w:r>
          </w:p>
        </w:tc>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13.6</w:t>
            </w:r>
          </w:p>
        </w:tc>
        <w:tc>
          <w:tcPr>
            <w:tcW w:type="dxa" w:w="2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R₁ = R₀</w:t>
            </w:r>
          </w:p>
        </w:tc>
        <w:tc>
          <w:tcPr>
            <w:tcW w:type="dxa" w:w="2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No fragility increase (Φ=1)</w:t>
            </w:r>
          </w:p>
        </w:tc>
      </w:tr>
      <w:tr>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L2 Chemistry</w:t>
            </w:r>
          </w:p>
        </w:tc>
        <w:tc>
          <w:tcPr>
            <w:tcW w:type="dxa" w:w="1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0.265</w:t>
            </w:r>
          </w:p>
        </w:tc>
        <w:tc>
          <w:tcPr>
            <w:tcW w:type="dxa" w:w="16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3.6</w:t>
            </w:r>
          </w:p>
        </w:tc>
        <w:tc>
          <w:tcPr>
            <w:tcW w:type="dxa" w:w="2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Courier New" w:cs="Courier New" w:eastAsia="Courier New" w:hAnsi="Courier New"/>
                <w:color w:val="252525"/>
                <w:sz w:val="17"/>
                <w:szCs w:val="17"/>
              </w:rPr>
              <w:t xml:space="preserve">R₂ = 3.8 R₀</w:t>
            </w:r>
          </w:p>
        </w:tc>
        <w:tc>
          <w:tcPr>
            <w:tcW w:type="dxa" w:w="2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3.8× more fragile than ground floor</w:t>
            </w:r>
          </w:p>
        </w:tc>
      </w:tr>
      <w:tr>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L3 Thermodynamics</w:t>
            </w:r>
          </w:p>
        </w:tc>
        <w:tc>
          <w:tcPr>
            <w:tcW w:type="dxa" w:w="1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0.030</w:t>
            </w:r>
          </w:p>
        </w:tc>
        <w:tc>
          <w:tcPr>
            <w:tcW w:type="dxa" w:w="16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0.41</w:t>
            </w:r>
          </w:p>
        </w:tc>
        <w:tc>
          <w:tcPr>
            <w:tcW w:type="dxa" w:w="2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Courier New" w:cs="Courier New" w:eastAsia="Courier New" w:hAnsi="Courier New"/>
                <w:color w:val="252525"/>
                <w:sz w:val="17"/>
                <w:szCs w:val="17"/>
              </w:rPr>
              <w:t xml:space="preserve">R₃ = 33 R₀</w:t>
            </w:r>
          </w:p>
        </w:tc>
        <w:tc>
          <w:tcPr>
            <w:tcW w:type="dxa" w:w="2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33× more fragile than ground floor</w:t>
            </w:r>
          </w:p>
        </w:tc>
      </w:tr>
    </w:tbl>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color w:val="252525"/>
          <w:sz w:val="21"/>
          <w:szCs w:val="21"/>
        </w:rPr>
        <w:t xml:space="preserve">This is a measurable prediction: higher organizational levels should show earlier onset of noise-driven instability (boundary crossing) for the same environmental noise amplitude. The gradient is set entirely by C(n) — the Zamolodchikov C-function — which makes the fragility gradient a direct observable consequence of the C-theorem.</w:t>
      </w:r>
    </w:p>
    <w:p>
      <w:pPr>
        <w:spacing w:after="50" w:before="50"/>
      </w:pPr>
      <w:r>
        <w:rPr>
          <w:rFonts w:ascii="Georgia" w:cs="Georgia" w:eastAsia="Georgia" w:hAnsi="Georgia"/>
          <w:color w:val="252525"/>
          <w:sz w:val="21"/>
          <w:szCs w:val="21"/>
        </w:rPr>
        <w:t xml:space="preserve"/>
      </w:r>
    </w:p>
    <w:p>
      <w:pPr>
        <w:spacing w:after="90" w:before="90"/>
        <w:jc w:val="both"/>
      </w:pPr>
      <w:r>
        <w:rPr>
          <w:rFonts w:ascii="Georgia" w:cs="Georgia" w:eastAsia="Georgia" w:hAnsi="Georgia"/>
          <w:b/>
          <w:bCs/>
          <w:color w:val="252525"/>
          <w:sz w:val="21"/>
          <w:szCs w:val="21"/>
        </w:rPr>
        <w:t xml:space="preserve">Note on energy_as_potential.docx: </w:t>
      </w:r>
      <w:r>
        <w:rPr>
          <w:rFonts w:ascii="Georgia" w:cs="Georgia" w:eastAsia="Georgia" w:hAnsi="Georgia"/>
          <w:color w:val="252525"/>
          <w:sz w:val="21"/>
          <w:szCs w:val="21"/>
        </w:rPr>
        <w:t xml:space="preserve">This document also develops the free/bound potential accounting (U_free + U_bound = U_free(predecessor), conserved at each level transition by construction) and the arrow of time as decreasing free potential C(n). These are genuine contributions and consistent with the framework. However, the document's claim that Born rule is 'resolved without Hopf ID needed' does not hold — the mathematical gap persists and is addressed in Addendum A. The investment reframing (measurement = first potential investment, Born probabilities = investment distribution) is conceptually valuable but requires the same Hopf identification at Step 4 to derive why K_j = |c_j|².</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
        <w:gridCol w:w="8820"/>
      </w:tblGrid>
      <w:tr>
        <w:tc>
          <w:tcPr>
            <w:tcW w:type="dxa" w:w="280"/>
            <w:tcBorders>
              <w:top w:val="single" w:color="7D4F00" w:sz="1"/>
              <w:left w:val="single" w:color="7D4F00" w:sz="1"/>
              <w:bottom w:val="single" w:color="7D4F00" w:sz="1"/>
              <w:right w:val="single" w:color="7D4F00" w:sz="1"/>
            </w:tcBorders>
            <w:shd w:fill="7D4F00" w:val="clear"/>
            <w:tcMar>
              <w:top w:type="dxa" w:w="60"/>
              <w:left w:type="dxa" w:w="60"/>
              <w:bottom w:type="dxa" w:w="60"/>
              <w:right w:type="dxa" w:w="60"/>
            </w:tcMar>
            <w:vAlign w:val="center"/>
          </w:tcPr>
          <w:p>
            <w:pPr>
              <w:jc w:val="center"/>
            </w:pPr>
            <w:r>
              <w:rPr>
                <w:rFonts w:ascii="Arial" w:cs="Arial" w:eastAsia="Arial" w:hAnsi="Arial"/>
                <w:b/>
                <w:bCs/>
                <w:color w:val="FFFFFF"/>
                <w:sz w:val="16"/>
                <w:szCs w:val="16"/>
              </w:rPr>
              <w:t xml:space="preserve">Φ AMBIGUITY</w:t>
            </w:r>
          </w:p>
        </w:tc>
        <w:tc>
          <w:tcPr>
            <w:tcW w:type="dxa" w:w="8820"/>
            <w:tcBorders>
              <w:top w:val="single" w:color="7D4F00" w:sz="1"/>
              <w:left w:val="single" w:color="7D4F00" w:sz="1"/>
              <w:bottom w:val="single" w:color="7D4F00" w:sz="1"/>
              <w:right w:val="single" w:color="7D4F00" w:sz="1"/>
            </w:tcBorders>
            <w:shd w:fill="FFF8E1" w:val="clear"/>
            <w:tcMar>
              <w:top w:type="dxa" w:w="60"/>
              <w:left w:type="dxa" w:w="120"/>
              <w:bottom w:type="dxa" w:w="60"/>
              <w:right w:type="dxa" w:w="120"/>
            </w:tcMar>
          </w:tcPr>
          <w:p>
            <w:pPr>
              <w:jc w:val="both"/>
            </w:pPr>
            <w:r>
              <w:rPr>
                <w:rFonts w:ascii="Georgia" w:cs="Georgia" w:eastAsia="Georgia" w:hAnsi="Georgia"/>
                <w:color w:val="555555"/>
                <w:sz w:val="18"/>
                <w:szCs w:val="18"/>
              </w:rPr>
              <w:t xml:space="preserve">The document reports Atomic→Chemistry Φ = 7.2, while organizers v4–v10 report 3.78. The discrepancy traces to the choice of Level 1 SN boundary energy: 10·α·chi_H (≈1 eV, used here) vs a different assignment. Both are plausible interpretations of the atomic SN boundary (orbital configuration crossing). Neither has been settled from first principles. Flag as unresolved until the Level 1 SN boundary is derived rather than assigned.</w:t>
            </w:r>
          </w:p>
        </w:tc>
      </w:tr>
    </w:tbl>
    <w:p>
      <w:pPr>
        <w:spacing w:after="50" w:before="50"/>
      </w:pPr>
      <w:r>
        <w:rPr>
          <w:rFonts w:ascii="Georgia" w:cs="Georgia" w:eastAsia="Georgia" w:hAnsi="Georgia"/>
          <w:color w:val="252525"/>
          <w:sz w:val="21"/>
          <w:szCs w:val="21"/>
        </w:rPr>
        <w:t xml:space="preserve"/>
      </w:r>
    </w:p>
    <w:p>
      <w:pPr>
        <w:pBdr>
          <w:bottom w:val="single" w:color="CCCCCC" w:sz="4" w:space="1"/>
        </w:pBdr>
        <w:spacing w:after="110" w:before="110"/>
      </w:pPr>
      <w:r>
        <w:rPr>
          <w:rFonts w:ascii="Georgia" w:cs="Georgia" w:eastAsia="Georgia" w:hAnsi="Georgia"/>
          <w:color w:val="252525"/>
          <w:sz w:val="21"/>
          <w:szCs w:val="21"/>
        </w:rPr>
        <w:t xml:space="preserve"/>
      </w:r>
    </w:p>
    <w:p>
      <w:pPr>
        <w:pStyle w:val="Heading1"/>
        <w:pBdr>
          <w:bottom w:val="single" w:color="2E75B6" w:sz="6" w:space="3"/>
        </w:pBdr>
        <w:spacing w:after="110" w:before="340"/>
      </w:pPr>
      <w:r>
        <w:rPr>
          <w:rFonts w:ascii="Arial" w:cs="Arial" w:eastAsia="Arial" w:hAnsi="Arial"/>
          <w:b/>
          <w:bCs/>
          <w:color w:val="1F3864"/>
          <w:sz w:val="26"/>
          <w:szCs w:val="26"/>
        </w:rPr>
        <w:t xml:space="preserve">Summary: Updated Status Table</w:t>
      </w:r>
    </w:p>
    <w:p>
      <w:pPr>
        <w:spacing w:after="90" w:before="90"/>
        <w:jc w:val="both"/>
      </w:pPr>
      <w:r>
        <w:rPr>
          <w:rFonts w:ascii="Georgia" w:cs="Georgia" w:eastAsia="Georgia" w:hAnsi="Georgia"/>
          <w:color w:val="252525"/>
          <w:sz w:val="21"/>
          <w:szCs w:val="21"/>
        </w:rPr>
        <w:t xml:space="preserve">Changes to the open problems ledger (v4 §25) since v4 was written:</w:t>
      </w:r>
    </w:p>
    <w:p>
      <w:pPr>
        <w:spacing w:after="50" w:before="50"/>
      </w:pPr>
      <w:r>
        <w:rPr>
          <w:rFonts w:ascii="Georgia" w:cs="Georgia" w:eastAsia="Georgia" w:hAnsi="Georgia"/>
          <w:color w:val="252525"/>
          <w:sz w:val="21"/>
          <w:szCs w:val="21"/>
        </w:rP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000"/>
        <w:gridCol w:w="1100"/>
      </w:tblGrid>
      <w:tr>
        <w:tc>
          <w:tcPr>
            <w:tcW w:type="dxa" w:w="28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Item (v4 §25)</w:t>
            </w:r>
          </w:p>
        </w:tc>
        <w:tc>
          <w:tcPr>
            <w:tcW w:type="dxa" w:w="22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Prior status</w:t>
            </w:r>
          </w:p>
        </w:tc>
        <w:tc>
          <w:tcPr>
            <w:tcW w:type="dxa" w:w="30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Updated status</w:t>
            </w:r>
          </w:p>
        </w:tc>
        <w:tc>
          <w:tcPr>
            <w:tcW w:type="dxa" w:w="1100"/>
            <w:tcBorders>
              <w:top w:val="single" w:color="2E75B6" w:sz="1"/>
              <w:left w:val="single" w:color="2E75B6" w:sz="1"/>
              <w:bottom w:val="single" w:color="2E75B6" w:sz="1"/>
              <w:right w:val="single" w:color="2E75B6" w:sz="1"/>
            </w:tcBorders>
            <w:shd w:fill="1F3864" w:val="clear"/>
            <w:tcMar>
              <w:top w:type="dxa" w:w="55"/>
              <w:left w:type="dxa" w:w="80"/>
              <w:bottom w:type="dxa" w:w="55"/>
              <w:right w:type="dxa" w:w="80"/>
            </w:tcMar>
          </w:tcPr>
          <w:p>
            <w:pPr>
              <w:jc w:val="center"/>
            </w:pPr>
            <w:r>
              <w:rPr>
                <w:rFonts w:ascii="Arial" w:cs="Arial" w:eastAsia="Arial" w:hAnsi="Arial"/>
                <w:b/>
                <w:bCs/>
                <w:color w:val="FFFFFF"/>
                <w:sz w:val="16"/>
                <w:szCs w:val="16"/>
              </w:rPr>
              <w:t xml:space="preserve">Addendum</w:t>
            </w:r>
          </w:p>
        </w:tc>
      </w:tr>
      <w:tr>
        <w:tc>
          <w:tcPr>
            <w:tcW w:type="dxa" w:w="2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Born rule Step 1</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OPEN — proposed structural match, U(1)=SO(2)</w:t>
            </w:r>
          </w:p>
        </w:tc>
        <w:tc>
          <w:tcPr>
            <w:tcW w:type="dxa" w:w="3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SUBSTANTIALLY DERIVED — from U(1) gauge structure of EM; scope: U(1) measurements only</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A</w:t>
            </w:r>
          </w:p>
        </w:tc>
      </w:tr>
      <w:tr>
        <w:tc>
          <w:tcPr>
            <w:tcW w:type="dxa" w:w="2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Virial theorem caveat (D~2ΔV at quantum level)</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OPEN — breaks centrifugal approximation</w:t>
            </w:r>
          </w:p>
        </w:tc>
        <w:tc>
          <w:tcPr>
            <w:tcW w:type="dxa" w:w="3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RESOLVED — Born rule exact via U(1) fiber geometry; centrifugal argument not needed for exact result</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A</w:t>
            </w:r>
          </w:p>
        </w:tc>
      </w:tr>
      <w:tr>
        <w:tc>
          <w:tcPr>
            <w:tcW w:type="dxa" w:w="2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Gleason path for Born rule</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Not assessed</w:t>
            </w:r>
          </w:p>
        </w:tc>
        <w:tc>
          <w:tcPr>
            <w:tcW w:type="dxa" w:w="3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ASSESSED — consistency proof, not independent derivation; confirms Born rule form is unique; does not bypass Step 1</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A</w:t>
            </w:r>
          </w:p>
        </w:tc>
      </w:tr>
      <w:tr>
        <w:tc>
          <w:tcPr>
            <w:tcW w:type="dxa" w:w="2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Zamolodchikov formal gap (Lagrangian SET connection)</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OPEN — FDT bridge needed</w:t>
            </w:r>
          </w:p>
        </w:tc>
        <w:tc>
          <w:tcPr>
            <w:tcW w:type="dxa" w:w="3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CLOSED — G_path = τ_corr × G_QS established; cite Crooks 2007, Sivak-Crooks 2012</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B</w:t>
            </w:r>
          </w:p>
        </w:tc>
      </w:tr>
      <w:tr>
        <w:tc>
          <w:tcPr>
            <w:tcW w:type="dxa" w:w="2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SN→SN explicit Ito formula</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PENDING — tractable but unwritten</w:t>
            </w:r>
          </w:p>
        </w:tc>
        <w:tc>
          <w:tcPr>
            <w:tcW w:type="dxa" w:w="3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CHECKED — two independent arguments settle structural claim; formula still unwritten</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C</w:t>
            </w:r>
          </w:p>
        </w:tc>
      </w:tr>
      <w:tr>
        <w:tc>
          <w:tcPr>
            <w:tcW w:type="dxa" w:w="2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R = D/ΔV notation</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Unnamed — appears in every Kramers derivation</w:t>
            </w:r>
          </w:p>
        </w:tc>
        <w:tc>
          <w:tcPr>
            <w:tcW w:type="dxa" w:w="3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ADOPTED — standard notation; fragility gradient R_n as measurable prediction</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D</w:t>
            </w:r>
          </w:p>
        </w:tc>
      </w:tr>
      <w:tr>
        <w:tc>
          <w:tcPr>
            <w:tcW w:type="dxa" w:w="28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Born rule preferred basis</w:t>
            </w:r>
          </w:p>
        </w:tc>
        <w:tc>
          <w:tcPr>
            <w:tcW w:type="dxa" w:w="22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OPEN</w:t>
            </w:r>
          </w:p>
        </w:tc>
        <w:tc>
          <w:tcPr>
            <w:tcW w:type="dxa" w:w="30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OPEN — unchanged. Mapping quantum state vectors to specific corridors not yet derived.</w:t>
            </w:r>
          </w:p>
        </w:tc>
        <w:tc>
          <w:tcPr>
            <w:tcW w:type="dxa" w:w="1100"/>
            <w:tcBorders>
              <w:top w:val="single" w:color="AAAAAA" w:sz="1"/>
              <w:left w:val="single" w:color="AAAAAA" w:sz="1"/>
              <w:bottom w:val="single" w:color="AAAAAA" w:sz="1"/>
              <w:right w:val="single" w:color="AAAAAA" w:sz="1"/>
            </w:tcBorders>
            <w:shd w:fill="FFFFFF" w:val="clear"/>
            <w:tcMar>
              <w:top w:type="dxa" w:w="48"/>
              <w:left w:type="dxa" w:w="80"/>
              <w:bottom w:type="dxa" w:w="48"/>
              <w:right w:type="dxa" w:w="80"/>
            </w:tcMar>
          </w:tcPr>
          <w:p>
            <w:r>
              <w:rPr>
                <w:rFonts w:ascii="Georgia" w:cs="Georgia" w:eastAsia="Georgia" w:hAnsi="Georgia"/>
                <w:color w:val="252525"/>
                <w:sz w:val="17"/>
                <w:szCs w:val="17"/>
              </w:rPr>
              <w:t xml:space="preserve">—</w:t>
            </w:r>
          </w:p>
        </w:tc>
      </w:tr>
      <w:tr>
        <w:tc>
          <w:tcPr>
            <w:tcW w:type="dxa" w:w="28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SU(2)/SU(3) Born rule</w:t>
            </w:r>
          </w:p>
        </w:tc>
        <w:tc>
          <w:tcPr>
            <w:tcW w:type="dxa" w:w="22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OPEN</w:t>
            </w:r>
          </w:p>
        </w:tc>
        <w:tc>
          <w:tcPr>
            <w:tcW w:type="dxa" w:w="30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OPEN — quaternionic Hopf fibration S⁷→S⁴ for SU(2); BT point may provide mechanism.</w:t>
            </w:r>
          </w:p>
        </w:tc>
        <w:tc>
          <w:tcPr>
            <w:tcW w:type="dxa" w:w="1100"/>
            <w:tcBorders>
              <w:top w:val="single" w:color="AAAAAA" w:sz="1"/>
              <w:left w:val="single" w:color="AAAAAA" w:sz="1"/>
              <w:bottom w:val="single" w:color="AAAAAA" w:sz="1"/>
              <w:right w:val="single" w:color="AAAAAA" w:sz="1"/>
            </w:tcBorders>
            <w:shd w:fill="F4F4F4" w:val="clear"/>
            <w:tcMar>
              <w:top w:type="dxa" w:w="48"/>
              <w:left w:type="dxa" w:w="80"/>
              <w:bottom w:type="dxa" w:w="48"/>
              <w:right w:type="dxa" w:w="80"/>
            </w:tcMar>
          </w:tcPr>
          <w:p>
            <w:r>
              <w:rPr>
                <w:rFonts w:ascii="Georgia" w:cs="Georgia" w:eastAsia="Georgia" w:hAnsi="Georgia"/>
                <w:color w:val="252525"/>
                <w:sz w:val="17"/>
                <w:szCs w:val="17"/>
              </w:rPr>
              <w:t xml:space="preserve">A.7</w:t>
            </w:r>
          </w:p>
        </w:tc>
      </w:tr>
    </w:tbl>
    <w:p>
      <w:pPr>
        <w:spacing w:after="50" w:before="50"/>
      </w:pPr>
      <w:r>
        <w:rPr>
          <w:rFonts w:ascii="Georgia" w:cs="Georgia" w:eastAsia="Georgia" w:hAnsi="Georgia"/>
          <w:color w:val="252525"/>
          <w:sz w:val="21"/>
          <w:szCs w:val="21"/>
        </w:rPr>
        <w:t xml:space="preserve"/>
      </w:r>
    </w:p>
    <w:p>
      <w:pPr>
        <w:pBdr>
          <w:bottom w:val="single" w:color="CCCCCC" w:sz="4" w:space="1"/>
        </w:pBdr>
        <w:spacing w:after="110" w:before="110"/>
      </w:pPr>
      <w:r>
        <w:rPr>
          <w:rFonts w:ascii="Georgia" w:cs="Georgia" w:eastAsia="Georgia" w:hAnsi="Georgia"/>
          <w:color w:val="252525"/>
          <w:sz w:val="21"/>
          <w:szCs w:val="21"/>
        </w:rPr>
        <w:t xml:space="preserve"/>
      </w:r>
    </w:p>
    <w:p>
      <w:pPr>
        <w:spacing w:after="40" w:before="60"/>
        <w:jc w:val="center"/>
      </w:pPr>
      <w:r>
        <w:rPr>
          <w:rFonts w:ascii="Arial" w:cs="Arial" w:eastAsia="Arial" w:hAnsi="Arial"/>
          <w:i/>
          <w:iCs/>
          <w:color w:val="555555"/>
          <w:sz w:val="17"/>
          <w:szCs w:val="17"/>
        </w:rPr>
        <w:t xml:space="preserve">End of Addendum  |  Mindemann, M.  |  April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525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20"/>
      <w:outlineLvl w:val="1"/>
    </w:pPr>
    <w:rPr>
      <w:rFonts w:ascii="Arial" w:cs="Arial" w:eastAsia="Arial" w:hAnsi="Arial"/>
      <w:b/>
      <w:bCs/>
      <w:color w:val="2E75B6"/>
      <w:sz w:val="22"/>
      <w:szCs w:val="22"/>
    </w:rPr>
  </w:style>
  <w:style w:type="paragraph" w:styleId="Heading3">
    <w:name w:val="Heading 3"/>
    <w:basedOn w:val="Normal"/>
    <w:next w:val="Normal"/>
    <w:qFormat/>
    <w:pPr>
      <w:spacing w:after="60" w:before="160"/>
      <w:outlineLvl w:val="2"/>
    </w:pPr>
    <w:rPr>
      <w:rFonts w:ascii="Arial" w:cs="Arial" w:eastAsia="Arial" w:hAnsi="Arial"/>
      <w:i/>
      <w:iCs/>
      <w:color w:val="25252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2026-04-22T05:22:04.937Z</dcterms:created>
  <dcterms:modified xsi:type="dcterms:W3CDTF">2026-04-22T05:22:04.938Z</dcterms:modified>
</cp:coreProperties>
</file>

<file path=docProps/custom.xml><?xml version="1.0" encoding="utf-8"?>
<Properties xmlns="http://schemas.openxmlformats.org/officeDocument/2006/custom-properties" xmlns:vt="http://schemas.openxmlformats.org/officeDocument/2006/docPropsVTypes"/>
</file>