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F3864"/>
          <w:sz w:val="36"/>
          <w:szCs w:val="36"/>
        </w:rPr>
        <w:t xml:space="preserve">AGN Accretion Disk Variability as Activity-Resource Corridor Dynamics</w:t>
      </w:r>
    </w:p>
    <w:p>
      <w:pPr>
        <w:spacing w:after="60" w:before="0"/>
        <w:jc w:val="center"/>
      </w:pPr>
      <w:r>
        <w:rPr>
          <w:rFonts w:ascii="Arial" w:cs="Arial" w:eastAsia="Arial" w:hAnsi="Arial"/>
          <w:i/>
          <w:iCs/>
          <w:color w:val="2E75B6"/>
          <w:sz w:val="22"/>
          <w:szCs w:val="22"/>
        </w:rPr>
        <w:t xml:space="preserve">RST Interpretation of DHO Classes in 21,767 Quasars</w:t>
      </w:r>
    </w:p>
    <w:p>
      <w:pPr>
        <w:spacing w:after="300" w:before="0"/>
        <w:jc w:val="center"/>
      </w:pPr>
      <w:r>
        <w:rPr>
          <w:rFonts w:ascii="Arial" w:cs="Arial" w:eastAsia="Arial" w:hAnsi="Arial"/>
          <w:color w:val="555555"/>
          <w:sz w:val="18"/>
          <w:szCs w:val="18"/>
        </w:rPr>
        <w:t xml:space="preserve">Mindemann, M.  —  Independent Theoretical Research  —  April 2026  —  Working draft</w:t>
      </w:r>
    </w:p>
    <w:p>
      <w:pPr>
        <w:pBdr>
          <w:bottom w:val="single" w:color="CCCCCC" w:sz="4" w:space="1"/>
        </w:pBdr>
        <w:spacing w:after="110" w:before="110"/>
      </w:pPr>
      <w:r>
        <w:rPr>
          <w:rFonts w:ascii="Times New Roman" w:cs="Times New Roman" w:eastAsia="Times New Roman" w:hAnsi="Times New Roman"/>
          <w:color w:val="252525"/>
          <w:sz w:val="22"/>
          <w:szCs w:val="22"/>
        </w:rPr>
        <w:t xml:space="preserve"/>
      </w:r>
    </w:p>
    <w:p>
      <w:pPr>
        <w:spacing w:after="30" w:before="80"/>
      </w:pPr>
      <w:r>
        <w:rPr>
          <w:rFonts w:ascii="Arial" w:cs="Arial" w:eastAsia="Arial" w:hAnsi="Arial"/>
          <w:b/>
          <w:bCs/>
          <w:color w:val="1F3864"/>
          <w:sz w:val="20"/>
          <w:szCs w:val="20"/>
        </w:rPr>
        <w:t xml:space="preserve">Abstract</w:t>
      </w:r>
    </w:p>
    <w:p>
      <w:pPr>
        <w:spacing w:after="100" w:before="100"/>
        <w:jc w:val="both"/>
      </w:pPr>
      <w:r>
        <w:rPr>
          <w:rFonts w:ascii="Times New Roman" w:cs="Times New Roman" w:eastAsia="Times New Roman" w:hAnsi="Times New Roman"/>
          <w:color w:val="555555"/>
          <w:sz w:val="19"/>
          <w:szCs w:val="19"/>
        </w:rPr>
        <w:t xml:space="preserve">The damped harmonic oscillator (DHO/CARMA(2,1)) model for AGN UV/optical variability naturally emerges from the viability corridor framework of Recursive Substrate Theory (RST), in which any activity-resource system with two distinct failure boundaries (transcritical, TC; saddle-node, SN) generates exactly the PSD structure of a Class C DHO. We show that the three DHO classes identified by Yu et al. (2022, 2025) in 21,767 SDSS+PS1+ZTF quasars map onto the BT-sector structure of the RST framework: Class C (overdamped, ~75% of sample) = deep SN operation in Sector I; Class A (underdamped, QPO-like) = Hopf/PF sector oscillatory inheritance class; Class B (intermediate) = transition region near the codimension-2 BT point. The two-Lorentzian PSD of Class C DHOs is identified as the direct signature of the two-boundary corridor architecture: the LF Lorentzian (peaking at 1/τ_decay) encodes TC-boundary approach dynamics; the HF Lorentzian (peaking at 1/τ_rise) encodes SN-cascade dynamics; and the dip at 1/τ_perturb marks the corridor switching frequency. All four empirical correlations of DHO parameters with M_BH in Yu et al. (2025) are explained by a single RST mechanism — increasing BH mass corresponds to deeper SN corridor embedding — and three receive quantitative support from published coefficients. In particular, the strongest correlation in Yu et al. (2025), τ_perturb ∝ M_BH^{−0.405±0.020}, is predicted by RST as measuring the TC boundary curvature, which sharpens as systems move deeper into the SN well. The near-zero MBH slope of τ_decay is predicted as a consequence of the universal corridor center at μ* = 4, independent of system-specific parameters. We make three falsifiable predictions requiring the raw parameter catalogs: (1) ξ increases with M_BH; (2) Class C fraction increases with M_BH; (3) τ_decay/τ_rise ≈ 1 at the typical corridor center, with deviation measuring displacement from μ* = 4.</w:t>
      </w:r>
    </w:p>
    <w:p>
      <w:pPr>
        <w:spacing w:after="50" w:before="50"/>
      </w:pPr>
      <w:r>
        <w:rPr>
          <w:rFonts w:ascii="Times New Roman" w:cs="Times New Roman" w:eastAsia="Times New Roman" w:hAnsi="Times New Roman"/>
          <w:color w:val="252525"/>
          <w:sz w:val="22"/>
          <w:szCs w:val="22"/>
        </w:rPr>
        <w:t xml:space="preserve"/>
      </w:r>
    </w:p>
    <w:p>
      <w:pPr>
        <w:pStyle w:val="Heading1"/>
        <w:spacing w:after="110" w:before="320"/>
      </w:pPr>
      <w:r>
        <w:rPr>
          <w:rFonts w:ascii="Arial" w:cs="Arial" w:eastAsia="Arial" w:hAnsi="Arial"/>
          <w:b/>
          <w:bCs/>
          <w:color w:val="1F3864"/>
          <w:sz w:val="25"/>
          <w:szCs w:val="25"/>
        </w:rPr>
        <w:t xml:space="preserve">1.  Introduction</w:t>
      </w:r>
    </w:p>
    <w:p>
      <w:pPr>
        <w:spacing w:after="100" w:before="100"/>
        <w:jc w:val="both"/>
      </w:pPr>
      <w:r>
        <w:rPr>
          <w:rFonts w:ascii="Times New Roman" w:cs="Times New Roman" w:eastAsia="Times New Roman" w:hAnsi="Times New Roman"/>
          <w:color w:val="252525"/>
          <w:sz w:val="22"/>
          <w:szCs w:val="22"/>
        </w:rPr>
        <w:t xml:space="preserve">The UV/optical variability of active galactic nuclei (AGN) encodes the dynamics of accretion onto supermassive black holes (SMBHs). Two decades of time-domain surveys have established that this variability, characterized by stochastic fluctuations on timescales from days to decades, contains information about the physical processes driving accretion. Yu et al. (2022, hereafter Y22) demonstrated that a damped harmonic oscillator (DHO/CARMA(2,1)) model provides a richer description of AGN variability than the previously standard damped random walk (DRW), revealing two distinct variability timescales — a long-term decay and a short-term perturbation — that correlate differently with quasar physical properties. Yu et al. (2025, hereafter Y25) extended this analysis to 21,767 quasars with 22-year baselines from SDSS, Pan-STARRS, and ZTF, firmly establishing these correlations and discovering that the DHO population naturally clusters into three classes (A, B, C) with distinct power spectral density (PSD) shapes.</w:t>
      </w:r>
    </w:p>
    <w:p>
      <w:pPr>
        <w:spacing w:after="100" w:before="100"/>
        <w:jc w:val="both"/>
      </w:pPr>
      <w:r>
        <w:rPr>
          <w:rFonts w:ascii="Times New Roman" w:cs="Times New Roman" w:eastAsia="Times New Roman" w:hAnsi="Times New Roman"/>
          <w:color w:val="252525"/>
          <w:sz w:val="22"/>
          <w:szCs w:val="22"/>
        </w:rPr>
        <w:t xml:space="preserve">What has been missing is a theoretical framework explaining why the DHO model should describe AGN variability at all, and why the specific parameter correlations take the forms they do. The standard interpretation of the two DHO timescales — propagating accretion rate fluctuations (long-term) and X-ray corona reprocessing (short-term) — identifies physical processes but does not derive the observed statistical structure of the DHO PSD from first principles.</w:t>
      </w:r>
    </w:p>
    <w:p>
      <w:pPr>
        <w:spacing w:after="100" w:before="100"/>
        <w:jc w:val="both"/>
      </w:pPr>
      <w:r>
        <w:rPr>
          <w:rFonts w:ascii="Times New Roman" w:cs="Times New Roman" w:eastAsia="Times New Roman" w:hAnsi="Times New Roman"/>
          <w:color w:val="252525"/>
          <w:sz w:val="22"/>
          <w:szCs w:val="22"/>
        </w:rPr>
        <w:t xml:space="preserve">We show here that the Recursive Substrate Theory (RST) viability corridor framework provides this derivation. RST describes systems that persist between two qualitatively distinct failure modes — a transcritical (TC) boundary corresponding to activity starvation and a saddle-node (SN) boundary corresponding to activity cascade. Any such system, when subject to stochastic noise, has a characteristic stochastic differential equation that is exactly the DHO SDE of Moreno et al. (2019) and Yu et al. (2022). The DHO is not merely a useful fitting function for AGN variability; it is the minimal sufficient stochastic descriptor of any activity-resource corridor.</w:t>
      </w:r>
    </w:p>
    <w:p>
      <w:pPr>
        <w:spacing w:after="100" w:before="100"/>
        <w:jc w:val="both"/>
      </w:pPr>
      <w:r>
        <w:rPr>
          <w:rFonts w:ascii="Times New Roman" w:cs="Times New Roman" w:eastAsia="Times New Roman" w:hAnsi="Times New Roman"/>
          <w:color w:val="252525"/>
          <w:sz w:val="22"/>
          <w:szCs w:val="22"/>
        </w:rPr>
        <w:t xml:space="preserve">This identification has four consequences. First, the three DHO classes (A, B, C) are not empirical clusters but correspond to the three inheritance classes (Hopf/PF, BT-transition, TC-SN) of the RST framework. Second, the two-Lorentzian PSD of Class C DHOs is the direct PSD signature of the two-boundary corridor architecture. Third, all four empirical correlations of DHO parameters with M_BH in Y25 are explained by a single corridor-depth mechanism. Fourth, three predictions follow that were not tested by Y22 or Y25 and are falsifiable against the published (but not yet publicly released) parameter catalogs.</w:t>
      </w:r>
    </w:p>
    <w:p>
      <w:pPr>
        <w:spacing w:after="50" w:before="50"/>
      </w:pPr>
      <w:r>
        <w:rPr>
          <w:rFonts w:ascii="Times New Roman" w:cs="Times New Roman" w:eastAsia="Times New Roman" w:hAnsi="Times New Roman"/>
          <w:color w:val="252525"/>
          <w:sz w:val="22"/>
          <w:szCs w:val="22"/>
        </w:rPr>
        <w:t xml:space="preserve"/>
      </w:r>
    </w:p>
    <w:p>
      <w:pPr>
        <w:pStyle w:val="Heading1"/>
        <w:spacing w:after="110" w:before="320"/>
      </w:pPr>
      <w:r>
        <w:rPr>
          <w:rFonts w:ascii="Arial" w:cs="Arial" w:eastAsia="Arial" w:hAnsi="Arial"/>
          <w:b/>
          <w:bCs/>
          <w:color w:val="1F3864"/>
          <w:sz w:val="25"/>
          <w:szCs w:val="25"/>
        </w:rPr>
        <w:t xml:space="preserve">2.  The RST Framework: Activity-Resource Corridors</w:t>
      </w:r>
    </w:p>
    <w:p>
      <w:pPr>
        <w:spacing w:after="100" w:before="100"/>
        <w:jc w:val="both"/>
      </w:pPr>
      <w:r>
        <w:rPr>
          <w:rFonts w:ascii="Times New Roman" w:cs="Times New Roman" w:eastAsia="Times New Roman" w:hAnsi="Times New Roman"/>
          <w:color w:val="252525"/>
          <w:sz w:val="22"/>
          <w:szCs w:val="22"/>
        </w:rPr>
        <w:t xml:space="preserve">We summarize the corridor framework to the extent needed for the DHO identification. Full derivations are in the companion Technical Summary document (Mindemann 2026).</w:t>
      </w:r>
    </w:p>
    <w:p>
      <w:pPr>
        <w:spacing w:after="50" w:before="50"/>
      </w:pPr>
      <w:r>
        <w:rPr>
          <w:rFonts w:ascii="Times New Roman" w:cs="Times New Roman" w:eastAsia="Times New Roman" w:hAnsi="Times New Roman"/>
          <w:color w:val="252525"/>
          <w:sz w:val="22"/>
          <w:szCs w:val="22"/>
        </w:rPr>
        <w:t xml:space="preserve"/>
      </w:r>
    </w:p>
    <w:p>
      <w:pPr>
        <w:pStyle w:val="Heading2"/>
        <w:spacing w:after="80" w:before="220"/>
      </w:pPr>
      <w:r>
        <w:rPr>
          <w:rFonts w:ascii="Arial" w:cs="Arial" w:eastAsia="Arial" w:hAnsi="Arial"/>
          <w:b/>
          <w:bCs/>
          <w:color w:val="2E75B6"/>
          <w:sz w:val="21"/>
          <w:szCs w:val="21"/>
        </w:rPr>
        <w:t xml:space="preserve">2.1  The minimal activity-resource system</w:t>
      </w:r>
    </w:p>
    <w:p>
      <w:pPr>
        <w:spacing w:after="100" w:before="100"/>
        <w:jc w:val="both"/>
      </w:pPr>
      <w:r>
        <w:rPr>
          <w:rFonts w:ascii="Times New Roman" w:cs="Times New Roman" w:eastAsia="Times New Roman" w:hAnsi="Times New Roman"/>
          <w:color w:val="252525"/>
          <w:sz w:val="22"/>
          <w:szCs w:val="22"/>
        </w:rPr>
        <w:t xml:space="preserve">Consider a system with a single activity variable A and a single resource variable R. The minimal model with two distinct failure modes is the one-dimensional Fokker-Planck system whose drift corresponds to the transcritical (TC) normal form: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none" w:color="FFFFFF" w:sz="0"/>
              <w:left w:val="none" w:color="FFFFFF" w:sz="0"/>
              <w:bottom w:val="none" w:color="FFFFFF" w:sz="0"/>
              <w:right w:val="none" w:color="FFFFFF" w:sz="0"/>
            </w:tcBorders>
            <w:shd w:fill="F4F4F4" w:val="clear"/>
            <w:tcMar>
              <w:top w:type="dxa" w:w="80"/>
              <w:left w:type="dxa" w:w="280"/>
              <w:bottom w:type="dxa" w:w="80"/>
              <w:right w:type="dxa" w:w="280"/>
            </w:tcMar>
          </w:tcPr>
          <w:p>
            <w:pPr>
              <w:spacing w:after="24" w:before="24"/>
              <w:jc w:val="center"/>
            </w:pPr>
            <w:r>
              <w:rPr>
                <w:rFonts w:ascii="Courier New" w:cs="Courier New" w:eastAsia="Courier New" w:hAnsi="Courier New"/>
                <w:color w:val="252525"/>
                <w:sz w:val="20"/>
                <w:szCs w:val="20"/>
              </w:rPr>
              <w:t xml:space="preserve">ẋ = μx − x²  +  √(2D) η(t)</w:t>
            </w:r>
          </w:p>
        </w:tc>
      </w:tr>
    </w:tbl>
    <w:p>
      <w:pPr>
        <w:spacing w:after="100" w:before="100"/>
        <w:jc w:val="both"/>
      </w:pPr>
      <w:r>
        <w:rPr>
          <w:rFonts w:ascii="Times New Roman" w:cs="Times New Roman" w:eastAsia="Times New Roman" w:hAnsi="Times New Roman"/>
          <w:color w:val="252525"/>
          <w:sz w:val="22"/>
          <w:szCs w:val="22"/>
        </w:rPr>
        <w:t xml:space="preserve">where x is the normalized activity (A/A₀), μ &gt; 0 is the control parameter (resource availability), D is the noise amplitude, and η(t) is Gaussian white noise. This SDE has two fixed points: a trivial absorbing state at x = 0 (TC boundary — activity starvation) and an active state at x = μ (the operating point). The system fails via starvation when driven below x = 0 (transcritical crossing) and via cascade when amplified above x ≈ 4μ (saddle-node — the active state annihilates above this threshold). The corridor is the interval [0, μ_SN].</w:t>
      </w:r>
    </w:p>
    <w:p>
      <w:pPr>
        <w:spacing w:after="50" w:before="50"/>
      </w:pPr>
      <w:r>
        <w:rPr>
          <w:rFonts w:ascii="Times New Roman" w:cs="Times New Roman" w:eastAsia="Times New Roman" w:hAnsi="Times New Roman"/>
          <w:color w:val="252525"/>
          <w:sz w:val="22"/>
          <w:szCs w:val="22"/>
        </w:rPr>
        <w:t xml:space="preserve"/>
      </w:r>
    </w:p>
    <w:p>
      <w:pPr>
        <w:pStyle w:val="Heading2"/>
        <w:spacing w:after="80" w:before="220"/>
      </w:pPr>
      <w:r>
        <w:rPr>
          <w:rFonts w:ascii="Arial" w:cs="Arial" w:eastAsia="Arial" w:hAnsi="Arial"/>
          <w:b/>
          <w:bCs/>
          <w:color w:val="2E75B6"/>
          <w:sz w:val="21"/>
          <w:szCs w:val="21"/>
        </w:rPr>
        <w:t xml:space="preserve">2.2  Connection to the DHO SDE</w:t>
      </w:r>
    </w:p>
    <w:p>
      <w:pPr>
        <w:spacing w:after="100" w:before="100"/>
        <w:jc w:val="both"/>
      </w:pPr>
      <w:r>
        <w:rPr>
          <w:rFonts w:ascii="Times New Roman" w:cs="Times New Roman" w:eastAsia="Times New Roman" w:hAnsi="Times New Roman"/>
          <w:color w:val="252525"/>
          <w:sz w:val="22"/>
          <w:szCs w:val="22"/>
        </w:rPr>
        <w:t xml:space="preserve">Moreno et al. (2019) define the DHO as the solution to: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none" w:color="FFFFFF" w:sz="0"/>
              <w:left w:val="none" w:color="FFFFFF" w:sz="0"/>
              <w:bottom w:val="none" w:color="FFFFFF" w:sz="0"/>
              <w:right w:val="none" w:color="FFFFFF" w:sz="0"/>
            </w:tcBorders>
            <w:shd w:fill="F4F4F4" w:val="clear"/>
            <w:tcMar>
              <w:top w:type="dxa" w:w="80"/>
              <w:left w:type="dxa" w:w="280"/>
              <w:bottom w:type="dxa" w:w="80"/>
              <w:right w:type="dxa" w:w="280"/>
            </w:tcMar>
          </w:tcPr>
          <w:p>
            <w:pPr>
              <w:spacing w:after="24" w:before="24"/>
              <w:jc w:val="center"/>
            </w:pPr>
            <w:r>
              <w:rPr>
                <w:rFonts w:ascii="Courier New" w:cs="Courier New" w:eastAsia="Courier New" w:hAnsi="Courier New"/>
                <w:color w:val="252525"/>
                <w:sz w:val="20"/>
                <w:szCs w:val="20"/>
              </w:rPr>
              <w:t xml:space="preserve">d²x + 2ξω₀d¹x + ω₀²x  =  σ_ε ε(t) + τ_perturb σ_ε d¹(ε(t))</w:t>
            </w:r>
          </w:p>
        </w:tc>
      </w:tr>
    </w:tbl>
    <w:p>
      <w:pPr>
        <w:spacing w:after="100" w:before="100"/>
        <w:jc w:val="both"/>
      </w:pPr>
      <w:r>
        <w:rPr>
          <w:rFonts w:ascii="Times New Roman" w:cs="Times New Roman" w:eastAsia="Times New Roman" w:hAnsi="Times New Roman"/>
          <w:color w:val="252525"/>
          <w:sz w:val="22"/>
          <w:szCs w:val="22"/>
        </w:rPr>
        <w:t xml:space="preserve">The LHS of this SDE is the response of a damped oscillator with natural frequency ω₀ and damping ratio ξ. The RHS is a colored noise source with amplitude σ_ε and characteristic timescale τ_perturb.</w:t>
      </w:r>
    </w:p>
    <w:p>
      <w:pPr>
        <w:spacing w:after="100" w:before="100"/>
        <w:jc w:val="both"/>
      </w:pPr>
      <w:r>
        <w:rPr>
          <w:rFonts w:ascii="Times New Roman" w:cs="Times New Roman" w:eastAsia="Times New Roman" w:hAnsi="Times New Roman"/>
          <w:color w:val="252525"/>
          <w:sz w:val="22"/>
          <w:szCs w:val="22"/>
        </w:rPr>
        <w:t xml:space="preserve">The connection to the corridor SDE is not coincidental. The Fokker-Planck equation for the linearized corridor dynamics near the operating point x* = μ produces, via center manifold reduction, exactly a second-order stochastic equation with: (1) an underdamped or overdamped response character depending on the noise level relative to the barrier heights; (2) two characteristic timescales corresponding to the TC and SN approach frequencies; (3) a colored noise forcing term whose timescale encodes the TC boundary curvature. The DHO is the CARMA(2,1) projection of the corridor dynamics onto observable magnitude variations.</w:t>
      </w:r>
    </w:p>
    <w:p>
      <w:pPr>
        <w:spacing w:after="50" w:before="50"/>
      </w:pPr>
      <w:r>
        <w:rPr>
          <w:rFonts w:ascii="Times New Roman" w:cs="Times New Roman" w:eastAsia="Times New Roman" w:hAnsi="Times New Roman"/>
          <w:color w:val="252525"/>
          <w:sz w:val="22"/>
          <w:szCs w:val="22"/>
        </w:rPr>
        <w:t xml:space="preserve"/>
      </w:r>
    </w:p>
    <w:p>
      <w:pPr>
        <w:pStyle w:val="Heading2"/>
        <w:spacing w:after="80" w:before="220"/>
      </w:pPr>
      <w:r>
        <w:rPr>
          <w:rFonts w:ascii="Arial" w:cs="Arial" w:eastAsia="Arial" w:hAnsi="Arial"/>
          <w:b/>
          <w:bCs/>
          <w:color w:val="2E75B6"/>
          <w:sz w:val="21"/>
          <w:szCs w:val="21"/>
        </w:rPr>
        <w:t xml:space="preserve">2.3  The three sector classes</w:t>
      </w:r>
    </w:p>
    <w:p>
      <w:pPr>
        <w:spacing w:after="100" w:before="100"/>
        <w:jc w:val="both"/>
      </w:pPr>
      <w:r>
        <w:rPr>
          <w:rFonts w:ascii="Times New Roman" w:cs="Times New Roman" w:eastAsia="Times New Roman" w:hAnsi="Times New Roman"/>
          <w:color w:val="252525"/>
          <w:sz w:val="22"/>
          <w:szCs w:val="22"/>
        </w:rPr>
        <w:t xml:space="preserve">The RST framework identifies three inheritance classes based on the boundary type encountered at each hierarchical transition:</w:t>
      </w:r>
    </w:p>
    <w:p>
      <w:pPr>
        <w:spacing w:after="80" w:before="80"/>
        <w:ind w:left="440"/>
      </w:pPr>
      <w:r>
        <w:rPr>
          <w:rFonts w:ascii="Times New Roman" w:cs="Times New Roman" w:eastAsia="Times New Roman" w:hAnsi="Times New Roman"/>
          <w:i/>
          <w:iCs/>
          <w:color w:val="252525"/>
          <w:sz w:val="22"/>
          <w:szCs w:val="22"/>
        </w:rPr>
        <w:t xml:space="preserve">TC class (transcritical): </w:t>
      </w:r>
      <w:r>
        <w:rPr>
          <w:rFonts w:ascii="Times New Roman" w:cs="Times New Roman" w:eastAsia="Times New Roman" w:hAnsi="Times New Roman"/>
          <w:color w:val="252525"/>
          <w:sz w:val="22"/>
          <w:szCs w:val="22"/>
        </w:rPr>
        <w:t xml:space="preserve">asymmetric continuous transition. Exponent 1/3. Represented by systems near but inside the starvation boundary.</w:t>
      </w:r>
    </w:p>
    <w:p>
      <w:pPr>
        <w:spacing w:after="80" w:before="80"/>
        <w:ind w:left="440"/>
      </w:pPr>
      <w:r>
        <w:rPr>
          <w:rFonts w:ascii="Times New Roman" w:cs="Times New Roman" w:eastAsia="Times New Roman" w:hAnsi="Times New Roman"/>
          <w:i/>
          <w:iCs/>
          <w:color w:val="252525"/>
          <w:sz w:val="22"/>
          <w:szCs w:val="22"/>
        </w:rPr>
        <w:t xml:space="preserve">PF/Hopf class (pitchfork/Hopf bifurcation): </w:t>
      </w:r>
      <w:r>
        <w:rPr>
          <w:rFonts w:ascii="Times New Roman" w:cs="Times New Roman" w:eastAsia="Times New Roman" w:hAnsi="Times New Roman"/>
          <w:color w:val="252525"/>
          <w:sz w:val="22"/>
          <w:szCs w:val="22"/>
        </w:rPr>
        <w:t xml:space="preserve">symmetric continuous transition. Exponent 1/2. Represented by systems with oscillatory inheritance character near the TC boundary.</w:t>
      </w:r>
    </w:p>
    <w:p>
      <w:pPr>
        <w:spacing w:after="80" w:before="80"/>
        <w:ind w:left="440"/>
      </w:pPr>
      <w:r>
        <w:rPr>
          <w:rFonts w:ascii="Times New Roman" w:cs="Times New Roman" w:eastAsia="Times New Roman" w:hAnsi="Times New Roman"/>
          <w:i/>
          <w:iCs/>
          <w:color w:val="252525"/>
          <w:sz w:val="22"/>
          <w:szCs w:val="22"/>
        </w:rPr>
        <w:t xml:space="preserve">SN class (saddle-node): </w:t>
      </w:r>
      <w:r>
        <w:rPr>
          <w:rFonts w:ascii="Times New Roman" w:cs="Times New Roman" w:eastAsia="Times New Roman" w:hAnsi="Times New Roman"/>
          <w:color w:val="252525"/>
          <w:sz w:val="22"/>
          <w:szCs w:val="22"/>
        </w:rPr>
        <w:t xml:space="preserve">discontinuous fold transition. Exponent 2/3. Represented by systems in deep SN operation, far from the TC boundary.</w:t>
      </w:r>
    </w:p>
    <w:p>
      <w:pPr>
        <w:spacing w:after="100" w:before="100"/>
        <w:jc w:val="both"/>
      </w:pPr>
      <w:r>
        <w:rPr>
          <w:rFonts w:ascii="Times New Roman" w:cs="Times New Roman" w:eastAsia="Times New Roman" w:hAnsi="Times New Roman"/>
          <w:color w:val="252525"/>
          <w:sz w:val="22"/>
          <w:szCs w:val="22"/>
        </w:rPr>
        <w:t xml:space="preserve">The codimension-2 Bogdanov-Takens (BT) point is where TC and Hopf boundaries meet. It organizes transitions between inheritance classes and divides the parameter space into four sectors. Systems in Sector I (between TC and Hopf-TC boundaries, far from the Hopf boundary) exhibit deep SN character — overdamped response, high barrier ratio DV_SN/DV_TC, low noise-driven activity. Systems in Sector II-III (near the Hopf boundary) exhibit oscillatory character. Systems transitioning between sectors pass through the BT point.</w:t>
      </w:r>
    </w:p>
    <w:p>
      <w:pPr>
        <w:spacing w:after="50" w:before="50"/>
      </w:pPr>
      <w:r>
        <w:rPr>
          <w:rFonts w:ascii="Times New Roman" w:cs="Times New Roman" w:eastAsia="Times New Roman" w:hAnsi="Times New Roman"/>
          <w:color w:val="252525"/>
          <w:sz w:val="22"/>
          <w:szCs w:val="22"/>
        </w:rPr>
        <w:t xml:space="preserve"/>
      </w:r>
    </w:p>
    <w:p>
      <w:pPr>
        <w:pStyle w:val="Heading1"/>
        <w:spacing w:after="110" w:before="320"/>
      </w:pPr>
      <w:r>
        <w:rPr>
          <w:rFonts w:ascii="Arial" w:cs="Arial" w:eastAsia="Arial" w:hAnsi="Arial"/>
          <w:b/>
          <w:bCs/>
          <w:color w:val="1F3864"/>
          <w:sz w:val="25"/>
          <w:szCs w:val="25"/>
        </w:rPr>
        <w:t xml:space="preserve">3.  DHO Classes as BT Sector Maps</w:t>
      </w:r>
    </w:p>
    <w:p>
      <w:pPr>
        <w:spacing w:after="100" w:before="100"/>
        <w:jc w:val="both"/>
      </w:pPr>
      <w:r>
        <w:rPr>
          <w:rFonts w:ascii="Times New Roman" w:cs="Times New Roman" w:eastAsia="Times New Roman" w:hAnsi="Times New Roman"/>
          <w:color w:val="252525"/>
          <w:sz w:val="22"/>
          <w:szCs w:val="22"/>
        </w:rPr>
        <w:t xml:space="preserve">Figure 5 of Y25 shows the distribution of 2,888 clean g-band DHO fits in the ξ–ω₀ parameter space. Two main clusters are visible: an overdamped cluster (log ξ &gt; 0) and an underdamped cluster (log ξ &lt; 0), separated by the vertical line at ξ = 1. Y25 defines three classes: Class C (overdamped, ξ &gt; 1, ~75%), Class A (underdamped QPO-like, ξ &lt; 0.5), and Class B (intermediate). We identify these as the RST sector map:</w:t>
      </w:r>
    </w:p>
    <w:p>
      <w:pPr>
        <w:spacing w:after="50" w:before="50"/>
      </w:pPr>
      <w:r>
        <w:rPr>
          <w:rFonts w:ascii="Times New Roman" w:cs="Times New Roman" w:eastAsia="Times New Roman" w:hAnsi="Times New Roman"/>
          <w:color w:val="252525"/>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700"/>
      </w:tblGrid>
      <w:tr>
        <w:tc>
          <w:tcPr>
            <w:tcW w:type="dxa" w:w="22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7"/>
                <w:szCs w:val="17"/>
              </w:rPr>
              <w:t xml:space="preserve">DHO Class</w:t>
            </w:r>
          </w:p>
        </w:tc>
        <w:tc>
          <w:tcPr>
            <w:tcW w:type="dxa" w:w="21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7"/>
                <w:szCs w:val="17"/>
              </w:rPr>
              <w:t xml:space="preserve">DHO signature</w:t>
            </w:r>
          </w:p>
        </w:tc>
        <w:tc>
          <w:tcPr>
            <w:tcW w:type="dxa" w:w="21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7"/>
                <w:szCs w:val="17"/>
              </w:rPr>
              <w:t xml:space="preserve">RST identification</w:t>
            </w:r>
          </w:p>
        </w:tc>
        <w:tc>
          <w:tcPr>
            <w:tcW w:type="dxa" w:w="27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7"/>
                <w:szCs w:val="17"/>
              </w:rPr>
              <w:t xml:space="preserve">Physical meaning</w:t>
            </w:r>
          </w:p>
        </w:tc>
      </w:tr>
      <w:tr>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Class C</w:t>
            </w:r>
          </w:p>
        </w:tc>
        <w:tc>
          <w:tcPr>
            <w:tcW w:type="dxa" w:w="2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ξ &gt; 1, overdamped
Flat SF (γ &lt; 0.5)
Two-Lorentzian PSD
~75% of sample</w:t>
            </w:r>
          </w:p>
        </w:tc>
        <w:tc>
          <w:tcPr>
            <w:tcW w:type="dxa" w:w="2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Sector I: deep SN operation
TC boundary far from x*
Φ = DV_SN/DV_TC &gt;&gt; 1</w:t>
            </w:r>
          </w:p>
        </w:tc>
        <w:tc>
          <w:tcPr>
            <w:tcW w:type="dxa" w:w="2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Normal AGN accretion state
Disk-corona = TC-SN corridor
System far from starvation</w:t>
            </w:r>
          </w:p>
        </w:tc>
      </w:tr>
      <w:tr>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Class A</w:t>
            </w:r>
          </w:p>
        </w:tc>
        <w:tc>
          <w:tcPr>
            <w:tcW w:type="dxa" w:w="2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ξ &lt; 0.5, underdamped
Steep SF (γ &gt; 0.5)
Narrow + broad Lorentzian
QPO-like oscillation
~12% of sample</w:t>
            </w:r>
          </w:p>
        </w:tc>
        <w:tc>
          <w:tcPr>
            <w:tcW w:type="dxa" w:w="2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Hopf/PF sector
TC and Hopf boundaries close
Oscillatory inheritance class</w:t>
            </w:r>
          </w:p>
        </w:tc>
        <w:tc>
          <w:tcPr>
            <w:tcW w:type="dxa" w:w="27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SMBH binary candidates
Lense-Thirring precession
System near oscillatory transition</w:t>
            </w:r>
          </w:p>
        </w:tc>
      </w:tr>
      <w:tr>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Class B</w:t>
            </w:r>
          </w:p>
        </w:tc>
        <w:tc>
          <w:tcPr>
            <w:tcW w:type="dxa" w:w="2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0.5 &lt; ξ &lt; 1, intermediate
Steep SF (γ &gt; 0.5)
PSD not two-Lorentzian
~13% of sample</w:t>
            </w:r>
          </w:p>
        </w:tc>
        <w:tc>
          <w:tcPr>
            <w:tcW w:type="dxa" w:w="2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BT transition region
Near codimension-2 BT point
Mixed TC/Hopf character</w:t>
            </w:r>
          </w:p>
        </w:tc>
        <w:tc>
          <w:tcPr>
            <w:tcW w:type="dxa" w:w="27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Changing-state quasars?
Extreme accretion episodes?
System traversing sector boundary</w:t>
            </w:r>
          </w:p>
        </w:tc>
      </w:tr>
    </w:tbl>
    <w:p>
      <w:pPr>
        <w:spacing w:after="50" w:before="50"/>
      </w:pPr>
      <w:r>
        <w:rPr>
          <w:rFonts w:ascii="Times New Roman" w:cs="Times New Roman" w:eastAsia="Times New Roman" w:hAnsi="Times New Roman"/>
          <w:color w:val="252525"/>
          <w:sz w:val="22"/>
          <w:szCs w:val="22"/>
        </w:rPr>
        <w:t xml:space="preserve"/>
      </w:r>
    </w:p>
    <w:p>
      <w:pPr>
        <w:spacing w:after="100" w:before="100"/>
        <w:jc w:val="both"/>
      </w:pPr>
      <w:r>
        <w:rPr>
          <w:rFonts w:ascii="Times New Roman" w:cs="Times New Roman" w:eastAsia="Times New Roman" w:hAnsi="Times New Roman"/>
          <w:color w:val="555555"/>
          <w:sz w:val="19"/>
          <w:szCs w:val="19"/>
        </w:rPr>
        <w:t xml:space="preserve">Note: Y25 did not analyze ξ correlations with physical properties due to classification reliability concerns for underdamped DHOs. The sector map identification above rests on the ξ-ω₀ distribution structure (Figure 5 of Y25), not individual ξ measurements.</w:t>
      </w:r>
    </w:p>
    <w:p>
      <w:pPr>
        <w:spacing w:after="50" w:before="50"/>
      </w:pPr>
      <w:r>
        <w:rPr>
          <w:rFonts w:ascii="Times New Roman" w:cs="Times New Roman" w:eastAsia="Times New Roman" w:hAnsi="Times New Roman"/>
          <w:color w:val="252525"/>
          <w:sz w:val="22"/>
          <w:szCs w:val="22"/>
        </w:rPr>
        <w:t xml:space="preserve"/>
      </w:r>
    </w:p>
    <w:p>
      <w:pPr>
        <w:pStyle w:val="Heading2"/>
        <w:spacing w:after="80" w:before="220"/>
      </w:pPr>
      <w:r>
        <w:rPr>
          <w:rFonts w:ascii="Arial" w:cs="Arial" w:eastAsia="Arial" w:hAnsi="Arial"/>
          <w:b/>
          <w:bCs/>
          <w:color w:val="2E75B6"/>
          <w:sz w:val="21"/>
          <w:szCs w:val="21"/>
        </w:rPr>
        <w:t xml:space="preserve">3.1  The two-Lorentzian PSD of Class C as corridor architecture</w:t>
      </w:r>
    </w:p>
    <w:p>
      <w:pPr>
        <w:spacing w:after="100" w:before="100"/>
        <w:jc w:val="both"/>
      </w:pPr>
      <w:r>
        <w:rPr>
          <w:rFonts w:ascii="Times New Roman" w:cs="Times New Roman" w:eastAsia="Times New Roman" w:hAnsi="Times New Roman"/>
          <w:color w:val="252525"/>
          <w:sz w:val="22"/>
          <w:szCs w:val="22"/>
        </w:rPr>
        <w:t xml:space="preserve">The most direct structural signature of RST in the Y25 data is the two-Lorentzian PSD of Class C DHOs (Figure 6, bottom left panel of Y25). Y25 finds:</w:t>
      </w:r>
    </w:p>
    <w:p>
      <w:pPr>
        <w:spacing w:after="80" w:before="80"/>
        <w:ind w:left="440"/>
      </w:pPr>
      <w:r>
        <w:rPr>
          <w:rFonts w:ascii="Times New Roman" w:cs="Times New Roman" w:eastAsia="Times New Roman" w:hAnsi="Times New Roman"/>
          <w:i/>
          <w:iCs/>
          <w:color w:val="252525"/>
          <w:sz w:val="22"/>
          <w:szCs w:val="22"/>
        </w:rPr>
        <w:t xml:space="preserve">Low-frequency (LF) Lorentzian: </w:t>
      </w:r>
      <w:r>
        <w:rPr>
          <w:rFonts w:ascii="Times New Roman" w:cs="Times New Roman" w:eastAsia="Times New Roman" w:hAnsi="Times New Roman"/>
          <w:color w:val="252525"/>
          <w:sz w:val="22"/>
          <w:szCs w:val="22"/>
        </w:rPr>
        <w:t xml:space="preserve">peaks at 1/τ_decay. Y25 interpretation: propagating accretion rate fluctuations in the disk. RST identification: TC boundary approach frequency ω₊ — the rate at which disk activity explores toward the starvation boundary.</w:t>
      </w:r>
    </w:p>
    <w:p>
      <w:pPr>
        <w:spacing w:after="80" w:before="80"/>
        <w:ind w:left="440"/>
      </w:pPr>
      <w:r>
        <w:rPr>
          <w:rFonts w:ascii="Times New Roman" w:cs="Times New Roman" w:eastAsia="Times New Roman" w:hAnsi="Times New Roman"/>
          <w:i/>
          <w:iCs/>
          <w:color w:val="252525"/>
          <w:sz w:val="22"/>
          <w:szCs w:val="22"/>
        </w:rPr>
        <w:t xml:space="preserve">High-frequency (HF) Lorentzian: </w:t>
      </w:r>
      <w:r>
        <w:rPr>
          <w:rFonts w:ascii="Times New Roman" w:cs="Times New Roman" w:eastAsia="Times New Roman" w:hAnsi="Times New Roman"/>
          <w:color w:val="252525"/>
          <w:sz w:val="22"/>
          <w:szCs w:val="22"/>
        </w:rPr>
        <w:t xml:space="preserve">peaks at 1/τ_rise. Y25 interpretation: X-ray corona reprocessing. RST identification: SN cascade response frequency ω₋ — the rate at which the inner hot flow executes excursions toward the cascade boundary.</w:t>
      </w:r>
    </w:p>
    <w:p>
      <w:pPr>
        <w:spacing w:after="80" w:before="80"/>
        <w:ind w:left="440"/>
      </w:pPr>
      <w:r>
        <w:rPr>
          <w:rFonts w:ascii="Times New Roman" w:cs="Times New Roman" w:eastAsia="Times New Roman" w:hAnsi="Times New Roman"/>
          <w:i/>
          <w:iCs/>
          <w:color w:val="252525"/>
          <w:sz w:val="22"/>
          <w:szCs w:val="22"/>
        </w:rPr>
        <w:t xml:space="preserve">Dip between peaks at 1/τ_perturb: </w:t>
      </w:r>
      <w:r>
        <w:rPr>
          <w:rFonts w:ascii="Times New Roman" w:cs="Times New Roman" w:eastAsia="Times New Roman" w:hAnsi="Times New Roman"/>
          <w:color w:val="252525"/>
          <w:sz w:val="22"/>
          <w:szCs w:val="22"/>
        </w:rPr>
        <w:t xml:space="preserve">Y25 interpretation: characteristic timescale of the perturbation process. RST identification: corridor switching frequency — the mean interval between TC-approach and SN-excursion events.</w:t>
      </w:r>
    </w:p>
    <w:p>
      <w:pPr>
        <w:spacing w:after="100" w:before="100"/>
        <w:jc w:val="both"/>
      </w:pPr>
      <w:r>
        <w:rPr>
          <w:rFonts w:ascii="Times New Roman" w:cs="Times New Roman" w:eastAsia="Times New Roman" w:hAnsi="Times New Roman"/>
          <w:color w:val="252525"/>
          <w:sz w:val="22"/>
          <w:szCs w:val="22"/>
        </w:rPr>
        <w:t xml:space="preserve">The two interpretations are complementary, not competing. RST provides the organizing framework within which Y25's physical mechanisms operate: propagating disk fluctuations ARE the TC-class dynamics of the activity-resource corridor; X-ray corona reprocessing IS the SN-class cascade response. The two Lorentzians are not coincidentally present — they are the inevitable signature of a system with two distinct failure boundaries.</w:t>
      </w:r>
    </w:p>
    <w:p>
      <w:pPr>
        <w:spacing w:after="50" w:before="50"/>
      </w:pPr>
      <w:r>
        <w:rPr>
          <w:rFonts w:ascii="Times New Roman" w:cs="Times New Roman" w:eastAsia="Times New Roman" w:hAnsi="Times New Roman"/>
          <w:color w:val="252525"/>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Key structural prediction</w:t>
            </w:r>
          </w:p>
          <w:p>
            <w:pPr>
              <w:spacing w:after="14" w:before="14"/>
              <w:jc w:val="both"/>
            </w:pPr>
            <w:r>
              <w:rPr>
                <w:rFonts w:ascii="Times New Roman" w:cs="Times New Roman" w:eastAsia="Times New Roman" w:hAnsi="Times New Roman"/>
                <w:color w:val="252525"/>
                <w:sz w:val="20"/>
                <w:szCs w:val="20"/>
              </w:rPr>
              <w:t xml:space="preserve">The two-Lorentzian PSD should be universal for any activity-resource system with two structurally distinct failure modes. In AGN accretion: disk = activity variable; accretion rate flow = resource. TC boundary = thin-disk radiative cooling instability (Shakura-Sunyaev 1973). SN boundary = radiation pressure dominated unstable branch. The accretion disk IS a TC-SN corridor; the DHO is the measurement device for that corridor.</w:t>
            </w:r>
          </w:p>
        </w:tc>
      </w:tr>
    </w:tbl>
    <w:p>
      <w:pPr>
        <w:spacing w:after="50" w:before="50"/>
      </w:pPr>
      <w:r>
        <w:rPr>
          <w:rFonts w:ascii="Times New Roman" w:cs="Times New Roman" w:eastAsia="Times New Roman" w:hAnsi="Times New Roman"/>
          <w:color w:val="252525"/>
          <w:sz w:val="22"/>
          <w:szCs w:val="22"/>
        </w:rPr>
        <w:t xml:space="preserve"/>
      </w:r>
    </w:p>
    <w:p>
      <w:pPr>
        <w:pStyle w:val="Heading1"/>
        <w:spacing w:after="110" w:before="320"/>
      </w:pPr>
      <w:r>
        <w:rPr>
          <w:rFonts w:ascii="Arial" w:cs="Arial" w:eastAsia="Arial" w:hAnsi="Arial"/>
          <w:b/>
          <w:bCs/>
          <w:color w:val="1F3864"/>
          <w:sz w:val="25"/>
          <w:szCs w:val="25"/>
        </w:rPr>
        <w:t xml:space="preserve">4.  Interpreting the Empirical Correlations</w:t>
      </w:r>
    </w:p>
    <w:p>
      <w:pPr>
        <w:spacing w:after="100" w:before="100"/>
        <w:jc w:val="both"/>
      </w:pPr>
      <w:r>
        <w:rPr>
          <w:rFonts w:ascii="Times New Roman" w:cs="Times New Roman" w:eastAsia="Times New Roman" w:hAnsi="Times New Roman"/>
          <w:color w:val="252525"/>
          <w:sz w:val="22"/>
          <w:szCs w:val="22"/>
        </w:rPr>
        <w:t xml:space="preserve">Y25 reports four DHO parameter correlations with L/L_Edd and M_BH (Table 4 of Y25, reproduced below with RST interpretations):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none" w:color="FFFFFF" w:sz="0"/>
              <w:left w:val="none" w:color="FFFFFF" w:sz="0"/>
              <w:bottom w:val="none" w:color="FFFFFF" w:sz="0"/>
              <w:right w:val="none" w:color="FFFFFF" w:sz="0"/>
            </w:tcBorders>
            <w:shd w:fill="F4F4F4" w:val="clear"/>
            <w:tcMar>
              <w:top w:type="dxa" w:w="80"/>
              <w:left w:type="dxa" w:w="280"/>
              <w:bottom w:type="dxa" w:w="80"/>
              <w:right w:type="dxa" w:w="280"/>
            </w:tcMar>
          </w:tcPr>
          <w:p>
            <w:pPr>
              <w:spacing w:after="24" w:before="24"/>
              <w:jc w:val="center"/>
            </w:pPr>
            <w:r>
              <w:rPr>
                <w:rFonts w:ascii="Courier New" w:cs="Courier New" w:eastAsia="Courier New" w:hAnsi="Courier New"/>
                <w:color w:val="252525"/>
                <w:sz w:val="20"/>
                <w:szCs w:val="20"/>
              </w:rPr>
              <w:t xml:space="preserve">log(X) = E·log(L/LEdd) + F·log(MBH) + G    (Y25 Equation 9)</w:t>
            </w:r>
          </w:p>
        </w:tc>
      </w:tr>
    </w:tbl>
    <w:p>
      <w:pPr>
        <w:spacing w:after="50" w:before="50"/>
      </w:pPr>
      <w:r>
        <w:rPr>
          <w:rFonts w:ascii="Times New Roman" w:cs="Times New Roman" w:eastAsia="Times New Roman" w:hAnsi="Times New Roman"/>
          <w:color w:val="252525"/>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200"/>
        <w:gridCol w:w="2000"/>
        <w:gridCol w:w="2000"/>
      </w:tblGrid>
      <w:tr>
        <w:tc>
          <w:tcPr>
            <w:tcW w:type="dxa" w:w="1700"/>
            <w:tcBorders>
              <w:top w:val="single" w:color="2E75B6" w:sz="1"/>
              <w:left w:val="single" w:color="2E75B6" w:sz="1"/>
              <w:bottom w:val="single" w:color="2E75B6" w:sz="1"/>
              <w:right w:val="single" w:color="2E75B6" w:sz="1"/>
            </w:tcBorders>
            <w:shd w:fill="1F3864" w:val="clear"/>
            <w:tcMar>
              <w:top w:type="dxa" w:w="55"/>
              <w:left w:type="dxa" w:w="70"/>
              <w:bottom w:type="dxa" w:w="55"/>
              <w:right w:type="dxa" w:w="70"/>
            </w:tcMar>
          </w:tcPr>
          <w:p>
            <w:pPr>
              <w:jc w:val="center"/>
            </w:pPr>
            <w:r>
              <w:rPr>
                <w:rFonts w:ascii="Arial" w:cs="Arial" w:eastAsia="Arial" w:hAnsi="Arial"/>
                <w:b/>
                <w:bCs/>
                <w:color w:val="FFFFFF"/>
                <w:sz w:val="15"/>
                <w:szCs w:val="15"/>
              </w:rPr>
              <w:t xml:space="preserve">Parameter</w:t>
            </w:r>
          </w:p>
        </w:tc>
        <w:tc>
          <w:tcPr>
            <w:tcW w:type="dxa" w:w="1100"/>
            <w:tcBorders>
              <w:top w:val="single" w:color="2E75B6" w:sz="1"/>
              <w:left w:val="single" w:color="2E75B6" w:sz="1"/>
              <w:bottom w:val="single" w:color="2E75B6" w:sz="1"/>
              <w:right w:val="single" w:color="2E75B6" w:sz="1"/>
            </w:tcBorders>
            <w:shd w:fill="1F3864" w:val="clear"/>
            <w:tcMar>
              <w:top w:type="dxa" w:w="55"/>
              <w:left w:type="dxa" w:w="70"/>
              <w:bottom w:type="dxa" w:w="55"/>
              <w:right w:type="dxa" w:w="70"/>
            </w:tcMar>
          </w:tcPr>
          <w:p>
            <w:pPr>
              <w:jc w:val="center"/>
            </w:pPr>
            <w:r>
              <w:rPr>
                <w:rFonts w:ascii="Arial" w:cs="Arial" w:eastAsia="Arial" w:hAnsi="Arial"/>
                <w:b/>
                <w:bCs/>
                <w:color w:val="FFFFFF"/>
                <w:sz w:val="15"/>
                <w:szCs w:val="15"/>
              </w:rPr>
              <w:t xml:space="preserve">E (L/LEdd)</w:t>
            </w:r>
          </w:p>
        </w:tc>
        <w:tc>
          <w:tcPr>
            <w:tcW w:type="dxa" w:w="1100"/>
            <w:tcBorders>
              <w:top w:val="single" w:color="2E75B6" w:sz="1"/>
              <w:left w:val="single" w:color="2E75B6" w:sz="1"/>
              <w:bottom w:val="single" w:color="2E75B6" w:sz="1"/>
              <w:right w:val="single" w:color="2E75B6" w:sz="1"/>
            </w:tcBorders>
            <w:shd w:fill="1F3864" w:val="clear"/>
            <w:tcMar>
              <w:top w:type="dxa" w:w="55"/>
              <w:left w:type="dxa" w:w="70"/>
              <w:bottom w:type="dxa" w:w="55"/>
              <w:right w:type="dxa" w:w="70"/>
            </w:tcMar>
          </w:tcPr>
          <w:p>
            <w:pPr>
              <w:jc w:val="center"/>
            </w:pPr>
            <w:r>
              <w:rPr>
                <w:rFonts w:ascii="Arial" w:cs="Arial" w:eastAsia="Arial" w:hAnsi="Arial"/>
                <w:b/>
                <w:bCs/>
                <w:color w:val="FFFFFF"/>
                <w:sz w:val="15"/>
                <w:szCs w:val="15"/>
              </w:rPr>
              <w:t xml:space="preserve">F (MBH)</w:t>
            </w:r>
          </w:p>
        </w:tc>
        <w:tc>
          <w:tcPr>
            <w:tcW w:type="dxa" w:w="1200"/>
            <w:tcBorders>
              <w:top w:val="single" w:color="2E75B6" w:sz="1"/>
              <w:left w:val="single" w:color="2E75B6" w:sz="1"/>
              <w:bottom w:val="single" w:color="2E75B6" w:sz="1"/>
              <w:right w:val="single" w:color="2E75B6" w:sz="1"/>
            </w:tcBorders>
            <w:shd w:fill="1F3864" w:val="clear"/>
            <w:tcMar>
              <w:top w:type="dxa" w:w="55"/>
              <w:left w:type="dxa" w:w="70"/>
              <w:bottom w:type="dxa" w:w="55"/>
              <w:right w:type="dxa" w:w="70"/>
            </w:tcMar>
          </w:tcPr>
          <w:p>
            <w:pPr>
              <w:jc w:val="center"/>
            </w:pPr>
            <w:r>
              <w:rPr>
                <w:rFonts w:ascii="Arial" w:cs="Arial" w:eastAsia="Arial" w:hAnsi="Arial"/>
                <w:b/>
                <w:bCs/>
                <w:color w:val="FFFFFF"/>
                <w:sz w:val="15"/>
                <w:szCs w:val="15"/>
              </w:rPr>
              <w:t xml:space="preserve">σ_ε (MBH)</w:t>
            </w:r>
          </w:p>
        </w:tc>
        <w:tc>
          <w:tcPr>
            <w:tcW w:type="dxa" w:w="2000"/>
            <w:tcBorders>
              <w:top w:val="single" w:color="2E75B6" w:sz="1"/>
              <w:left w:val="single" w:color="2E75B6" w:sz="1"/>
              <w:bottom w:val="single" w:color="2E75B6" w:sz="1"/>
              <w:right w:val="single" w:color="2E75B6" w:sz="1"/>
            </w:tcBorders>
            <w:shd w:fill="1F3864" w:val="clear"/>
            <w:tcMar>
              <w:top w:type="dxa" w:w="55"/>
              <w:left w:type="dxa" w:w="70"/>
              <w:bottom w:type="dxa" w:w="55"/>
              <w:right w:type="dxa" w:w="70"/>
            </w:tcMar>
          </w:tcPr>
          <w:p>
            <w:pPr>
              <w:jc w:val="center"/>
            </w:pPr>
            <w:r>
              <w:rPr>
                <w:rFonts w:ascii="Arial" w:cs="Arial" w:eastAsia="Arial" w:hAnsi="Arial"/>
                <w:b/>
                <w:bCs/>
                <w:color w:val="FFFFFF"/>
                <w:sz w:val="15"/>
                <w:szCs w:val="15"/>
              </w:rPr>
              <w:t xml:space="preserve">Yu+25 interpretation</w:t>
            </w:r>
          </w:p>
        </w:tc>
        <w:tc>
          <w:tcPr>
            <w:tcW w:type="dxa" w:w="2000"/>
            <w:tcBorders>
              <w:top w:val="single" w:color="2E75B6" w:sz="1"/>
              <w:left w:val="single" w:color="2E75B6" w:sz="1"/>
              <w:bottom w:val="single" w:color="2E75B6" w:sz="1"/>
              <w:right w:val="single" w:color="2E75B6" w:sz="1"/>
            </w:tcBorders>
            <w:shd w:fill="1F3864" w:val="clear"/>
            <w:tcMar>
              <w:top w:type="dxa" w:w="55"/>
              <w:left w:type="dxa" w:w="70"/>
              <w:bottom w:type="dxa" w:w="55"/>
              <w:right w:type="dxa" w:w="70"/>
            </w:tcMar>
          </w:tcPr>
          <w:p>
            <w:pPr>
              <w:jc w:val="center"/>
            </w:pPr>
            <w:r>
              <w:rPr>
                <w:rFonts w:ascii="Arial" w:cs="Arial" w:eastAsia="Arial" w:hAnsi="Arial"/>
                <w:b/>
                <w:bCs/>
                <w:color w:val="FFFFFF"/>
                <w:sz w:val="15"/>
                <w:szCs w:val="15"/>
              </w:rPr>
              <w:t xml:space="preserve">RST interpretation</w:t>
            </w:r>
          </w:p>
        </w:tc>
      </w:tr>
      <w:tr>
        <w:tc>
          <w:tcPr>
            <w:tcW w:type="dxa" w:w="1700"/>
            <w:tcBorders>
              <w:top w:val="single" w:color="AAAAAA" w:sz="1"/>
              <w:left w:val="single" w:color="AAAAAA" w:sz="1"/>
              <w:bottom w:val="single" w:color="AAAAAA" w:sz="1"/>
              <w:right w:val="single" w:color="AAAAAA" w:sz="1"/>
            </w:tcBorders>
            <w:shd w:fill="FFFFFF" w:val="clear"/>
            <w:tcMar>
              <w:top w:type="dxa" w:w="45"/>
              <w:left w:type="dxa" w:w="70"/>
              <w:bottom w:type="dxa" w:w="45"/>
              <w:right w:type="dxa" w:w="70"/>
            </w:tcMar>
          </w:tcPr>
          <w:p>
            <w:r>
              <w:rPr>
                <w:rFonts w:ascii="Times New Roman" w:cs="Times New Roman" w:eastAsia="Times New Roman" w:hAnsi="Times New Roman"/>
                <w:b w:val="false"/>
                <w:bCs w:val="false"/>
                <w:color w:val="252525"/>
                <w:sz w:val="16"/>
                <w:szCs w:val="16"/>
              </w:rPr>
              <w:t xml:space="preserve">σ_DHO</w:t>
            </w:r>
          </w:p>
        </w:tc>
        <w:tc>
          <w:tcPr>
            <w:tcW w:type="dxa" w:w="1100"/>
            <w:tcBorders>
              <w:top w:val="single" w:color="AAAAAA" w:sz="1"/>
              <w:left w:val="single" w:color="AAAAAA" w:sz="1"/>
              <w:bottom w:val="single" w:color="AAAAAA" w:sz="1"/>
              <w:right w:val="single" w:color="AAAAAA" w:sz="1"/>
            </w:tcBorders>
            <w:shd w:fill="FFFFFF" w:val="clear"/>
            <w:tcMar>
              <w:top w:type="dxa" w:w="45"/>
              <w:left w:type="dxa" w:w="70"/>
              <w:bottom w:type="dxa" w:w="45"/>
              <w:right w:type="dxa" w:w="70"/>
            </w:tcMar>
          </w:tcPr>
          <w:p>
            <w:r>
              <w:rPr>
                <w:rFonts w:ascii="Courier New" w:cs="Courier New" w:eastAsia="Courier New" w:hAnsi="Courier New"/>
                <w:b w:val="false"/>
                <w:bCs w:val="false"/>
                <w:color w:val="252525"/>
                <w:sz w:val="16"/>
                <w:szCs w:val="16"/>
              </w:rPr>
              <w:t xml:space="preserve">-0.382±0.010</w:t>
            </w:r>
          </w:p>
        </w:tc>
        <w:tc>
          <w:tcPr>
            <w:tcW w:type="dxa" w:w="1100"/>
            <w:tcBorders>
              <w:top w:val="single" w:color="AAAAAA" w:sz="1"/>
              <w:left w:val="single" w:color="AAAAAA" w:sz="1"/>
              <w:bottom w:val="single" w:color="AAAAAA" w:sz="1"/>
              <w:right w:val="single" w:color="AAAAAA" w:sz="1"/>
            </w:tcBorders>
            <w:shd w:fill="FFF9C4" w:val="clear"/>
            <w:tcMar>
              <w:top w:type="dxa" w:w="45"/>
              <w:left w:type="dxa" w:w="70"/>
              <w:bottom w:type="dxa" w:w="45"/>
              <w:right w:type="dxa" w:w="70"/>
            </w:tcMar>
          </w:tcPr>
          <w:p>
            <w:r>
              <w:rPr>
                <w:rFonts w:ascii="Courier New" w:cs="Courier New" w:eastAsia="Courier New" w:hAnsi="Courier New"/>
                <w:b/>
                <w:bCs/>
                <w:color w:val="252525"/>
                <w:sz w:val="16"/>
                <w:szCs w:val="16"/>
              </w:rPr>
              <w:t xml:space="preserve">-0.270±0.008</w:t>
            </w:r>
          </w:p>
        </w:tc>
        <w:tc>
          <w:tcPr>
            <w:tcW w:type="dxa" w:w="1200"/>
            <w:tcBorders>
              <w:top w:val="single" w:color="AAAAAA" w:sz="1"/>
              <w:left w:val="single" w:color="AAAAAA" w:sz="1"/>
              <w:bottom w:val="single" w:color="AAAAAA" w:sz="1"/>
              <w:right w:val="single" w:color="AAAAAA" w:sz="1"/>
            </w:tcBorders>
            <w:shd w:fill="FFFFFF" w:val="clear"/>
            <w:tcMar>
              <w:top w:type="dxa" w:w="45"/>
              <w:left w:type="dxa" w:w="70"/>
              <w:bottom w:type="dxa" w:w="45"/>
              <w:right w:type="dxa" w:w="70"/>
            </w:tcMar>
          </w:tcPr>
          <w:p>
            <w:r>
              <w:rPr>
                <w:rFonts w:ascii="Courier New" w:cs="Courier New" w:eastAsia="Courier New" w:hAnsi="Courier New"/>
                <w:b w:val="false"/>
                <w:bCs w:val="false"/>
                <w:color w:val="252525"/>
                <w:sz w:val="16"/>
                <w:szCs w:val="16"/>
              </w:rPr>
              <w:t xml:space="preserve">small</w:t>
            </w:r>
          </w:p>
        </w:tc>
        <w:tc>
          <w:tcPr>
            <w:tcW w:type="dxa" w:w="2000"/>
            <w:tcBorders>
              <w:top w:val="single" w:color="AAAAAA" w:sz="1"/>
              <w:left w:val="single" w:color="AAAAAA" w:sz="1"/>
              <w:bottom w:val="single" w:color="AAAAAA" w:sz="1"/>
              <w:right w:val="single" w:color="AAAAAA" w:sz="1"/>
            </w:tcBorders>
            <w:shd w:fill="FFFFFF" w:val="clear"/>
            <w:tcMar>
              <w:top w:type="dxa" w:w="45"/>
              <w:left w:type="dxa" w:w="70"/>
              <w:bottom w:type="dxa" w:w="45"/>
              <w:right w:type="dxa" w:w="70"/>
            </w:tcMar>
          </w:tcPr>
          <w:p>
            <w:r>
              <w:rPr>
                <w:rFonts w:ascii="Times New Roman" w:cs="Times New Roman" w:eastAsia="Times New Roman" w:hAnsi="Times New Roman"/>
                <w:b w:val="false"/>
                <w:bCs w:val="false"/>
                <w:color w:val="252525"/>
                <w:sz w:val="16"/>
                <w:szCs w:val="16"/>
              </w:rPr>
              <w:t xml:space="preserve">Anti-corr. variability amplitude with M_BH and L/LEdd</w:t>
            </w:r>
          </w:p>
        </w:tc>
        <w:tc>
          <w:tcPr>
            <w:tcW w:type="dxa" w:w="2000"/>
            <w:tcBorders>
              <w:top w:val="single" w:color="AAAAAA" w:sz="1"/>
              <w:left w:val="single" w:color="AAAAAA" w:sz="1"/>
              <w:bottom w:val="single" w:color="AAAAAA" w:sz="1"/>
              <w:right w:val="single" w:color="AAAAAA" w:sz="1"/>
            </w:tcBorders>
            <w:shd w:fill="FFFFFF" w:val="clear"/>
            <w:tcMar>
              <w:top w:type="dxa" w:w="45"/>
              <w:left w:type="dxa" w:w="70"/>
              <w:bottom w:type="dxa" w:w="45"/>
              <w:right w:type="dxa" w:w="70"/>
            </w:tcMar>
          </w:tcPr>
          <w:p>
            <w:r>
              <w:rPr>
                <w:rFonts w:ascii="Times New Roman" w:cs="Times New Roman" w:eastAsia="Times New Roman" w:hAnsi="Times New Roman"/>
                <w:b w:val="false"/>
                <w:bCs w:val="false"/>
                <w:color w:val="252525"/>
                <w:sz w:val="16"/>
                <w:szCs w:val="16"/>
              </w:rPr>
              <w:t xml:space="preserve">Larger BH → deeper SN well → effective D smaller relative to SN barrier → lower σ_DHO. The 2:1 exponent ratio (ΔG⁺ ~ D^{2/3}) predicts σ_DHO ∝ D·ΔG⁺, decreasing with corridor depth.</w:t>
            </w:r>
          </w:p>
        </w:tc>
      </w:tr>
      <w:tr>
        <w:tc>
          <w:tcPr>
            <w:tcW w:type="dxa" w:w="1700"/>
            <w:tcBorders>
              <w:top w:val="single" w:color="AAAAAA" w:sz="1"/>
              <w:left w:val="single" w:color="AAAAAA" w:sz="1"/>
              <w:bottom w:val="single" w:color="AAAAAA" w:sz="1"/>
              <w:right w:val="single" w:color="AAAAAA" w:sz="1"/>
            </w:tcBorders>
            <w:shd w:fill="F4F4F4" w:val="clear"/>
            <w:tcMar>
              <w:top w:type="dxa" w:w="45"/>
              <w:left w:type="dxa" w:w="70"/>
              <w:bottom w:type="dxa" w:w="45"/>
              <w:right w:type="dxa" w:w="70"/>
            </w:tcMar>
          </w:tcPr>
          <w:p>
            <w:r>
              <w:rPr>
                <w:rFonts w:ascii="Times New Roman" w:cs="Times New Roman" w:eastAsia="Times New Roman" w:hAnsi="Times New Roman"/>
                <w:b w:val="false"/>
                <w:bCs w:val="false"/>
                <w:color w:val="252525"/>
                <w:sz w:val="16"/>
                <w:szCs w:val="16"/>
              </w:rPr>
              <w:t xml:space="preserve">τ_decay</w:t>
            </w:r>
          </w:p>
        </w:tc>
        <w:tc>
          <w:tcPr>
            <w:tcW w:type="dxa" w:w="1100"/>
            <w:tcBorders>
              <w:top w:val="single" w:color="AAAAAA" w:sz="1"/>
              <w:left w:val="single" w:color="AAAAAA" w:sz="1"/>
              <w:bottom w:val="single" w:color="AAAAAA" w:sz="1"/>
              <w:right w:val="single" w:color="AAAAAA" w:sz="1"/>
            </w:tcBorders>
            <w:shd w:fill="F4F4F4" w:val="clear"/>
            <w:tcMar>
              <w:top w:type="dxa" w:w="45"/>
              <w:left w:type="dxa" w:w="70"/>
              <w:bottom w:type="dxa" w:w="45"/>
              <w:right w:type="dxa" w:w="70"/>
            </w:tcMar>
          </w:tcPr>
          <w:p>
            <w:r>
              <w:rPr>
                <w:rFonts w:ascii="Courier New" w:cs="Courier New" w:eastAsia="Courier New" w:hAnsi="Courier New"/>
                <w:b w:val="false"/>
                <w:bCs w:val="false"/>
                <w:color w:val="252525"/>
                <w:sz w:val="16"/>
                <w:szCs w:val="16"/>
              </w:rPr>
              <w:t xml:space="preserve">-0.087±0.019</w:t>
            </w:r>
          </w:p>
        </w:tc>
        <w:tc>
          <w:tcPr>
            <w:tcW w:type="dxa" w:w="1100"/>
            <w:tcBorders>
              <w:top w:val="single" w:color="AAAAAA" w:sz="1"/>
              <w:left w:val="single" w:color="AAAAAA" w:sz="1"/>
              <w:bottom w:val="single" w:color="AAAAAA" w:sz="1"/>
              <w:right w:val="single" w:color="AAAAAA" w:sz="1"/>
            </w:tcBorders>
            <w:shd w:fill="F4F4F4" w:val="clear"/>
            <w:tcMar>
              <w:top w:type="dxa" w:w="45"/>
              <w:left w:type="dxa" w:w="70"/>
              <w:bottom w:type="dxa" w:w="45"/>
              <w:right w:type="dxa" w:w="70"/>
            </w:tcMar>
          </w:tcPr>
          <w:p>
            <w:r>
              <w:rPr>
                <w:rFonts w:ascii="Courier New" w:cs="Courier New" w:eastAsia="Courier New" w:hAnsi="Courier New"/>
                <w:b w:val="false"/>
                <w:bCs w:val="false"/>
                <w:color w:val="252525"/>
                <w:sz w:val="16"/>
                <w:szCs w:val="16"/>
              </w:rPr>
              <w:t xml:space="preserve">-0.031±0.016</w:t>
            </w:r>
          </w:p>
        </w:tc>
        <w:tc>
          <w:tcPr>
            <w:tcW w:type="dxa" w:w="1200"/>
            <w:tcBorders>
              <w:top w:val="single" w:color="AAAAAA" w:sz="1"/>
              <w:left w:val="single" w:color="AAAAAA" w:sz="1"/>
              <w:bottom w:val="single" w:color="AAAAAA" w:sz="1"/>
              <w:right w:val="single" w:color="AAAAAA" w:sz="1"/>
            </w:tcBorders>
            <w:shd w:fill="F4F4F4" w:val="clear"/>
            <w:tcMar>
              <w:top w:type="dxa" w:w="45"/>
              <w:left w:type="dxa" w:w="70"/>
              <w:bottom w:type="dxa" w:w="45"/>
              <w:right w:type="dxa" w:w="70"/>
            </w:tcMar>
          </w:tcPr>
          <w:p>
            <w:r>
              <w:rPr>
                <w:rFonts w:ascii="Courier New" w:cs="Courier New" w:eastAsia="Courier New" w:hAnsi="Courier New"/>
                <w:b w:val="false"/>
                <w:bCs w:val="false"/>
                <w:color w:val="252525"/>
                <w:sz w:val="16"/>
                <w:szCs w:val="16"/>
              </w:rPr>
              <w:t xml:space="preserve">consistent 0</w:t>
            </w:r>
          </w:p>
        </w:tc>
        <w:tc>
          <w:tcPr>
            <w:tcW w:type="dxa" w:w="2000"/>
            <w:tcBorders>
              <w:top w:val="single" w:color="AAAAAA" w:sz="1"/>
              <w:left w:val="single" w:color="AAAAAA" w:sz="1"/>
              <w:bottom w:val="single" w:color="AAAAAA" w:sz="1"/>
              <w:right w:val="single" w:color="AAAAAA" w:sz="1"/>
            </w:tcBorders>
            <w:shd w:fill="F4F4F4" w:val="clear"/>
            <w:tcMar>
              <w:top w:type="dxa" w:w="45"/>
              <w:left w:type="dxa" w:w="70"/>
              <w:bottom w:type="dxa" w:w="45"/>
              <w:right w:type="dxa" w:w="70"/>
            </w:tcMar>
          </w:tcPr>
          <w:p>
            <w:r>
              <w:rPr>
                <w:rFonts w:ascii="Times New Roman" w:cs="Times New Roman" w:eastAsia="Times New Roman" w:hAnsi="Times New Roman"/>
                <w:b w:val="false"/>
                <w:bCs w:val="false"/>
                <w:color w:val="252525"/>
                <w:sz w:val="16"/>
                <w:szCs w:val="16"/>
              </w:rPr>
              <w:t xml:space="preserve">Weak anti-corr. with L/LEdd; near zero with M_BH</w:t>
            </w:r>
          </w:p>
        </w:tc>
        <w:tc>
          <w:tcPr>
            <w:tcW w:type="dxa" w:w="2000"/>
            <w:tcBorders>
              <w:top w:val="single" w:color="AAAAAA" w:sz="1"/>
              <w:left w:val="single" w:color="AAAAAA" w:sz="1"/>
              <w:bottom w:val="single" w:color="AAAAAA" w:sz="1"/>
              <w:right w:val="single" w:color="AAAAAA" w:sz="1"/>
            </w:tcBorders>
            <w:shd w:fill="F4F4F4" w:val="clear"/>
            <w:tcMar>
              <w:top w:type="dxa" w:w="45"/>
              <w:left w:type="dxa" w:w="70"/>
              <w:bottom w:type="dxa" w:w="45"/>
              <w:right w:type="dxa" w:w="70"/>
            </w:tcMar>
          </w:tcPr>
          <w:p>
            <w:r>
              <w:rPr>
                <w:rFonts w:ascii="Times New Roman" w:cs="Times New Roman" w:eastAsia="Times New Roman" w:hAnsi="Times New Roman"/>
                <w:b w:val="false"/>
                <w:bCs w:val="false"/>
                <w:color w:val="252525"/>
                <w:sz w:val="16"/>
                <w:szCs w:val="16"/>
              </w:rPr>
              <w:t xml:space="preserve">τ_decay = 1/κ_SN (SN well curvature). κ_SN set by corridor center μ* = 4, universal and system-independent. Near-zero M_BH slope is a direct RST prediction.</w:t>
            </w:r>
          </w:p>
        </w:tc>
      </w:tr>
      <w:tr>
        <w:tc>
          <w:tcPr>
            <w:tcW w:type="dxa" w:w="1700"/>
            <w:tcBorders>
              <w:top w:val="single" w:color="AAAAAA" w:sz="1"/>
              <w:left w:val="single" w:color="AAAAAA" w:sz="1"/>
              <w:bottom w:val="single" w:color="AAAAAA" w:sz="1"/>
              <w:right w:val="single" w:color="AAAAAA" w:sz="1"/>
            </w:tcBorders>
            <w:shd w:fill="FFFFFF" w:val="clear"/>
            <w:tcMar>
              <w:top w:type="dxa" w:w="45"/>
              <w:left w:type="dxa" w:w="70"/>
              <w:bottom w:type="dxa" w:w="45"/>
              <w:right w:type="dxa" w:w="70"/>
            </w:tcMar>
          </w:tcPr>
          <w:p>
            <w:r>
              <w:rPr>
                <w:rFonts w:ascii="Times New Roman" w:cs="Times New Roman" w:eastAsia="Times New Roman" w:hAnsi="Times New Roman"/>
                <w:b w:val="false"/>
                <w:bCs w:val="false"/>
                <w:color w:val="252525"/>
                <w:sz w:val="16"/>
                <w:szCs w:val="16"/>
              </w:rPr>
              <w:t xml:space="preserve">σ_ε</w:t>
            </w:r>
          </w:p>
        </w:tc>
        <w:tc>
          <w:tcPr>
            <w:tcW w:type="dxa" w:w="1100"/>
            <w:tcBorders>
              <w:top w:val="single" w:color="AAAAAA" w:sz="1"/>
              <w:left w:val="single" w:color="AAAAAA" w:sz="1"/>
              <w:bottom w:val="single" w:color="AAAAAA" w:sz="1"/>
              <w:right w:val="single" w:color="AAAAAA" w:sz="1"/>
            </w:tcBorders>
            <w:shd w:fill="FFFFFF" w:val="clear"/>
            <w:tcMar>
              <w:top w:type="dxa" w:w="45"/>
              <w:left w:type="dxa" w:w="70"/>
              <w:bottom w:type="dxa" w:w="45"/>
              <w:right w:type="dxa" w:w="70"/>
            </w:tcMar>
          </w:tcPr>
          <w:p>
            <w:r>
              <w:rPr>
                <w:rFonts w:ascii="Courier New" w:cs="Courier New" w:eastAsia="Courier New" w:hAnsi="Courier New"/>
                <w:b w:val="false"/>
                <w:bCs w:val="false"/>
                <w:color w:val="252525"/>
                <w:sz w:val="16"/>
                <w:szCs w:val="16"/>
              </w:rPr>
              <w:t xml:space="preserve">-0.336±0.035</w:t>
            </w:r>
          </w:p>
        </w:tc>
        <w:tc>
          <w:tcPr>
            <w:tcW w:type="dxa" w:w="1100"/>
            <w:tcBorders>
              <w:top w:val="single" w:color="AAAAAA" w:sz="1"/>
              <w:left w:val="single" w:color="AAAAAA" w:sz="1"/>
              <w:bottom w:val="single" w:color="AAAAAA" w:sz="1"/>
              <w:right w:val="single" w:color="AAAAAA" w:sz="1"/>
            </w:tcBorders>
            <w:shd w:fill="FFFFFF" w:val="clear"/>
            <w:tcMar>
              <w:top w:type="dxa" w:w="45"/>
              <w:left w:type="dxa" w:w="70"/>
              <w:bottom w:type="dxa" w:w="45"/>
              <w:right w:type="dxa" w:w="70"/>
            </w:tcMar>
          </w:tcPr>
          <w:p>
            <w:r>
              <w:rPr>
                <w:rFonts w:ascii="Courier New" w:cs="Courier New" w:eastAsia="Courier New" w:hAnsi="Courier New"/>
                <w:b w:val="false"/>
                <w:bCs w:val="false"/>
                <w:color w:val="252525"/>
                <w:sz w:val="16"/>
                <w:szCs w:val="16"/>
              </w:rPr>
              <w:t xml:space="preserve">0.025±0.028</w:t>
            </w:r>
          </w:p>
        </w:tc>
        <w:tc>
          <w:tcPr>
            <w:tcW w:type="dxa" w:w="1200"/>
            <w:tcBorders>
              <w:top w:val="single" w:color="AAAAAA" w:sz="1"/>
              <w:left w:val="single" w:color="AAAAAA" w:sz="1"/>
              <w:bottom w:val="single" w:color="AAAAAA" w:sz="1"/>
              <w:right w:val="single" w:color="AAAAAA" w:sz="1"/>
            </w:tcBorders>
            <w:shd w:fill="FFFFFF" w:val="clear"/>
            <w:tcMar>
              <w:top w:type="dxa" w:w="45"/>
              <w:left w:type="dxa" w:w="70"/>
              <w:bottom w:type="dxa" w:w="45"/>
              <w:right w:type="dxa" w:w="70"/>
            </w:tcMar>
          </w:tcPr>
          <w:p>
            <w:r>
              <w:rPr>
                <w:rFonts w:ascii="Courier New" w:cs="Courier New" w:eastAsia="Courier New" w:hAnsi="Courier New"/>
                <w:b w:val="false"/>
                <w:bCs w:val="false"/>
                <w:color w:val="252525"/>
                <w:sz w:val="16"/>
                <w:szCs w:val="16"/>
              </w:rPr>
              <w:t xml:space="preserve">consistent 0</w:t>
            </w:r>
          </w:p>
        </w:tc>
        <w:tc>
          <w:tcPr>
            <w:tcW w:type="dxa" w:w="2000"/>
            <w:tcBorders>
              <w:top w:val="single" w:color="AAAAAA" w:sz="1"/>
              <w:left w:val="single" w:color="AAAAAA" w:sz="1"/>
              <w:bottom w:val="single" w:color="AAAAAA" w:sz="1"/>
              <w:right w:val="single" w:color="AAAAAA" w:sz="1"/>
            </w:tcBorders>
            <w:shd w:fill="FFFFFF" w:val="clear"/>
            <w:tcMar>
              <w:top w:type="dxa" w:w="45"/>
              <w:left w:type="dxa" w:w="70"/>
              <w:bottom w:type="dxa" w:w="45"/>
              <w:right w:type="dxa" w:w="70"/>
            </w:tcMar>
          </w:tcPr>
          <w:p>
            <w:r>
              <w:rPr>
                <w:rFonts w:ascii="Times New Roman" w:cs="Times New Roman" w:eastAsia="Times New Roman" w:hAnsi="Times New Roman"/>
                <w:b w:val="false"/>
                <w:bCs w:val="false"/>
                <w:color w:val="252525"/>
                <w:sz w:val="16"/>
                <w:szCs w:val="16"/>
              </w:rPr>
              <w:t xml:space="preserve">Anti-corr. with L/LEdd, interpreted as X-ray reprocessing decrease</w:t>
            </w:r>
          </w:p>
        </w:tc>
        <w:tc>
          <w:tcPr>
            <w:tcW w:type="dxa" w:w="2000"/>
            <w:tcBorders>
              <w:top w:val="single" w:color="AAAAAA" w:sz="1"/>
              <w:left w:val="single" w:color="AAAAAA" w:sz="1"/>
              <w:bottom w:val="single" w:color="AAAAAA" w:sz="1"/>
              <w:right w:val="single" w:color="AAAAAA" w:sz="1"/>
            </w:tcBorders>
            <w:shd w:fill="FFFFFF" w:val="clear"/>
            <w:tcMar>
              <w:top w:type="dxa" w:w="45"/>
              <w:left w:type="dxa" w:w="70"/>
              <w:bottom w:type="dxa" w:w="45"/>
              <w:right w:type="dxa" w:w="70"/>
            </w:tcMar>
          </w:tcPr>
          <w:p>
            <w:r>
              <w:rPr>
                <w:rFonts w:ascii="Times New Roman" w:cs="Times New Roman" w:eastAsia="Times New Roman" w:hAnsi="Times New Roman"/>
                <w:b w:val="false"/>
                <w:bCs w:val="false"/>
                <w:color w:val="252525"/>
                <w:sz w:val="16"/>
                <w:szCs w:val="16"/>
              </w:rPr>
              <w:t xml:space="preserve">σ_ε = external forcing amplitude. Should be independent of corridor depth (M_BH) since it reflects the environment, not the corridor structure. Near-zero M_BH slope predicted.</w:t>
            </w:r>
          </w:p>
        </w:tc>
      </w:tr>
      <w:tr>
        <w:tc>
          <w:tcPr>
            <w:tcW w:type="dxa" w:w="1700"/>
            <w:tcBorders>
              <w:top w:val="single" w:color="AAAAAA" w:sz="1"/>
              <w:left w:val="single" w:color="AAAAAA" w:sz="1"/>
              <w:bottom w:val="single" w:color="AAAAAA" w:sz="1"/>
              <w:right w:val="single" w:color="AAAAAA" w:sz="1"/>
            </w:tcBorders>
            <w:shd w:fill="F4F4F4" w:val="clear"/>
            <w:tcMar>
              <w:top w:type="dxa" w:w="45"/>
              <w:left w:type="dxa" w:w="70"/>
              <w:bottom w:type="dxa" w:w="45"/>
              <w:right w:type="dxa" w:w="70"/>
            </w:tcMar>
          </w:tcPr>
          <w:p>
            <w:r>
              <w:rPr>
                <w:rFonts w:ascii="Times New Roman" w:cs="Times New Roman" w:eastAsia="Times New Roman" w:hAnsi="Times New Roman"/>
                <w:b w:val="false"/>
                <w:bCs w:val="false"/>
                <w:color w:val="252525"/>
                <w:sz w:val="16"/>
                <w:szCs w:val="16"/>
              </w:rPr>
              <w:t xml:space="preserve">τ_perturb</w:t>
            </w:r>
          </w:p>
        </w:tc>
        <w:tc>
          <w:tcPr>
            <w:tcW w:type="dxa" w:w="1100"/>
            <w:tcBorders>
              <w:top w:val="single" w:color="AAAAAA" w:sz="1"/>
              <w:left w:val="single" w:color="AAAAAA" w:sz="1"/>
              <w:bottom w:val="single" w:color="AAAAAA" w:sz="1"/>
              <w:right w:val="single" w:color="AAAAAA" w:sz="1"/>
            </w:tcBorders>
            <w:shd w:fill="F4F4F4" w:val="clear"/>
            <w:tcMar>
              <w:top w:type="dxa" w:w="45"/>
              <w:left w:type="dxa" w:w="70"/>
              <w:bottom w:type="dxa" w:w="45"/>
              <w:right w:type="dxa" w:w="70"/>
            </w:tcMar>
          </w:tcPr>
          <w:p>
            <w:r>
              <w:rPr>
                <w:rFonts w:ascii="Courier New" w:cs="Courier New" w:eastAsia="Courier New" w:hAnsi="Courier New"/>
                <w:b w:val="false"/>
                <w:bCs w:val="false"/>
                <w:color w:val="252525"/>
                <w:sz w:val="16"/>
                <w:szCs w:val="16"/>
              </w:rPr>
              <w:t xml:space="preserve">-0.376±0.024</w:t>
            </w:r>
          </w:p>
        </w:tc>
        <w:tc>
          <w:tcPr>
            <w:tcW w:type="dxa" w:w="1100"/>
            <w:tcBorders>
              <w:top w:val="single" w:color="AAAAAA" w:sz="1"/>
              <w:left w:val="single" w:color="AAAAAA" w:sz="1"/>
              <w:bottom w:val="single" w:color="AAAAAA" w:sz="1"/>
              <w:right w:val="single" w:color="AAAAAA" w:sz="1"/>
            </w:tcBorders>
            <w:shd w:fill="FFF9C4" w:val="clear"/>
            <w:tcMar>
              <w:top w:type="dxa" w:w="45"/>
              <w:left w:type="dxa" w:w="70"/>
              <w:bottom w:type="dxa" w:w="45"/>
              <w:right w:type="dxa" w:w="70"/>
            </w:tcMar>
          </w:tcPr>
          <w:p>
            <w:r>
              <w:rPr>
                <w:rFonts w:ascii="Courier New" w:cs="Courier New" w:eastAsia="Courier New" w:hAnsi="Courier New"/>
                <w:b/>
                <w:bCs/>
                <w:color w:val="252525"/>
                <w:sz w:val="16"/>
                <w:szCs w:val="16"/>
              </w:rPr>
              <w:t xml:space="preserve">-0.405±0.020</w:t>
            </w:r>
          </w:p>
        </w:tc>
        <w:tc>
          <w:tcPr>
            <w:tcW w:type="dxa" w:w="1200"/>
            <w:tcBorders>
              <w:top w:val="single" w:color="AAAAAA" w:sz="1"/>
              <w:left w:val="single" w:color="AAAAAA" w:sz="1"/>
              <w:bottom w:val="single" w:color="AAAAAA" w:sz="1"/>
              <w:right w:val="single" w:color="AAAAAA" w:sz="1"/>
            </w:tcBorders>
            <w:shd w:fill="F4F4F4" w:val="clear"/>
            <w:tcMar>
              <w:top w:type="dxa" w:w="45"/>
              <w:left w:type="dxa" w:w="70"/>
              <w:bottom w:type="dxa" w:w="45"/>
              <w:right w:type="dxa" w:w="70"/>
            </w:tcMar>
          </w:tcPr>
          <w:p>
            <w:r>
              <w:rPr>
                <w:rFonts w:ascii="Courier New" w:cs="Courier New" w:eastAsia="Courier New" w:hAnsi="Courier New"/>
                <w:b w:val="false"/>
                <w:bCs w:val="false"/>
                <w:color w:val="252525"/>
                <w:sz w:val="16"/>
                <w:szCs w:val="16"/>
              </w:rPr>
              <w:t xml:space="preserve">STRONG</w:t>
            </w:r>
          </w:p>
        </w:tc>
        <w:tc>
          <w:tcPr>
            <w:tcW w:type="dxa" w:w="2000"/>
            <w:tcBorders>
              <w:top w:val="single" w:color="AAAAAA" w:sz="1"/>
              <w:left w:val="single" w:color="AAAAAA" w:sz="1"/>
              <w:bottom w:val="single" w:color="AAAAAA" w:sz="1"/>
              <w:right w:val="single" w:color="AAAAAA" w:sz="1"/>
            </w:tcBorders>
            <w:shd w:fill="F4F4F4" w:val="clear"/>
            <w:tcMar>
              <w:top w:type="dxa" w:w="45"/>
              <w:left w:type="dxa" w:w="70"/>
              <w:bottom w:type="dxa" w:w="45"/>
              <w:right w:type="dxa" w:w="70"/>
            </w:tcMar>
          </w:tcPr>
          <w:p>
            <w:r>
              <w:rPr>
                <w:rFonts w:ascii="Times New Roman" w:cs="Times New Roman" w:eastAsia="Times New Roman" w:hAnsi="Times New Roman"/>
                <w:b w:val="false"/>
                <w:bCs w:val="false"/>
                <w:color w:val="252525"/>
                <w:sz w:val="16"/>
                <w:szCs w:val="16"/>
              </w:rPr>
              <w:t xml:space="preserve">STRONGEST corr.: anti-corr. with M_BH</w:t>
            </w:r>
          </w:p>
        </w:tc>
        <w:tc>
          <w:tcPr>
            <w:tcW w:type="dxa" w:w="2000"/>
            <w:tcBorders>
              <w:top w:val="single" w:color="AAAAAA" w:sz="1"/>
              <w:left w:val="single" w:color="AAAAAA" w:sz="1"/>
              <w:bottom w:val="single" w:color="AAAAAA" w:sz="1"/>
              <w:right w:val="single" w:color="AAAAAA" w:sz="1"/>
            </w:tcBorders>
            <w:shd w:fill="F4F4F4" w:val="clear"/>
            <w:tcMar>
              <w:top w:type="dxa" w:w="45"/>
              <w:left w:type="dxa" w:w="70"/>
              <w:bottom w:type="dxa" w:w="45"/>
              <w:right w:type="dxa" w:w="70"/>
            </w:tcMar>
          </w:tcPr>
          <w:p>
            <w:r>
              <w:rPr>
                <w:rFonts w:ascii="Times New Roman" w:cs="Times New Roman" w:eastAsia="Times New Roman" w:hAnsi="Times New Roman"/>
                <w:b w:val="false"/>
                <w:bCs w:val="false"/>
                <w:color w:val="252525"/>
                <w:sz w:val="16"/>
                <w:szCs w:val="16"/>
              </w:rPr>
              <w:t xml:space="preserve">τ_perturb ∝ 1/κ_TC where κ_TC = μ_eff (TC boundary curvature). Larger M_BH → deeper SN → larger μ_eff → sharper TC barrier → shorter τ_perturb. Slope implies μ_eff ∝ M_BH^{0.405} — a structural prediction of corridor depth scaling.</w:t>
            </w:r>
          </w:p>
        </w:tc>
      </w:tr>
    </w:tbl>
    <w:p>
      <w:pPr>
        <w:spacing w:after="50" w:before="50"/>
      </w:pPr>
      <w:r>
        <w:rPr>
          <w:rFonts w:ascii="Times New Roman" w:cs="Times New Roman" w:eastAsia="Times New Roman" w:hAnsi="Times New Roman"/>
          <w:color w:val="252525"/>
          <w:sz w:val="22"/>
          <w:szCs w:val="22"/>
        </w:rPr>
        <w:t xml:space="preserve"/>
      </w:r>
    </w:p>
    <w:p>
      <w:pPr>
        <w:spacing w:after="100" w:before="100"/>
        <w:jc w:val="both"/>
      </w:pPr>
      <w:r>
        <w:rPr>
          <w:rFonts w:ascii="Times New Roman" w:cs="Times New Roman" w:eastAsia="Times New Roman" w:hAnsi="Times New Roman"/>
          <w:color w:val="555555"/>
          <w:sz w:val="19"/>
          <w:szCs w:val="19"/>
        </w:rPr>
        <w:t xml:space="preserve">Highlighted entries (yellow) show where the M_BH slope is significantly non-zero. The strongest correlation (τ_perturb, F = −0.405) was not present in Y22 and represents new RST-interpretable structure unlocked by the 22-year baseline of Y25.</w:t>
      </w:r>
    </w:p>
    <w:p>
      <w:pPr>
        <w:spacing w:after="50" w:before="50"/>
      </w:pPr>
      <w:r>
        <w:rPr>
          <w:rFonts w:ascii="Times New Roman" w:cs="Times New Roman" w:eastAsia="Times New Roman" w:hAnsi="Times New Roman"/>
          <w:color w:val="252525"/>
          <w:sz w:val="22"/>
          <w:szCs w:val="22"/>
        </w:rPr>
        <w:t xml:space="preserve"/>
      </w:r>
    </w:p>
    <w:p>
      <w:pPr>
        <w:pStyle w:val="Heading2"/>
        <w:spacing w:after="80" w:before="220"/>
      </w:pPr>
      <w:r>
        <w:rPr>
          <w:rFonts w:ascii="Arial" w:cs="Arial" w:eastAsia="Arial" w:hAnsi="Arial"/>
          <w:b/>
          <w:bCs/>
          <w:color w:val="2E75B6"/>
          <w:sz w:val="21"/>
          <w:szCs w:val="21"/>
        </w:rPr>
        <w:t xml:space="preserve">4.1  τ_perturb as TC boundary curvature probe</w:t>
      </w:r>
    </w:p>
    <w:p>
      <w:pPr>
        <w:spacing w:after="100" w:before="100"/>
        <w:jc w:val="both"/>
      </w:pPr>
      <w:r>
        <w:rPr>
          <w:rFonts w:ascii="Times New Roman" w:cs="Times New Roman" w:eastAsia="Times New Roman" w:hAnsi="Times New Roman"/>
          <w:color w:val="252525"/>
          <w:sz w:val="22"/>
          <w:szCs w:val="22"/>
        </w:rPr>
        <w:t xml:space="preserve">The τ_perturb ∝ M_BH^{−0.405} correlation deserves detailed discussion because it is the sharpest test of the RST mechanism and was not anticipated by the Y25 authors from their physical model alone.</w:t>
      </w:r>
    </w:p>
    <w:p>
      <w:pPr>
        <w:spacing w:after="100" w:before="100"/>
        <w:jc w:val="both"/>
      </w:pPr>
      <w:r>
        <w:rPr>
          <w:rFonts w:ascii="Times New Roman" w:cs="Times New Roman" w:eastAsia="Times New Roman" w:hAnsi="Times New Roman"/>
          <w:color w:val="252525"/>
          <w:sz w:val="22"/>
          <w:szCs w:val="22"/>
        </w:rPr>
        <w:t xml:space="preserve">In the corridor framework, τ_perturb encodes the TC boundary response timescale. At the TC boundary (x = 0), the corridor potential has curvature: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none" w:color="FFFFFF" w:sz="0"/>
              <w:left w:val="none" w:color="FFFFFF" w:sz="0"/>
              <w:bottom w:val="none" w:color="FFFFFF" w:sz="0"/>
              <w:right w:val="none" w:color="FFFFFF" w:sz="0"/>
            </w:tcBorders>
            <w:shd w:fill="F4F4F4" w:val="clear"/>
            <w:tcMar>
              <w:top w:type="dxa" w:w="80"/>
              <w:left w:type="dxa" w:w="280"/>
              <w:bottom w:type="dxa" w:w="80"/>
              <w:right w:type="dxa" w:w="280"/>
            </w:tcMar>
          </w:tcPr>
          <w:p>
            <w:pPr>
              <w:spacing w:after="24" w:before="24"/>
              <w:jc w:val="center"/>
            </w:pPr>
            <w:r>
              <w:rPr>
                <w:rFonts w:ascii="Courier New" w:cs="Courier New" w:eastAsia="Courier New" w:hAnsi="Courier New"/>
                <w:color w:val="252525"/>
                <w:sz w:val="20"/>
                <w:szCs w:val="20"/>
              </w:rPr>
              <w:t xml:space="preserve">κ_TC = d²V_TC/dx²|_{x=0}  =  μ_eff     [from TC normal form V = −μx²/2 + x³/3]</w:t>
            </w:r>
          </w:p>
        </w:tc>
      </w:tr>
    </w:tbl>
    <w:p>
      <w:pPr>
        <w:spacing w:after="100" w:before="100"/>
        <w:jc w:val="both"/>
      </w:pPr>
      <w:r>
        <w:rPr>
          <w:rFonts w:ascii="Times New Roman" w:cs="Times New Roman" w:eastAsia="Times New Roman" w:hAnsi="Times New Roman"/>
          <w:color w:val="252525"/>
          <w:sz w:val="22"/>
          <w:szCs w:val="22"/>
        </w:rPr>
        <w:t xml:space="preserve">The TC response timescale is τ_perturb ~ 1/κ_TC = 1/μ_eff. As the system moves deeper into the SN well (larger M_BH), the control parameter μ_eff increases — the TC boundary becomes sharper — and τ_perturb decreases. The observed slope −0.405 implies: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none" w:color="FFFFFF" w:sz="0"/>
              <w:left w:val="none" w:color="FFFFFF" w:sz="0"/>
              <w:bottom w:val="none" w:color="FFFFFF" w:sz="0"/>
              <w:right w:val="none" w:color="FFFFFF" w:sz="0"/>
            </w:tcBorders>
            <w:shd w:fill="F4F4F4" w:val="clear"/>
            <w:tcMar>
              <w:top w:type="dxa" w:w="80"/>
              <w:left w:type="dxa" w:w="280"/>
              <w:bottom w:type="dxa" w:w="80"/>
              <w:right w:type="dxa" w:w="280"/>
            </w:tcMar>
          </w:tcPr>
          <w:p>
            <w:pPr>
              <w:spacing w:after="24" w:before="24"/>
              <w:jc w:val="center"/>
            </w:pPr>
            <w:r>
              <w:rPr>
                <w:rFonts w:ascii="Courier New" w:cs="Courier New" w:eastAsia="Courier New" w:hAnsi="Courier New"/>
                <w:color w:val="252525"/>
                <w:sz w:val="20"/>
                <w:szCs w:val="20"/>
              </w:rPr>
              <w:t xml:space="preserve">μ_eff  ∝  M_BH^{0.405}</w:t>
            </w:r>
          </w:p>
        </w:tc>
      </w:tr>
    </w:tbl>
    <w:p>
      <w:pPr>
        <w:spacing w:after="100" w:before="100"/>
        <w:jc w:val="both"/>
      </w:pPr>
      <w:r>
        <w:rPr>
          <w:rFonts w:ascii="Times New Roman" w:cs="Times New Roman" w:eastAsia="Times New Roman" w:hAnsi="Times New Roman"/>
          <w:color w:val="252525"/>
          <w:sz w:val="22"/>
          <w:szCs w:val="22"/>
        </w:rPr>
        <w:t xml:space="preserve">This is a quantitative prediction of how corridor depth (as measured by the effective TC control parameter) scales with black hole mass. A decade increase in M_BH (e.g., log M_BH from 8 to 9) decreases τ_perturb by a factor of ~2.5, consistent with Yu et al.'s published data.</w:t>
      </w:r>
    </w:p>
    <w:p>
      <w:pPr>
        <w:spacing w:after="100" w:before="100"/>
        <w:jc w:val="both"/>
      </w:pPr>
      <w:r>
        <w:rPr>
          <w:rFonts w:ascii="Times New Roman" w:cs="Times New Roman" w:eastAsia="Times New Roman" w:hAnsi="Times New Roman"/>
          <w:color w:val="252525"/>
          <w:sz w:val="22"/>
          <w:szCs w:val="22"/>
        </w:rPr>
        <w:t xml:space="preserve">Y25 interprets τ_perturb as the timescale of X-ray corona reprocessing, and notes that the anti-correlation with M_BH is 'consistent with X-ray reprocessing being more prominent in AGN with smaller M_BH.' The RST interpretation adds the mechanism: smaller M_BH systems are shallower in their SN corridor, making their TC boundary less sharp, resulting in longer and more noticeable TC-approach events.</w:t>
      </w:r>
    </w:p>
    <w:p>
      <w:pPr>
        <w:spacing w:after="50" w:before="50"/>
      </w:pPr>
      <w:r>
        <w:rPr>
          <w:rFonts w:ascii="Times New Roman" w:cs="Times New Roman" w:eastAsia="Times New Roman" w:hAnsi="Times New Roman"/>
          <w:color w:val="252525"/>
          <w:sz w:val="22"/>
          <w:szCs w:val="22"/>
        </w:rPr>
        <w:t xml:space="preserve"/>
      </w:r>
    </w:p>
    <w:p>
      <w:pPr>
        <w:pStyle w:val="Heading2"/>
        <w:spacing w:after="80" w:before="220"/>
      </w:pPr>
      <w:r>
        <w:rPr>
          <w:rFonts w:ascii="Arial" w:cs="Arial" w:eastAsia="Arial" w:hAnsi="Arial"/>
          <w:b/>
          <w:bCs/>
          <w:color w:val="2E75B6"/>
          <w:sz w:val="21"/>
          <w:szCs w:val="21"/>
        </w:rPr>
        <w:t xml:space="preserve">4.2  τ_decay independence from M_BH as corridor center universality</w:t>
      </w:r>
    </w:p>
    <w:p>
      <w:pPr>
        <w:spacing w:after="100" w:before="100"/>
        <w:jc w:val="both"/>
      </w:pPr>
      <w:r>
        <w:rPr>
          <w:rFonts w:ascii="Times New Roman" w:cs="Times New Roman" w:eastAsia="Times New Roman" w:hAnsi="Times New Roman"/>
          <w:color w:val="252525"/>
          <w:sz w:val="22"/>
          <w:szCs w:val="22"/>
        </w:rPr>
        <w:t xml:space="preserve">The near-zero slope of τ_decay with M_BH (F = −0.031 ± 0.016, consistent with zero at ~2σ) is the most constraining prediction RST makes from the published data, because it is specific: the RST framework requires τ_decay to be independent of M_BH.</w:t>
      </w:r>
    </w:p>
    <w:p>
      <w:pPr>
        <w:spacing w:after="100" w:before="100"/>
        <w:jc w:val="both"/>
      </w:pPr>
      <w:r>
        <w:rPr>
          <w:rFonts w:ascii="Times New Roman" w:cs="Times New Roman" w:eastAsia="Times New Roman" w:hAnsi="Times New Roman"/>
          <w:color w:val="252525"/>
          <w:sz w:val="22"/>
          <w:szCs w:val="22"/>
        </w:rPr>
        <w:t xml:space="preserve">τ_decay = 1/κ_SN is the SN well relaxation timescale. At the corridor center (μ* = 4), the SN well curvature 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none" w:color="FFFFFF" w:sz="0"/>
              <w:left w:val="none" w:color="FFFFFF" w:sz="0"/>
              <w:bottom w:val="none" w:color="FFFFFF" w:sz="0"/>
              <w:right w:val="none" w:color="FFFFFF" w:sz="0"/>
            </w:tcBorders>
            <w:shd w:fill="F4F4F4" w:val="clear"/>
            <w:tcMar>
              <w:top w:type="dxa" w:w="80"/>
              <w:left w:type="dxa" w:w="280"/>
              <w:bottom w:type="dxa" w:w="80"/>
              <w:right w:type="dxa" w:w="280"/>
            </w:tcMar>
          </w:tcPr>
          <w:p>
            <w:pPr>
              <w:spacing w:after="24" w:before="24"/>
              <w:jc w:val="center"/>
            </w:pPr>
            <w:r>
              <w:rPr>
                <w:rFonts w:ascii="Courier New" w:cs="Courier New" w:eastAsia="Courier New" w:hAnsi="Courier New"/>
                <w:color w:val="252525"/>
                <w:sz w:val="20"/>
                <w:szCs w:val="20"/>
              </w:rPr>
              <w:t xml:space="preserve">κ_SN = d²V_SN/dx²|_{x=μ*} = μ*^{1/2} = 2    [at μ* = 4]</w:t>
            </w:r>
          </w:p>
        </w:tc>
      </w:tr>
    </w:tbl>
    <w:p>
      <w:pPr>
        <w:spacing w:after="100" w:before="100"/>
        <w:jc w:val="both"/>
      </w:pPr>
      <w:r>
        <w:rPr>
          <w:rFonts w:ascii="Times New Roman" w:cs="Times New Roman" w:eastAsia="Times New Roman" w:hAnsi="Times New Roman"/>
          <w:color w:val="252525"/>
          <w:sz w:val="22"/>
          <w:szCs w:val="22"/>
        </w:rPr>
        <w:t xml:space="preserve">The corridor center μ* = 4 is universal — it is the fixed point of the equal-MFPT condition (equal mean first passage time to both boundaries), independent of the system's absolute scale. The SN well curvature κ_SN at the center is therefore universal. τ_decay ~ 1/κ_SN should be independent of M_BH in any system operating near its corridor center. The near-zero observed slope confirms this.</w:t>
      </w:r>
    </w:p>
    <w:p>
      <w:pPr>
        <w:spacing w:after="100" w:before="100"/>
        <w:jc w:val="both"/>
      </w:pPr>
      <w:r>
        <w:rPr>
          <w:rFonts w:ascii="Times New Roman" w:cs="Times New Roman" w:eastAsia="Times New Roman" w:hAnsi="Times New Roman"/>
          <w:color w:val="252525"/>
          <w:sz w:val="22"/>
          <w:szCs w:val="22"/>
        </w:rPr>
        <w:t xml:space="preserve">This is distinct from the Y25 explanation (that the discrepancy with the Shakura-Sunyaev viscous timescale prediction is due to disk range effects). Both explanations may be correct at different levels. RST adds: the independence of τ_decay from M_BH is not a puzzle requiring explanation by range effects; it is a structural prediction of corridor universality.</w:t>
      </w:r>
    </w:p>
    <w:p>
      <w:pPr>
        <w:spacing w:after="50" w:before="50"/>
      </w:pPr>
      <w:r>
        <w:rPr>
          <w:rFonts w:ascii="Times New Roman" w:cs="Times New Roman" w:eastAsia="Times New Roman" w:hAnsi="Times New Roman"/>
          <w:color w:val="252525"/>
          <w:sz w:val="22"/>
          <w:szCs w:val="22"/>
        </w:rPr>
        <w:t xml:space="preserve"/>
      </w:r>
    </w:p>
    <w:p>
      <w:pPr>
        <w:pStyle w:val="Heading1"/>
        <w:spacing w:after="110" w:before="320"/>
      </w:pPr>
      <w:r>
        <w:rPr>
          <w:rFonts w:ascii="Arial" w:cs="Arial" w:eastAsia="Arial" w:hAnsi="Arial"/>
          <w:b/>
          <w:bCs/>
          <w:color w:val="1F3864"/>
          <w:sz w:val="25"/>
          <w:szCs w:val="25"/>
        </w:rPr>
        <w:t xml:space="preserve">5.  Novel RST Predictions</w:t>
      </w:r>
    </w:p>
    <w:p>
      <w:pPr>
        <w:spacing w:after="100" w:before="100"/>
        <w:jc w:val="both"/>
      </w:pPr>
      <w:r>
        <w:rPr>
          <w:rFonts w:ascii="Times New Roman" w:cs="Times New Roman" w:eastAsia="Times New Roman" w:hAnsi="Times New Roman"/>
          <w:color w:val="252525"/>
          <w:sz w:val="22"/>
          <w:szCs w:val="22"/>
        </w:rPr>
        <w:t xml:space="preserve">Three RST predictions follow from the sector-map and corridor-depth identifications that were not tested by Y22 or Y25. All require access to the per-object DHO parameter catalogs (not yet publicly posted as of this writing). We state them precisely to enable testing when the data become available.</w:t>
      </w:r>
    </w:p>
    <w:p>
      <w:pPr>
        <w:spacing w:after="50" w:before="50"/>
      </w:pPr>
      <w:r>
        <w:rPr>
          <w:rFonts w:ascii="Times New Roman" w:cs="Times New Roman" w:eastAsia="Times New Roman" w:hAnsi="Times New Roman"/>
          <w:color w:val="252525"/>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700"/>
      </w:tblGrid>
      <w:tr>
        <w:tc>
          <w:tcPr>
            <w:tcW w:type="dxa" w:w="2000"/>
            <w:tcBorders>
              <w:top w:val="single" w:color="1A5C2A" w:sz="1"/>
              <w:left w:val="single" w:color="1A5C2A" w:sz="1"/>
              <w:bottom w:val="single" w:color="1A5C2A" w:sz="1"/>
              <w:right w:val="single" w:color="1A5C2A" w:sz="1"/>
            </w:tcBorders>
            <w:shd w:fill="1A5C2A" w:val="clear"/>
            <w:tcMar>
              <w:top w:type="dxa" w:w="55"/>
              <w:left w:type="dxa" w:w="80"/>
              <w:bottom w:type="dxa" w:w="55"/>
              <w:right w:type="dxa" w:w="80"/>
            </w:tcMar>
          </w:tcPr>
          <w:p>
            <w:pPr>
              <w:jc w:val="center"/>
            </w:pPr>
            <w:r>
              <w:rPr>
                <w:rFonts w:ascii="Arial" w:cs="Arial" w:eastAsia="Arial" w:hAnsi="Arial"/>
                <w:b/>
                <w:bCs/>
                <w:color w:val="FFFFFF"/>
                <w:sz w:val="17"/>
                <w:szCs w:val="17"/>
              </w:rPr>
              <w:t xml:space="preserve">Prediction</w:t>
            </w:r>
          </w:p>
        </w:tc>
        <w:tc>
          <w:tcPr>
            <w:tcW w:type="dxa" w:w="2200"/>
            <w:tcBorders>
              <w:top w:val="single" w:color="1A5C2A" w:sz="1"/>
              <w:left w:val="single" w:color="1A5C2A" w:sz="1"/>
              <w:bottom w:val="single" w:color="1A5C2A" w:sz="1"/>
              <w:right w:val="single" w:color="1A5C2A" w:sz="1"/>
            </w:tcBorders>
            <w:shd w:fill="1A5C2A" w:val="clear"/>
            <w:tcMar>
              <w:top w:type="dxa" w:w="55"/>
              <w:left w:type="dxa" w:w="80"/>
              <w:bottom w:type="dxa" w:w="55"/>
              <w:right w:type="dxa" w:w="80"/>
            </w:tcMar>
          </w:tcPr>
          <w:p>
            <w:pPr>
              <w:jc w:val="center"/>
            </w:pPr>
            <w:r>
              <w:rPr>
                <w:rFonts w:ascii="Arial" w:cs="Arial" w:eastAsia="Arial" w:hAnsi="Arial"/>
                <w:b/>
                <w:bCs/>
                <w:color w:val="FFFFFF"/>
                <w:sz w:val="17"/>
                <w:szCs w:val="17"/>
              </w:rPr>
              <w:t xml:space="preserve">Observable</w:t>
            </w:r>
          </w:p>
        </w:tc>
        <w:tc>
          <w:tcPr>
            <w:tcW w:type="dxa" w:w="2200"/>
            <w:tcBorders>
              <w:top w:val="single" w:color="1A5C2A" w:sz="1"/>
              <w:left w:val="single" w:color="1A5C2A" w:sz="1"/>
              <w:bottom w:val="single" w:color="1A5C2A" w:sz="1"/>
              <w:right w:val="single" w:color="1A5C2A" w:sz="1"/>
            </w:tcBorders>
            <w:shd w:fill="1A5C2A" w:val="clear"/>
            <w:tcMar>
              <w:top w:type="dxa" w:w="55"/>
              <w:left w:type="dxa" w:w="80"/>
              <w:bottom w:type="dxa" w:w="55"/>
              <w:right w:type="dxa" w:w="80"/>
            </w:tcMar>
          </w:tcPr>
          <w:p>
            <w:pPr>
              <w:jc w:val="center"/>
            </w:pPr>
            <w:r>
              <w:rPr>
                <w:rFonts w:ascii="Arial" w:cs="Arial" w:eastAsia="Arial" w:hAnsi="Arial"/>
                <w:b/>
                <w:bCs/>
                <w:color w:val="FFFFFF"/>
                <w:sz w:val="17"/>
                <w:szCs w:val="17"/>
              </w:rPr>
              <w:t xml:space="preserve">Direction</w:t>
            </w:r>
          </w:p>
        </w:tc>
        <w:tc>
          <w:tcPr>
            <w:tcW w:type="dxa" w:w="2700"/>
            <w:tcBorders>
              <w:top w:val="single" w:color="1A5C2A" w:sz="1"/>
              <w:left w:val="single" w:color="1A5C2A" w:sz="1"/>
              <w:bottom w:val="single" w:color="1A5C2A" w:sz="1"/>
              <w:right w:val="single" w:color="1A5C2A" w:sz="1"/>
            </w:tcBorders>
            <w:shd w:fill="1A5C2A" w:val="clear"/>
            <w:tcMar>
              <w:top w:type="dxa" w:w="55"/>
              <w:left w:type="dxa" w:w="80"/>
              <w:bottom w:type="dxa" w:w="55"/>
              <w:right w:type="dxa" w:w="80"/>
            </w:tcMar>
          </w:tcPr>
          <w:p>
            <w:pPr>
              <w:jc w:val="center"/>
            </w:pPr>
            <w:r>
              <w:rPr>
                <w:rFonts w:ascii="Arial" w:cs="Arial" w:eastAsia="Arial" w:hAnsi="Arial"/>
                <w:b/>
                <w:bCs/>
                <w:color w:val="FFFFFF"/>
                <w:sz w:val="17"/>
                <w:szCs w:val="17"/>
              </w:rPr>
              <w:t xml:space="preserve">Test method</w:t>
            </w:r>
          </w:p>
        </w:tc>
      </w:tr>
      <w:tr>
        <w:tc>
          <w:tcPr>
            <w:tcW w:type="dxa" w:w="2000"/>
            <w:tcBorders>
              <w:top w:val="single" w:color="AAAAAA" w:sz="1"/>
              <w:left w:val="single" w:color="AAAAAA" w:sz="1"/>
              <w:bottom w:val="single" w:color="AAAAAA" w:sz="1"/>
              <w:right w:val="single" w:color="AAAAAA" w:sz="1"/>
            </w:tcBorders>
            <w:shd w:fill="E2F0E6"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P1: ξ increases with M_BH</w:t>
            </w:r>
          </w:p>
        </w:tc>
        <w:tc>
          <w:tcPr>
            <w:tcW w:type="dxa" w:w="2200"/>
            <w:tcBorders>
              <w:top w:val="single" w:color="AAAAAA" w:sz="1"/>
              <w:left w:val="single" w:color="AAAAAA" w:sz="1"/>
              <w:bottom w:val="single" w:color="AAAAAA" w:sz="1"/>
              <w:right w:val="single" w:color="AAAAAA" w:sz="1"/>
            </w:tcBorders>
            <w:shd w:fill="E2F0E6"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Damping ratio ξ vs. log(M_BH)
for Class C sample</w:t>
            </w:r>
          </w:p>
        </w:tc>
        <w:tc>
          <w:tcPr>
            <w:tcW w:type="dxa" w:w="2200"/>
            <w:tcBorders>
              <w:top w:val="single" w:color="AAAAAA" w:sz="1"/>
              <w:left w:val="single" w:color="AAAAAA" w:sz="1"/>
              <w:bottom w:val="single" w:color="AAAAAA" w:sz="1"/>
              <w:right w:val="single" w:color="AAAAAA" w:sz="1"/>
            </w:tcBorders>
            <w:shd w:fill="E2F0E6"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Positive: Δlog(ξ)/Δlog(M_BH) &gt; 0
Predicted slope ~0.2–0.4</w:t>
            </w:r>
          </w:p>
        </w:tc>
        <w:tc>
          <w:tcPr>
            <w:tcW w:type="dxa" w:w="2700"/>
            <w:tcBorders>
              <w:top w:val="single" w:color="AAAAAA" w:sz="1"/>
              <w:left w:val="single" w:color="AAAAAA" w:sz="1"/>
              <w:bottom w:val="single" w:color="AAAAAA" w:sz="1"/>
              <w:right w:val="single" w:color="AAAAAA" w:sz="1"/>
            </w:tcBorders>
            <w:shd w:fill="E2F0E6"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Bisector regression of log(ξ) vs log(M_BH) at fixed L/LEdd. Restrict to Class C (ξ &gt; 1). Predicted slope comparable to τ_perturb slope (~0.4) since both measure corridor depth.</w:t>
            </w:r>
          </w:p>
        </w:tc>
      </w:tr>
      <w:tr>
        <w:tc>
          <w:tcPr>
            <w:tcW w:type="dxa" w:w="2000"/>
            <w:tcBorders>
              <w:top w:val="single" w:color="AAAAAA" w:sz="1"/>
              <w:left w:val="single" w:color="AAAAAA" w:sz="1"/>
              <w:bottom w:val="single" w:color="AAAAAA" w:sz="1"/>
              <w:right w:val="single" w:color="AAAAAA" w:sz="1"/>
            </w:tcBorders>
            <w:shd w:fill="E8F5E9"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P2: Class C fraction increases with M_BH</w:t>
            </w:r>
          </w:p>
        </w:tc>
        <w:tc>
          <w:tcPr>
            <w:tcW w:type="dxa" w:w="2200"/>
            <w:tcBorders>
              <w:top w:val="single" w:color="AAAAAA" w:sz="1"/>
              <w:left w:val="single" w:color="AAAAAA" w:sz="1"/>
              <w:bottom w:val="single" w:color="AAAAAA" w:sz="1"/>
              <w:right w:val="single" w:color="AAAAAA" w:sz="1"/>
            </w:tcBorders>
            <w:shd w:fill="E8F5E9"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Fraction of clean fits classified as Class C vs. log(M_BH)</w:t>
            </w:r>
          </w:p>
        </w:tc>
        <w:tc>
          <w:tcPr>
            <w:tcW w:type="dxa" w:w="2200"/>
            <w:tcBorders>
              <w:top w:val="single" w:color="AAAAAA" w:sz="1"/>
              <w:left w:val="single" w:color="AAAAAA" w:sz="1"/>
              <w:bottom w:val="single" w:color="AAAAAA" w:sz="1"/>
              <w:right w:val="single" w:color="AAAAAA" w:sz="1"/>
            </w:tcBorders>
            <w:shd w:fill="E8F5E9"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Monotone increase
From ~65% at log(M_BH)=7.5 to ~85% at log(M_BH)=9.5</w:t>
            </w:r>
          </w:p>
        </w:tc>
        <w:tc>
          <w:tcPr>
            <w:tcW w:type="dxa" w:w="2700"/>
            <w:tcBorders>
              <w:top w:val="single" w:color="AAAAAA" w:sz="1"/>
              <w:left w:val="single" w:color="AAAAAA" w:sz="1"/>
              <w:bottom w:val="single" w:color="AAAAAA" w:sz="1"/>
              <w:right w:val="single" w:color="AAAAAA" w:sz="1"/>
            </w:tcBorders>
            <w:shd w:fill="E8F5E9"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Bin clean sample by M_BH. Compute Class C fraction (overdamped/total) per bin. Prediction: fraction increases by ~20 percentage points over two decades of M_BH.</w:t>
            </w:r>
          </w:p>
        </w:tc>
      </w:tr>
      <w:tr>
        <w:tc>
          <w:tcPr>
            <w:tcW w:type="dxa" w:w="2000"/>
            <w:tcBorders>
              <w:top w:val="single" w:color="AAAAAA" w:sz="1"/>
              <w:left w:val="single" w:color="AAAAAA" w:sz="1"/>
              <w:bottom w:val="single" w:color="AAAAAA" w:sz="1"/>
              <w:right w:val="single" w:color="AAAAAA" w:sz="1"/>
            </w:tcBorders>
            <w:shd w:fill="E2F0E6"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P3: τ_decay/τ_rise ≈ 1 at corridor center</w:t>
            </w:r>
          </w:p>
        </w:tc>
        <w:tc>
          <w:tcPr>
            <w:tcW w:type="dxa" w:w="2200"/>
            <w:tcBorders>
              <w:top w:val="single" w:color="AAAAAA" w:sz="1"/>
              <w:left w:val="single" w:color="AAAAAA" w:sz="1"/>
              <w:bottom w:val="single" w:color="AAAAAA" w:sz="1"/>
              <w:right w:val="single" w:color="AAAAAA" w:sz="1"/>
            </w:tcBorders>
            <w:shd w:fill="E2F0E6"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Distribution of τ_decay/τ_rise for Class C sample</w:t>
            </w:r>
          </w:p>
        </w:tc>
        <w:tc>
          <w:tcPr>
            <w:tcW w:type="dxa" w:w="2200"/>
            <w:tcBorders>
              <w:top w:val="single" w:color="AAAAAA" w:sz="1"/>
              <w:left w:val="single" w:color="AAAAAA" w:sz="1"/>
              <w:bottom w:val="single" w:color="AAAAAA" w:sz="1"/>
              <w:right w:val="single" w:color="AAAAAA" w:sz="1"/>
            </w:tcBorders>
            <w:shd w:fill="E2F0E6"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Peak near τ_decay/τ_rise = 1
With scatter encoding distance from μ* = 4</w:t>
            </w:r>
          </w:p>
        </w:tc>
        <w:tc>
          <w:tcPr>
            <w:tcW w:type="dxa" w:w="2700"/>
            <w:tcBorders>
              <w:top w:val="single" w:color="AAAAAA" w:sz="1"/>
              <w:left w:val="single" w:color="AAAAAA" w:sz="1"/>
              <w:bottom w:val="single" w:color="AAAAAA" w:sz="1"/>
              <w:right w:val="single" w:color="AAAAAA" w:sz="1"/>
            </w:tcBorders>
            <w:shd w:fill="E2F0E6" w:val="clear"/>
            <w:tcMar>
              <w:top w:type="dxa" w:w="48"/>
              <w:left w:type="dxa" w:w="80"/>
              <w:bottom w:type="dxa" w:w="48"/>
              <w:right w:type="dxa" w:w="80"/>
            </w:tcMar>
          </w:tcPr>
          <w:p>
            <w:r>
              <w:rPr>
                <w:rFonts w:ascii="Times New Roman" w:cs="Times New Roman" w:eastAsia="Times New Roman" w:hAnsi="Times New Roman"/>
                <w:color w:val="555555"/>
                <w:sz w:val="19"/>
                <w:szCs w:val="19"/>
              </w:rPr>
              <w:t xml:space="preserve">Compute τ_decay and τ_rise for all Class C fits (τ_rise requires ξ values). Plot distribution of log(τ_decay/τ_rise). RST predicts median near 0 (ratio ~1) since at μ* = 4, DV_TC = DV_SN exactly. Deviation from 0 measures displacement from corridor center.</w:t>
            </w:r>
          </w:p>
        </w:tc>
      </w:tr>
    </w:tbl>
    <w:p>
      <w:pPr>
        <w:spacing w:after="50" w:before="50"/>
      </w:pPr>
      <w:r>
        <w:rPr>
          <w:rFonts w:ascii="Times New Roman" w:cs="Times New Roman" w:eastAsia="Times New Roman" w:hAnsi="Times New Roman"/>
          <w:color w:val="252525"/>
          <w:sz w:val="22"/>
          <w:szCs w:val="22"/>
        </w:rPr>
        <w:t xml:space="preserve"/>
      </w:r>
    </w:p>
    <w:p>
      <w:pPr>
        <w:pStyle w:val="Heading2"/>
        <w:spacing w:after="80" w:before="220"/>
      </w:pPr>
      <w:r>
        <w:rPr>
          <w:rFonts w:ascii="Arial" w:cs="Arial" w:eastAsia="Arial" w:hAnsi="Arial"/>
          <w:b/>
          <w:bCs/>
          <w:color w:val="2E75B6"/>
          <w:sz w:val="21"/>
          <w:szCs w:val="21"/>
        </w:rPr>
        <w:t xml:space="preserve">5.1  On prediction P1</w:t>
      </w:r>
    </w:p>
    <w:p>
      <w:pPr>
        <w:spacing w:after="100" w:before="100"/>
        <w:jc w:val="both"/>
      </w:pPr>
      <w:r>
        <w:rPr>
          <w:rFonts w:ascii="Times New Roman" w:cs="Times New Roman" w:eastAsia="Times New Roman" w:hAnsi="Times New Roman"/>
          <w:color w:val="252525"/>
          <w:sz w:val="22"/>
          <w:szCs w:val="22"/>
        </w:rPr>
        <w:t xml:space="preserve">Y25 did not test ξ vs M_BH because the underdamped classification (Class A) is unreliable given SDSS cadence. However, the Class C (overdamped) classification precision is high — Y25's simulations show that the overdamped/underdamped division is reliable for Class C objects. Within the Class C population, ξ ranges from just above 1 to approximately 50 (log ξ up to ~1.7). Testing whether ξ increases with M_BH within this reliable overdamped population is feasible and was not attempted.</w:t>
      </w:r>
    </w:p>
    <w:p>
      <w:pPr>
        <w:spacing w:after="100" w:before="100"/>
        <w:jc w:val="both"/>
      </w:pPr>
      <w:r>
        <w:rPr>
          <w:rFonts w:ascii="Times New Roman" w:cs="Times New Roman" w:eastAsia="Times New Roman" w:hAnsi="Times New Roman"/>
          <w:color w:val="252525"/>
          <w:sz w:val="22"/>
          <w:szCs w:val="22"/>
        </w:rPr>
        <w:t xml:space="preserve">The physical reasoning: as M_BH increases, the system is deeper in its SN well. ξ = α₁/(2ω₀) = ω₀ξ/ω₀ = the dimensionless damping of the corridor response. Deeper SN operation means the SN barrier dominates over the TC barrier in the corridor response, which increases ξ. The predicted slope is ~0.4, comparable to the τ_perturb slope since both encode the same corridor depth parameter μ_eff.</w:t>
      </w:r>
    </w:p>
    <w:p>
      <w:pPr>
        <w:spacing w:after="50" w:before="50"/>
      </w:pPr>
      <w:r>
        <w:rPr>
          <w:rFonts w:ascii="Times New Roman" w:cs="Times New Roman" w:eastAsia="Times New Roman" w:hAnsi="Times New Roman"/>
          <w:color w:val="252525"/>
          <w:sz w:val="22"/>
          <w:szCs w:val="22"/>
        </w:rPr>
        <w:t xml:space="preserve"/>
      </w:r>
    </w:p>
    <w:p>
      <w:pPr>
        <w:pStyle w:val="Heading2"/>
        <w:spacing w:after="80" w:before="220"/>
      </w:pPr>
      <w:r>
        <w:rPr>
          <w:rFonts w:ascii="Arial" w:cs="Arial" w:eastAsia="Arial" w:hAnsi="Arial"/>
          <w:b/>
          <w:bCs/>
          <w:color w:val="2E75B6"/>
          <w:sz w:val="21"/>
          <w:szCs w:val="21"/>
        </w:rPr>
        <w:t xml:space="preserve">5.2  On prediction P3</w:t>
      </w:r>
    </w:p>
    <w:p>
      <w:pPr>
        <w:spacing w:after="100" w:before="100"/>
        <w:jc w:val="both"/>
      </w:pPr>
      <w:r>
        <w:rPr>
          <w:rFonts w:ascii="Times New Roman" w:cs="Times New Roman" w:eastAsia="Times New Roman" w:hAnsi="Times New Roman"/>
          <w:color w:val="252525"/>
          <w:sz w:val="22"/>
          <w:szCs w:val="22"/>
        </w:rPr>
        <w:t xml:space="preserve">At the corridor center μ* = 4, the TC and SN barrier heights are equal: DV_TC = μ*³/6 = 10.67 and DV_SN = 4μ*^{3/2}/3 = 10.67 (by definition of the equal-MFPT condition). The two Lorentzian components of the Class C PSD peak at 1/τ_decay (SN well relaxation) and 1/τ_rise (TC approach). If τ_decay ~ 1/κ_SN and τ_rise ~ 1/κ_TC, and if DV_TC = DV_SN at the corridor center, then τ_decay/τ_rise = κ_TC/κ_SN ≈ 1 at the center.</w:t>
      </w:r>
    </w:p>
    <w:p>
      <w:pPr>
        <w:spacing w:after="100" w:before="100"/>
        <w:jc w:val="both"/>
      </w:pPr>
      <w:r>
        <w:rPr>
          <w:rFonts w:ascii="Times New Roman" w:cs="Times New Roman" w:eastAsia="Times New Roman" w:hAnsi="Times New Roman"/>
          <w:color w:val="252525"/>
          <w:sz w:val="22"/>
          <w:szCs w:val="22"/>
        </w:rPr>
        <w:t xml:space="preserve">The distribution of τ_decay/τ_rise should be approximately log-normal centered at 0, with the width encoding the distribution of displacements from the corridor center. Systems with log(τ_decay/τ_rise) &gt; 0 operate below the corridor center (TC barrier higher than SN barrier, unusual for AGN), while systems with log(τ_decay/τ_rise) &lt; 0 operate above center (SN barrier higher, deep SN operation, majority of Class C).</w:t>
      </w:r>
    </w:p>
    <w:p>
      <w:pPr>
        <w:spacing w:after="50" w:before="50"/>
      </w:pPr>
      <w:r>
        <w:rPr>
          <w:rFonts w:ascii="Times New Roman" w:cs="Times New Roman" w:eastAsia="Times New Roman" w:hAnsi="Times New Roman"/>
          <w:color w:val="252525"/>
          <w:sz w:val="22"/>
          <w:szCs w:val="22"/>
        </w:rPr>
        <w:t xml:space="preserve"/>
      </w:r>
    </w:p>
    <w:p>
      <w:pPr>
        <w:pStyle w:val="Heading1"/>
        <w:spacing w:after="110" w:before="320"/>
      </w:pPr>
      <w:r>
        <w:rPr>
          <w:rFonts w:ascii="Arial" w:cs="Arial" w:eastAsia="Arial" w:hAnsi="Arial"/>
          <w:b/>
          <w:bCs/>
          <w:color w:val="1F3864"/>
          <w:sz w:val="25"/>
          <w:szCs w:val="25"/>
        </w:rPr>
        <w:t xml:space="preserve">6.  Discussion</w:t>
      </w:r>
    </w:p>
    <w:p>
      <w:pPr>
        <w:pStyle w:val="Heading2"/>
        <w:spacing w:after="80" w:before="220"/>
      </w:pPr>
      <w:r>
        <w:rPr>
          <w:rFonts w:ascii="Arial" w:cs="Arial" w:eastAsia="Arial" w:hAnsi="Arial"/>
          <w:b/>
          <w:bCs/>
          <w:color w:val="2E75B6"/>
          <w:sz w:val="21"/>
          <w:szCs w:val="21"/>
        </w:rPr>
        <w:t xml:space="preserve">6.1  Relationship to standard accretion physics</w:t>
      </w:r>
    </w:p>
    <w:p>
      <w:pPr>
        <w:spacing w:after="100" w:before="100"/>
        <w:jc w:val="both"/>
      </w:pPr>
      <w:r>
        <w:rPr>
          <w:rFonts w:ascii="Times New Roman" w:cs="Times New Roman" w:eastAsia="Times New Roman" w:hAnsi="Times New Roman"/>
          <w:color w:val="252525"/>
          <w:sz w:val="22"/>
          <w:szCs w:val="22"/>
        </w:rPr>
        <w:t xml:space="preserve">The RST identification does not contradict the Y25 physical interpretation. Propagating accretion rate fluctuations (Y25's mechanism for the LF Lorentzian) are the disk-level realization of TC-class inheritance dynamics. X-ray corona reprocessing (Y25's mechanism for the HF Lorentzian) is the accretion-physics realization of SN-class cascade dynamics in the inner hot flow. RST provides the organizing framework; Y25 provides the physical mechanisms within that framework.</w:t>
      </w:r>
    </w:p>
    <w:p>
      <w:pPr>
        <w:spacing w:after="100" w:before="100"/>
        <w:jc w:val="both"/>
      </w:pPr>
      <w:r>
        <w:rPr>
          <w:rFonts w:ascii="Times New Roman" w:cs="Times New Roman" w:eastAsia="Times New Roman" w:hAnsi="Times New Roman"/>
          <w:color w:val="252525"/>
          <w:sz w:val="22"/>
          <w:szCs w:val="22"/>
        </w:rPr>
        <w:t xml:space="preserve">The standard Shakura-Sunyaev thin disk model has been known since 1973 to have two instability channels: a thermal-viscous instability (on the thermally unstable branch, SN-like) and a radiation-pressure instability (on the slim-disk branch, cascade-like). The TC boundary in RST language is the low-luminosity stable branch endpoint; the SN boundary is the high-luminosity radiation-pressure dominated branch endpoint. This is not a new observation — but RST provides the language in which the PSD structure follows from it directly.</w:t>
      </w:r>
    </w:p>
    <w:p>
      <w:pPr>
        <w:spacing w:after="50" w:before="50"/>
      </w:pPr>
      <w:r>
        <w:rPr>
          <w:rFonts w:ascii="Times New Roman" w:cs="Times New Roman" w:eastAsia="Times New Roman" w:hAnsi="Times New Roman"/>
          <w:color w:val="252525"/>
          <w:sz w:val="22"/>
          <w:szCs w:val="22"/>
        </w:rPr>
        <w:t xml:space="preserve"/>
      </w:r>
    </w:p>
    <w:p>
      <w:pPr>
        <w:pStyle w:val="Heading2"/>
        <w:spacing w:after="80" w:before="220"/>
      </w:pPr>
      <w:r>
        <w:rPr>
          <w:rFonts w:ascii="Arial" w:cs="Arial" w:eastAsia="Arial" w:hAnsi="Arial"/>
          <w:b/>
          <w:bCs/>
          <w:color w:val="2E75B6"/>
          <w:sz w:val="21"/>
          <w:szCs w:val="21"/>
        </w:rPr>
        <w:t xml:space="preserve">6.2  Why the DHO and not higher-order CARMA?</w:t>
      </w:r>
    </w:p>
    <w:p>
      <w:pPr>
        <w:spacing w:after="100" w:before="100"/>
        <w:jc w:val="both"/>
      </w:pPr>
      <w:r>
        <w:rPr>
          <w:rFonts w:ascii="Times New Roman" w:cs="Times New Roman" w:eastAsia="Times New Roman" w:hAnsi="Times New Roman"/>
          <w:color w:val="252525"/>
          <w:sz w:val="22"/>
          <w:szCs w:val="22"/>
        </w:rPr>
        <w:t xml:space="preserve">Y22 and Y25 find that CARMA(2,1) is sufficient to describe AGN variability despite higher-order CARMA processes being available. RST explains why: the minimal activity-resource system has exactly two degrees of freedom (activity A and resource R), producing exactly a second-order stochastic system. Higher-order CARMA would be needed only if the accretion disk had additional slow variables beyond the activity-resource pair. For Class C DHOs, the decoupling of τ_decay and τ_perturb (noted by Y25 — these parameters are largely uncorrelated in the overdamped cluster) is precisely the RST prediction that the LHS (response) and RHS (forcing) of the corridor SDE are governed by separate physical processes that do not need to be tuned to each other.</w:t>
      </w:r>
    </w:p>
    <w:p>
      <w:pPr>
        <w:spacing w:after="50" w:before="50"/>
      </w:pPr>
      <w:r>
        <w:rPr>
          <w:rFonts w:ascii="Times New Roman" w:cs="Times New Roman" w:eastAsia="Times New Roman" w:hAnsi="Times New Roman"/>
          <w:color w:val="252525"/>
          <w:sz w:val="22"/>
          <w:szCs w:val="22"/>
        </w:rPr>
        <w:t xml:space="preserve"/>
      </w:r>
    </w:p>
    <w:p>
      <w:pPr>
        <w:pStyle w:val="Heading2"/>
        <w:spacing w:after="80" w:before="220"/>
      </w:pPr>
      <w:r>
        <w:rPr>
          <w:rFonts w:ascii="Arial" w:cs="Arial" w:eastAsia="Arial" w:hAnsi="Arial"/>
          <w:b/>
          <w:bCs/>
          <w:color w:val="2E75B6"/>
          <w:sz w:val="21"/>
          <w:szCs w:val="21"/>
        </w:rPr>
        <w:t xml:space="preserve">6.3  The 75% Class C prevalence</w:t>
      </w:r>
    </w:p>
    <w:p>
      <w:pPr>
        <w:spacing w:after="100" w:before="100"/>
        <w:jc w:val="both"/>
      </w:pPr>
      <w:r>
        <w:rPr>
          <w:rFonts w:ascii="Times New Roman" w:cs="Times New Roman" w:eastAsia="Times New Roman" w:hAnsi="Times New Roman"/>
          <w:color w:val="252525"/>
          <w:sz w:val="22"/>
          <w:szCs w:val="22"/>
        </w:rPr>
        <w:t xml:space="preserve">The fact that ~75% of the sample is Class C (deep SN operation) is predicted by the corridor asymmetry. The RST framework derives that the SN well is much deeper than the TC well at the corridor center: DV_SN/DV_TC = 9/μ³ for general operating parameter μ, which at μ = 0.5 (a factor of 8 below the corridor center μ* = 4) gives a ratio of 72:1. AGN spend the vast majority of their time in the deep SN well — this is the normal operating state of a persistent activity-resource corridor.</w:t>
      </w:r>
    </w:p>
    <w:p>
      <w:pPr>
        <w:spacing w:after="100" w:before="100"/>
        <w:jc w:val="both"/>
      </w:pPr>
      <w:r>
        <w:rPr>
          <w:rFonts w:ascii="Times New Roman" w:cs="Times New Roman" w:eastAsia="Times New Roman" w:hAnsi="Times New Roman"/>
          <w:color w:val="252525"/>
          <w:sz w:val="22"/>
          <w:szCs w:val="22"/>
        </w:rPr>
        <w:t xml:space="preserve">The ~25% that are Class A or B represent systems that are either temporarily near the TC boundary (high accretion rate fluctuation near starvation), near the BT switching point (class transition), or in a genuinely oscillatory inheritance class (SMBH binary, Lense-Thirring precession). Y25's finding that Class A and B objects cannot be robustly characterized with SDSS-only cadence is consistent with the corridor picture: near the TC boundary and BT point, the system's characteristic timescales are on the order of the orbital/oscillatory period, which requires higher-cadence sampling than the ~5-day median SDSS cadence.</w:t>
      </w:r>
    </w:p>
    <w:p>
      <w:pPr>
        <w:spacing w:after="50" w:before="50"/>
      </w:pPr>
      <w:r>
        <w:rPr>
          <w:rFonts w:ascii="Times New Roman" w:cs="Times New Roman" w:eastAsia="Times New Roman" w:hAnsi="Times New Roman"/>
          <w:color w:val="252525"/>
          <w:sz w:val="22"/>
          <w:szCs w:val="22"/>
        </w:rPr>
        <w:t xml:space="preserve"/>
      </w:r>
    </w:p>
    <w:p>
      <w:pPr>
        <w:pStyle w:val="Heading1"/>
        <w:spacing w:after="110" w:before="320"/>
      </w:pPr>
      <w:r>
        <w:rPr>
          <w:rFonts w:ascii="Arial" w:cs="Arial" w:eastAsia="Arial" w:hAnsi="Arial"/>
          <w:b/>
          <w:bCs/>
          <w:color w:val="1F3864"/>
          <w:sz w:val="25"/>
          <w:szCs w:val="25"/>
        </w:rPr>
        <w:t xml:space="preserve">7.  Conclusions</w:t>
      </w:r>
    </w:p>
    <w:p>
      <w:pPr>
        <w:spacing w:after="100" w:before="100"/>
        <w:jc w:val="both"/>
      </w:pPr>
      <w:r>
        <w:rPr>
          <w:rFonts w:ascii="Times New Roman" w:cs="Times New Roman" w:eastAsia="Times New Roman" w:hAnsi="Times New Roman"/>
          <w:color w:val="252525"/>
          <w:sz w:val="22"/>
          <w:szCs w:val="22"/>
        </w:rPr>
        <w:t xml:space="preserve">We have shown that the DHO/CARMA(2,1) model for AGN variability arises naturally from the RST activity-resource corridor framework, and that the three DHO classes identified in 21,767 quasars by Yu et al. (2025) correspond to the three BT sector classes (Hopf/PF, BT-transition, TC-SN Sector I). The key identifications and their observational support are:</w:t>
      </w:r>
    </w:p>
    <w:p>
      <w:pPr>
        <w:spacing w:after="80" w:before="80"/>
        <w:ind w:left="440"/>
      </w:pPr>
      <w:r>
        <w:rPr>
          <w:rFonts w:ascii="Times New Roman" w:cs="Times New Roman" w:eastAsia="Times New Roman" w:hAnsi="Times New Roman"/>
          <w:b/>
          <w:bCs/>
          <w:color w:val="252525"/>
          <w:sz w:val="22"/>
          <w:szCs w:val="22"/>
        </w:rPr>
        <w:t xml:space="preserve">1. </w:t>
      </w:r>
      <w:r>
        <w:rPr>
          <w:rFonts w:ascii="Times New Roman" w:cs="Times New Roman" w:eastAsia="Times New Roman" w:hAnsi="Times New Roman"/>
          <w:color w:val="252525"/>
          <w:sz w:val="22"/>
          <w:szCs w:val="22"/>
        </w:rPr>
        <w:t xml:space="preserve">The two-Lorentzian PSD of Class C DHOs is the direct PSD signature of a two-boundary activity-resource corridor. The LF Lorentzian (1/τ_decay) = TC boundary approach dynamics; HF Lorentzian (1/τ_rise) = SN cascade dynamics.</w:t>
      </w:r>
    </w:p>
    <w:p>
      <w:pPr>
        <w:spacing w:after="80" w:before="80"/>
        <w:ind w:left="440"/>
      </w:pPr>
      <w:r>
        <w:rPr>
          <w:rFonts w:ascii="Times New Roman" w:cs="Times New Roman" w:eastAsia="Times New Roman" w:hAnsi="Times New Roman"/>
          <w:b/>
          <w:bCs/>
          <w:color w:val="252525"/>
          <w:sz w:val="22"/>
          <w:szCs w:val="22"/>
        </w:rPr>
        <w:t xml:space="preserve">2. </w:t>
      </w:r>
      <w:r>
        <w:rPr>
          <w:rFonts w:ascii="Times New Roman" w:cs="Times New Roman" w:eastAsia="Times New Roman" w:hAnsi="Times New Roman"/>
          <w:color w:val="252525"/>
          <w:sz w:val="22"/>
          <w:szCs w:val="22"/>
        </w:rPr>
        <w:t xml:space="preserve">The near-zero M_BH slope of τ_decay (F = −0.031 ± 0.016) is predicted as a consequence of the universal corridor center μ* = 4, independent of system-specific parameters. This is not an empirical puzzle but a structural prediction.</w:t>
      </w:r>
    </w:p>
    <w:p>
      <w:pPr>
        <w:spacing w:after="80" w:before="80"/>
        <w:ind w:left="440"/>
      </w:pPr>
      <w:r>
        <w:rPr>
          <w:rFonts w:ascii="Times New Roman" w:cs="Times New Roman" w:eastAsia="Times New Roman" w:hAnsi="Times New Roman"/>
          <w:b/>
          <w:bCs/>
          <w:color w:val="252525"/>
          <w:sz w:val="22"/>
          <w:szCs w:val="22"/>
        </w:rPr>
        <w:t xml:space="preserve">3. </w:t>
      </w:r>
      <w:r>
        <w:rPr>
          <w:rFonts w:ascii="Times New Roman" w:cs="Times New Roman" w:eastAsia="Times New Roman" w:hAnsi="Times New Roman"/>
          <w:color w:val="252525"/>
          <w:sz w:val="22"/>
          <w:szCs w:val="22"/>
        </w:rPr>
        <w:t xml:space="preserve">The τ_perturb ∝ M_BH^{−0.405±0.020} correlation (strongest in Y25, not present in Y22) is identified as measuring the TC boundary curvature, which implies μ_eff ∝ M_BH^{0.405} — a quantitative corridor-depth scaling relation.</w:t>
      </w:r>
    </w:p>
    <w:p>
      <w:pPr>
        <w:spacing w:after="80" w:before="80"/>
        <w:ind w:left="440"/>
      </w:pPr>
      <w:r>
        <w:rPr>
          <w:rFonts w:ascii="Times New Roman" w:cs="Times New Roman" w:eastAsia="Times New Roman" w:hAnsi="Times New Roman"/>
          <w:b/>
          <w:bCs/>
          <w:color w:val="252525"/>
          <w:sz w:val="22"/>
          <w:szCs w:val="22"/>
        </w:rPr>
        <w:t xml:space="preserve">4. </w:t>
      </w:r>
      <w:r>
        <w:rPr>
          <w:rFonts w:ascii="Times New Roman" w:cs="Times New Roman" w:eastAsia="Times New Roman" w:hAnsi="Times New Roman"/>
          <w:color w:val="252525"/>
          <w:sz w:val="22"/>
          <w:szCs w:val="22"/>
        </w:rPr>
        <w:t xml:space="preserve">The near-zero M_BH slope of σ_ε (F = 0.025 ± 0.028) is predicted as a consequence of the external forcing being independent of corridor depth.</w:t>
      </w:r>
    </w:p>
    <w:p>
      <w:pPr>
        <w:spacing w:after="100" w:before="100"/>
        <w:jc w:val="both"/>
      </w:pPr>
      <w:r>
        <w:rPr>
          <w:rFonts w:ascii="Times New Roman" w:cs="Times New Roman" w:eastAsia="Times New Roman" w:hAnsi="Times New Roman"/>
          <w:color w:val="252525"/>
          <w:sz w:val="22"/>
          <w:szCs w:val="22"/>
        </w:rPr>
        <w:t xml:space="preserve">Three novel predictions require per-object parameter catalogs not yet publicly posted: (P1) ξ increases with M_BH within Class C; (P2) Class C fraction increases with M_BH; (P3) τ_decay/τ_rise distribution peaks near 1 for the full sample. These are testable against Yu et al.'s forthcoming data release or against the eztao replication of their analysis on the SDSS Stripe 82 quasar catalog.</w:t>
      </w:r>
    </w:p>
    <w:p>
      <w:pPr>
        <w:spacing w:after="100" w:before="100"/>
        <w:jc w:val="both"/>
      </w:pPr>
      <w:r>
        <w:rPr>
          <w:rFonts w:ascii="Times New Roman" w:cs="Times New Roman" w:eastAsia="Times New Roman" w:hAnsi="Times New Roman"/>
          <w:color w:val="252525"/>
          <w:sz w:val="22"/>
          <w:szCs w:val="22"/>
        </w:rPr>
        <w:t xml:space="preserve">The broader implication is that the accretion disk of AGN is an activity-resource corridor in the RST sense, with the SMBH-disk-corona system playing the roles of activity, resource, and boundary-mediating mechanism respectively. The DHO is the correct minimal stochastic model for this corridor — not because it fits the data well (that is the empirical finding of Y22 and Y25), but because it is the stochastic realization of the two-boundary corridor SDE.</w:t>
      </w:r>
    </w:p>
    <w:p>
      <w:pPr>
        <w:spacing w:after="50" w:before="50"/>
      </w:pPr>
      <w:r>
        <w:rPr>
          <w:rFonts w:ascii="Times New Roman" w:cs="Times New Roman" w:eastAsia="Times New Roman" w:hAnsi="Times New Roman"/>
          <w:color w:val="252525"/>
          <w:sz w:val="22"/>
          <w:szCs w:val="22"/>
        </w:rPr>
        <w:t xml:space="preserve"/>
      </w:r>
    </w:p>
    <w:p>
      <w:pPr>
        <w:pBdr>
          <w:bottom w:val="single" w:color="CCCCCC" w:sz="4" w:space="1"/>
        </w:pBdr>
        <w:spacing w:after="110" w:before="110"/>
      </w:pPr>
      <w:r>
        <w:rPr>
          <w:rFonts w:ascii="Times New Roman" w:cs="Times New Roman" w:eastAsia="Times New Roman" w:hAnsi="Times New Roman"/>
          <w:color w:val="252525"/>
          <w:sz w:val="22"/>
          <w:szCs w:val="22"/>
        </w:rPr>
        <w:t xml:space="preserve"/>
      </w:r>
    </w:p>
    <w:p>
      <w:pPr>
        <w:pStyle w:val="Heading1"/>
        <w:spacing w:after="110" w:before="320"/>
      </w:pPr>
      <w:r>
        <w:rPr>
          <w:rFonts w:ascii="Arial" w:cs="Arial" w:eastAsia="Arial" w:hAnsi="Arial"/>
          <w:b/>
          <w:bCs/>
          <w:color w:val="1F3864"/>
          <w:sz w:val="25"/>
          <w:szCs w:val="25"/>
        </w:rPr>
        <w:t xml:space="preserve">Acknowledgments</w:t>
      </w:r>
    </w:p>
    <w:p>
      <w:pPr>
        <w:spacing w:after="100" w:before="100"/>
        <w:jc w:val="both"/>
      </w:pPr>
      <w:r>
        <w:rPr>
          <w:rFonts w:ascii="Times New Roman" w:cs="Times New Roman" w:eastAsia="Times New Roman" w:hAnsi="Times New Roman"/>
          <w:color w:val="252525"/>
          <w:sz w:val="22"/>
          <w:szCs w:val="22"/>
        </w:rPr>
        <w:t xml:space="preserve">The author thanks Weixiang Yu, Gordon Richards, and collaborators for the foundational observational work on which this reinterpretation depends. All quantitative claims in this paper are drawn directly from the published results of Yu et al. (2022, ApJ 936:132) and Yu et al. (2025, arXiv:2508.12076). No unpublished data are used.</w:t>
      </w:r>
    </w:p>
    <w:p>
      <w:pPr>
        <w:spacing w:after="50" w:before="50"/>
      </w:pPr>
      <w:r>
        <w:rPr>
          <w:rFonts w:ascii="Times New Roman" w:cs="Times New Roman" w:eastAsia="Times New Roman" w:hAnsi="Times New Roman"/>
          <w:color w:val="252525"/>
          <w:sz w:val="22"/>
          <w:szCs w:val="22"/>
        </w:rPr>
        <w:t xml:space="preserve"/>
      </w:r>
    </w:p>
    <w:p>
      <w:pPr>
        <w:pStyle w:val="Heading1"/>
        <w:spacing w:after="110" w:before="320"/>
      </w:pPr>
      <w:r>
        <w:rPr>
          <w:rFonts w:ascii="Arial" w:cs="Arial" w:eastAsia="Arial" w:hAnsi="Arial"/>
          <w:b/>
          <w:bCs/>
          <w:color w:val="1F3864"/>
          <w:sz w:val="25"/>
          <w:szCs w:val="25"/>
        </w:rPr>
        <w:t xml:space="preserve">References</w:t>
      </w:r>
    </w:p>
    <w:p>
      <w:pPr>
        <w:spacing w:after="30" w:before="60"/>
      </w:pPr>
      <w:r>
        <w:rPr>
          <w:rFonts w:ascii="Times New Roman" w:cs="Times New Roman" w:eastAsia="Times New Roman" w:hAnsi="Times New Roman"/>
          <w:color w:val="555555"/>
          <w:sz w:val="19"/>
          <w:szCs w:val="19"/>
        </w:rPr>
        <w:t xml:space="preserve">Mindemann, M. 2026, Viability Corridor Framework: Technical Summary, working document (corridor_tech_summary_v3.docx)</w:t>
      </w:r>
    </w:p>
    <w:p>
      <w:pPr>
        <w:spacing w:after="30" w:before="30"/>
      </w:pPr>
      <w:r>
        <w:rPr>
          <w:rFonts w:ascii="Times New Roman" w:cs="Times New Roman" w:eastAsia="Times New Roman" w:hAnsi="Times New Roman"/>
          <w:color w:val="555555"/>
          <w:sz w:val="19"/>
          <w:szCs w:val="19"/>
        </w:rPr>
        <w:t xml:space="preserve">Moreno, J., Vogeley, M. S., Richards, G. T., &amp; Yu, W. 2019, PASP, 131, 063001</w:t>
      </w:r>
    </w:p>
    <w:p>
      <w:pPr>
        <w:spacing w:after="30" w:before="30"/>
      </w:pPr>
      <w:r>
        <w:rPr>
          <w:rFonts w:ascii="Times New Roman" w:cs="Times New Roman" w:eastAsia="Times New Roman" w:hAnsi="Times New Roman"/>
          <w:color w:val="555555"/>
          <w:sz w:val="19"/>
          <w:szCs w:val="19"/>
        </w:rPr>
        <w:t xml:space="preserve">Shakura, N. I. &amp; Sunyaev, R. A. 1973, A&amp;A, 24, 337</w:t>
      </w:r>
    </w:p>
    <w:p>
      <w:pPr>
        <w:spacing w:after="30" w:before="30"/>
      </w:pPr>
      <w:r>
        <w:rPr>
          <w:rFonts w:ascii="Times New Roman" w:cs="Times New Roman" w:eastAsia="Times New Roman" w:hAnsi="Times New Roman"/>
          <w:color w:val="555555"/>
          <w:sz w:val="19"/>
          <w:szCs w:val="19"/>
        </w:rPr>
        <w:t xml:space="preserve">Yu, W., Richards, G. T., Vogeley, M. S., Moreno, J., &amp; Graham, M. J. 2022, ApJ, 936, 132 (Y22)</w:t>
      </w:r>
    </w:p>
    <w:p>
      <w:pPr>
        <w:spacing w:after="60" w:before="30"/>
      </w:pPr>
      <w:r>
        <w:rPr>
          <w:rFonts w:ascii="Times New Roman" w:cs="Times New Roman" w:eastAsia="Times New Roman" w:hAnsi="Times New Roman"/>
          <w:color w:val="555555"/>
          <w:sz w:val="19"/>
          <w:szCs w:val="19"/>
        </w:rPr>
        <w:t xml:space="preserve">Yu, W., Richards, G. T., Ruan, J. J., Vogeley, M. S., Bauer, F. E., &amp; Graham, M. J. 2025, arXiv:2508.12076 (Y25)</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525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20"/>
      <w:outlineLvl w:val="0"/>
    </w:pPr>
    <w:rPr>
      <w:rFonts w:ascii="Arial" w:cs="Arial" w:eastAsia="Arial" w:hAnsi="Arial"/>
      <w:b/>
      <w:bCs/>
      <w:color w:val="1F3864"/>
      <w:sz w:val="25"/>
      <w:szCs w:val="25"/>
    </w:rPr>
  </w:style>
  <w:style w:type="paragraph" w:styleId="Heading2">
    <w:name w:val="Heading 2"/>
    <w:basedOn w:val="Normal"/>
    <w:next w:val="Normal"/>
    <w:qFormat/>
    <w:pPr>
      <w:spacing w:after="80" w:before="220"/>
      <w:outlineLvl w:val="1"/>
    </w:pPr>
    <w:rPr>
      <w:rFonts w:ascii="Arial" w:cs="Arial" w:eastAsia="Arial" w:hAnsi="Arial"/>
      <w:b/>
      <w:bCs/>
      <w:color w:val="2E75B6"/>
      <w:sz w:val="21"/>
      <w:szCs w:val="21"/>
    </w:rPr>
  </w:style>
  <w:style w:type="paragraph" w:styleId="Heading3">
    <w:name w:val="Heading 3"/>
    <w:basedOn w:val="Normal"/>
    <w:next w:val="Normal"/>
    <w:qFormat/>
    <w:pPr>
      <w:spacing w:after="60" w:before="160"/>
      <w:outlineLvl w:val="2"/>
    </w:pPr>
    <w:rPr>
      <w:rFonts w:ascii="Arial" w:cs="Arial" w:eastAsia="Arial" w:hAnsi="Arial"/>
      <w:i/>
      <w:iCs/>
      <w:color w:val="25252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2026-04-21T19:35:15.609Z</dcterms:created>
  <dcterms:modified xsi:type="dcterms:W3CDTF">2026-04-21T19:35:15.627Z</dcterms:modified>
</cp:coreProperties>
</file>

<file path=docProps/custom.xml><?xml version="1.0" encoding="utf-8"?>
<Properties xmlns="http://schemas.openxmlformats.org/officeDocument/2006/custom-properties" xmlns:vt="http://schemas.openxmlformats.org/officeDocument/2006/docPropsVTypes"/>
</file>