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3864"/>
          <w:sz w:val="34"/>
          <w:szCs w:val="34"/>
        </w:rPr>
        <w:t xml:space="preserve">Multi-Timescale Subspace Decomposition</w:t>
      </w:r>
    </w:p>
    <w:p>
      <w:pPr>
        <w:spacing w:after="80" w:before="0"/>
        <w:jc w:val="center"/>
      </w:pPr>
      <w:r>
        <w:rPr>
          <w:rFonts w:ascii="Arial" w:cs="Arial" w:eastAsia="Arial" w:hAnsi="Arial"/>
          <w:b/>
          <w:bCs/>
          <w:color w:val="1F3864"/>
          <w:sz w:val="34"/>
          <w:szCs w:val="34"/>
        </w:rPr>
        <w:t xml:space="preserve">in Viability Corridor Systems</w:t>
      </w:r>
    </w:p>
    <w:p>
      <w:pPr>
        <w:spacing w:after="100" w:before="0"/>
        <w:jc w:val="center"/>
      </w:pPr>
      <w:r>
        <w:rPr>
          <w:rFonts w:ascii="Arial" w:cs="Arial" w:eastAsia="Arial" w:hAnsi="Arial"/>
          <w:i/>
          <w:iCs/>
          <w:color w:val="2E5B8A"/>
          <w:sz w:val="22"/>
          <w:szCs w:val="22"/>
        </w:rPr>
        <w:t xml:space="preserve">The 2:1 Exponent Ratio Across Organizational Timescales</w:t>
      </w:r>
    </w:p>
    <w:p>
      <w:pPr>
        <w:spacing w:after="60" w:before="0"/>
        <w:jc w:val="center"/>
      </w:pPr>
      <w:r>
        <w:rPr>
          <w:rFonts w:ascii="Arial" w:cs="Arial" w:eastAsia="Arial" w:hAnsi="Arial"/>
          <w:color w:val="555555"/>
          <w:sz w:val="19"/>
          <w:szCs w:val="19"/>
        </w:rPr>
        <w:t xml:space="preserve">Mindemann, M.  |  Independent Theoretical Research  |  April 2026</w:t>
      </w:r>
    </w:p>
    <w:p>
      <w:pPr>
        <w:spacing w:after="240" w:before="0"/>
        <w:jc w:val="center"/>
      </w:pPr>
      <w:r>
        <w:rPr>
          <w:rFonts w:ascii="Arial" w:cs="Arial" w:eastAsia="Arial" w:hAnsi="Arial"/>
          <w:i/>
          <w:iCs/>
          <w:color w:val="888888"/>
          <w:sz w:val="18"/>
          <w:szCs w:val="18"/>
        </w:rPr>
        <w:t xml:space="preserve">Technical note — companion to DOI: 10.5281/zenodo.19718922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Abstract</w:t>
            </w:r>
          </w:p>
          <w:p>
            <w:pPr>
              <w:spacing w:after="20" w:before="20"/>
            </w:pPr>
            <w:r>
              <w:rPr>
                <w:rFonts w:ascii="Arial" w:cs="Arial" w:eastAsia="Arial" w:hAnsi="Arial"/>
                <w:sz w:val="20"/>
                <w:szCs w:val="20"/>
              </w:rPr>
              <w:t xml:space="preserve">The Recursive Substrate Theory (RST) viability corridor framework derives that any</w:t>
            </w:r>
          </w:p>
          <w:p>
            <w:pPr>
              <w:spacing w:after="20" w:before="20"/>
            </w:pPr>
            <w:r>
              <w:rPr>
                <w:rFonts w:ascii="Arial" w:cs="Arial" w:eastAsia="Arial" w:hAnsi="Arial"/>
                <w:sz w:val="20"/>
                <w:szCs w:val="20"/>
              </w:rPr>
              <w:t xml:space="preserve">persistent activity-resource system bounded by two topologically distinct failure modes</w:t>
            </w:r>
          </w:p>
          <w:p>
            <w:pPr>
              <w:spacing w:after="20" w:before="20"/>
            </w:pPr>
            <w:r>
              <w:rPr>
                <w:rFonts w:ascii="Arial" w:cs="Arial" w:eastAsia="Arial" w:hAnsi="Arial"/>
                <w:sz w:val="20"/>
                <w:szCs w:val="20"/>
              </w:rPr>
              <w:t xml:space="preserve">exhibits noise-scaling exponents in the universal ratio 2:1: D^{1/3} at the transcritical</w:t>
            </w:r>
          </w:p>
          <w:p>
            <w:pPr>
              <w:spacing w:after="20" w:before="20"/>
            </w:pPr>
            <w:r>
              <w:rPr>
                <w:rFonts w:ascii="Arial" w:cs="Arial" w:eastAsia="Arial" w:hAnsi="Arial"/>
                <w:sz w:val="20"/>
                <w:szCs w:val="20"/>
              </w:rPr>
              <w:t xml:space="preserve">starvation boundary (TC) and D^{2/3} at the saddle-node cascade boundary (SN). This ratio</w:t>
            </w:r>
          </w:p>
          <w:p>
            <w:pPr>
              <w:spacing w:after="20" w:before="20"/>
            </w:pPr>
            <w:r>
              <w:rPr>
                <w:rFonts w:ascii="Arial" w:cs="Arial" w:eastAsia="Arial" w:hAnsi="Arial"/>
                <w:sz w:val="20"/>
                <w:szCs w:val="20"/>
              </w:rPr>
              <w:t xml:space="preserve">is parameter-independent and holds at every organizational level.</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When a complex system decomposes into multiple timescale subspaces — fast and slow —</w:t>
            </w:r>
          </w:p>
          <w:p>
            <w:pPr>
              <w:spacing w:after="20" w:before="20"/>
            </w:pPr>
            <w:r>
              <w:rPr>
                <w:rFonts w:ascii="Arial" w:cs="Arial" w:eastAsia="Arial" w:hAnsi="Arial"/>
                <w:sz w:val="20"/>
                <w:szCs w:val="20"/>
              </w:rPr>
              <w:t xml:space="preserve">each subspace operates as an independent corridor with its own noise amplitude D_k and</w:t>
            </w:r>
          </w:p>
          <w:p>
            <w:pPr>
              <w:spacing w:after="20" w:before="20"/>
            </w:pPr>
            <w:r>
              <w:rPr>
                <w:rFonts w:ascii="Arial" w:cs="Arial" w:eastAsia="Arial" w:hAnsi="Arial"/>
                <w:sz w:val="20"/>
                <w:szCs w:val="20"/>
              </w:rPr>
              <w:t xml:space="preserve">corridor depth μ_k. The central prediction of this note: the 2:1 ratio holds within each</w:t>
            </w:r>
          </w:p>
          <w:p>
            <w:pPr>
              <w:spacing w:after="20" w:before="20"/>
            </w:pPr>
            <w:r>
              <w:rPr>
                <w:rFonts w:ascii="Arial" w:cs="Arial" w:eastAsia="Arial" w:hAnsi="Arial"/>
                <w:sz w:val="20"/>
                <w:szCs w:val="20"/>
              </w:rPr>
              <w:t xml:space="preserve">subspace independently. The absolute exponent values differ between subspaces, reflecting</w:t>
            </w:r>
          </w:p>
          <w:p>
            <w:pPr>
              <w:spacing w:after="20" w:before="20"/>
            </w:pPr>
            <w:r>
              <w:rPr>
                <w:rFonts w:ascii="Arial" w:cs="Arial" w:eastAsia="Arial" w:hAnsi="Arial"/>
                <w:sz w:val="20"/>
                <w:szCs w:val="20"/>
              </w:rPr>
              <w:t xml:space="preserve">different organizational positions. The ratio does not.</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We confirm this prediction at three scales: (1) numerical spectral model across eleven</w:t>
            </w:r>
          </w:p>
          <w:p>
            <w:pPr>
              <w:spacing w:after="20" w:before="20"/>
            </w:pPr>
            <w:r>
              <w:rPr>
                <w:rFonts w:ascii="Arial" w:cs="Arial" w:eastAsia="Arial" w:hAnsi="Arial"/>
                <w:sz w:val="20"/>
                <w:szCs w:val="20"/>
              </w:rPr>
              <w:t xml:space="preserve">kappa points spanning the L2→L3 physical transition (ratio 2.000 ± 0.010, continuous);</w:t>
            </w:r>
          </w:p>
          <w:p>
            <w:pPr>
              <w:spacing w:after="20" w:before="20"/>
            </w:pPr>
            <w:r>
              <w:rPr>
                <w:rFonts w:ascii="Arial" w:cs="Arial" w:eastAsia="Arial" w:hAnsi="Arial"/>
                <w:sz w:val="20"/>
                <w:szCs w:val="20"/>
              </w:rPr>
              <w:t xml:space="preserve">(2) turbofan degradation data in three timescale bands showing fast/TC/SN ordering</w:t>
            </w:r>
          </w:p>
          <w:p>
            <w:pPr>
              <w:spacing w:after="20" w:before="20"/>
            </w:pPr>
            <w:r>
              <w:rPr>
                <w:rFonts w:ascii="Arial" w:cs="Arial" w:eastAsia="Arial" w:hAnsi="Arial"/>
                <w:sz w:val="20"/>
                <w:szCs w:val="20"/>
              </w:rPr>
              <w:t xml:space="preserve">consistent with the framework prediction (Rudder 2026, in communication); (3) MHD</w:t>
            </w:r>
          </w:p>
          <w:p>
            <w:pPr>
              <w:spacing w:after="20" w:before="20"/>
            </w:pPr>
            <w:r>
              <w:rPr>
                <w:rFonts w:ascii="Arial" w:cs="Arial" w:eastAsia="Arial" w:hAnsi="Arial"/>
                <w:sz w:val="20"/>
                <w:szCs w:val="20"/>
              </w:rPr>
              <w:t xml:space="preserve">turbulence spectral data showing 15.5× scale separation between two independent</w:t>
            </w:r>
          </w:p>
          <w:p>
            <w:pPr>
              <w:spacing w:after="20" w:before="20"/>
            </w:pPr>
            <w:r>
              <w:rPr>
                <w:rFonts w:ascii="Arial" w:cs="Arial" w:eastAsia="Arial" w:hAnsi="Arial"/>
                <w:sz w:val="20"/>
                <w:szCs w:val="20"/>
              </w:rPr>
              <w:t xml:space="preserve">organizing channels (Spectra-MHD, JHTDB MHD1024).</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Three falsifiable predictions are stated for direct empirical testing.</w:t>
            </w:r>
          </w:p>
        </w:tc>
      </w:tr>
    </w:tbl>
    <w:p>
      <w:pPr>
        <w:spacing w:after="60" w:before="60"/>
      </w:pPr>
    </w:p>
    <w:p>
      <w:pPr>
        <w:pStyle w:val="Heading1"/>
        <w:spacing w:after="160" w:before="320"/>
      </w:pPr>
      <w:r>
        <w:rPr>
          <w:rFonts w:ascii="Arial" w:cs="Arial" w:eastAsia="Arial" w:hAnsi="Arial"/>
          <w:b/>
          <w:bCs/>
          <w:color w:val="1F3864"/>
          <w:sz w:val="26"/>
          <w:szCs w:val="26"/>
        </w:rPr>
        <w:t xml:space="preserve">1.  Theoretical Prediction</w:t>
      </w:r>
    </w:p>
    <w:p>
      <w:pPr>
        <w:pStyle w:val="Heading2"/>
        <w:spacing w:after="100" w:before="200"/>
      </w:pPr>
      <w:r>
        <w:rPr>
          <w:rFonts w:ascii="Arial" w:cs="Arial" w:eastAsia="Arial" w:hAnsi="Arial"/>
          <w:b/>
          <w:bCs/>
          <w:color w:val="2E5B8A"/>
          <w:sz w:val="22"/>
          <w:szCs w:val="22"/>
        </w:rPr>
        <w:t xml:space="preserve">1.1  The 2:1 ratio from normal form classification</w:t>
      </w:r>
    </w:p>
    <w:p>
      <w:pPr>
        <w:spacing w:after="80" w:before="60"/>
        <w:jc w:val="both"/>
      </w:pPr>
      <w:r>
        <w:rPr>
          <w:rFonts w:ascii="Arial" w:cs="Arial" w:eastAsia="Arial" w:hAnsi="Arial"/>
          <w:sz w:val="21"/>
          <w:szCs w:val="21"/>
        </w:rPr>
        <w:t xml:space="preserve">The RST framework (Mindemann 2026, DOI: 10.5281/zenodo.19718922) derives that any system maintaining persistent activity x against a resource variable y, bounded by a transcritical boundary (TC: continuous, starvation, recoverable) and a saddle-node boundary (SN: discontinuous, cascade, non-return), exhibits a universal asymmetry in its noise-driven escape statistics.</w:t>
      </w:r>
    </w:p>
    <w:p>
      <w:pPr>
        <w:spacing w:after="60" w:before="60"/>
      </w:pPr>
    </w:p>
    <w:p>
      <w:pPr>
        <w:spacing w:after="80" w:before="60"/>
        <w:jc w:val="both"/>
      </w:pPr>
      <w:r>
        <w:rPr>
          <w:rFonts w:ascii="Arial" w:cs="Arial" w:eastAsia="Arial" w:hAnsi="Arial"/>
          <w:sz w:val="21"/>
          <w:szCs w:val="21"/>
        </w:rPr>
        <w:t xml:space="preserve">Near the TC boundary at x_TC, the potential barrier scales as:</w:t>
      </w:r>
    </w:p>
    <w:p>
      <w:pPr>
        <w:spacing w:after="140" w:before="140"/>
        <w:jc w:val="center"/>
      </w:pPr>
      <w:r>
        <w:rPr>
          <w:rFonts w:ascii="Courier New" w:cs="Courier New" w:eastAsia="Courier New" w:hAnsi="Courier New"/>
          <w:color w:val="0D0D1A"/>
          <w:sz w:val="20"/>
          <w:szCs w:val="20"/>
        </w:rPr>
        <w:t xml:space="preserve">V_TC ~ μ^{3/2}    →    mean escape time T_TC ~ exp(V_TC / D) ~ exp(μ^{3/2} / D)</w:t>
      </w:r>
    </w:p>
    <w:p>
      <w:pPr>
        <w:spacing w:after="80" w:before="60"/>
        <w:jc w:val="both"/>
      </w:pPr>
      <w:r>
        <w:rPr>
          <w:rFonts w:ascii="Arial" w:cs="Arial" w:eastAsia="Arial" w:hAnsi="Arial"/>
          <w:sz w:val="21"/>
          <w:szCs w:val="21"/>
        </w:rPr>
        <w:t xml:space="preserve">The noise-scaling exponent α_TC at the TC boundary is therefore 1/3: barrier height ~ D^{1/3} when solving for the noise level at which escape probability reaches order unity on a fixed timescale.</w:t>
      </w:r>
    </w:p>
    <w:p>
      <w:pPr>
        <w:spacing w:after="60" w:before="60"/>
      </w:pPr>
    </w:p>
    <w:p>
      <w:pPr>
        <w:spacing w:after="80" w:before="60"/>
        <w:jc w:val="both"/>
      </w:pPr>
      <w:r>
        <w:rPr>
          <w:rFonts w:ascii="Arial" w:cs="Arial" w:eastAsia="Arial" w:hAnsi="Arial"/>
          <w:sz w:val="21"/>
          <w:szCs w:val="21"/>
        </w:rPr>
        <w:t xml:space="preserve">Near the SN boundary at x_SN, the potential barrier scales as:</w:t>
      </w:r>
    </w:p>
    <w:p>
      <w:pPr>
        <w:spacing w:after="140" w:before="140"/>
        <w:jc w:val="center"/>
      </w:pPr>
      <w:r>
        <w:rPr>
          <w:rFonts w:ascii="Courier New" w:cs="Courier New" w:eastAsia="Courier New" w:hAnsi="Courier New"/>
          <w:color w:val="0D0D1A"/>
          <w:sz w:val="20"/>
          <w:szCs w:val="20"/>
        </w:rPr>
        <w:t xml:space="preserve">V_SN ~ μ³         →    mean escape time T_SN ~ exp(V_SN / D) ~ exp(μ³ / D)</w:t>
      </w:r>
    </w:p>
    <w:p>
      <w:pPr>
        <w:spacing w:after="80" w:before="60"/>
        <w:jc w:val="both"/>
      </w:pPr>
      <w:r>
        <w:rPr>
          <w:rFonts w:ascii="Arial" w:cs="Arial" w:eastAsia="Arial" w:hAnsi="Arial"/>
          <w:sz w:val="21"/>
          <w:szCs w:val="21"/>
        </w:rPr>
        <w:t xml:space="preserve">The noise-scaling exponent α_SN at the SN boundary is 2/3. The ratio:</w:t>
      </w:r>
    </w:p>
    <w:p>
      <w:pPr>
        <w:spacing w:after="140" w:before="140"/>
        <w:jc w:val="center"/>
      </w:pPr>
      <w:r>
        <w:rPr>
          <w:rFonts w:ascii="Courier New" w:cs="Courier New" w:eastAsia="Courier New" w:hAnsi="Courier New"/>
          <w:color w:val="0D0D1A"/>
          <w:sz w:val="20"/>
          <w:szCs w:val="20"/>
        </w:rPr>
        <w:t xml:space="preserve">α_SN / α_TC = (2/3) / (1/3) = 2.000  [exact, from normal form classification]</w:t>
      </w:r>
    </w:p>
    <w:p>
      <w:pPr>
        <w:spacing w:after="60" w:before="60"/>
      </w:pPr>
    </w:p>
    <w:p>
      <w:pPr>
        <w:spacing w:after="80" w:before="60"/>
        <w:jc w:val="both"/>
      </w:pPr>
      <w:r>
        <w:rPr>
          <w:rFonts w:ascii="Arial" w:cs="Arial" w:eastAsia="Arial" w:hAnsi="Arial"/>
          <w:sz w:val="21"/>
          <w:szCs w:val="21"/>
        </w:rPr>
        <w:t xml:space="preserve">This ratio is not an approximation. It follows from the codimension-1 classification theorem for bifurcations: the TC boundary is a transcritical normal form (cubic potential near the boundary) and the SN boundary is a fold normal form (quadratic potential near the boundary). The ratio of potential exponents is forced by the topology of the two boundary types.</w:t>
      </w:r>
    </w:p>
    <w:p>
      <w:pPr>
        <w:spacing w:after="60" w:before="60"/>
      </w:pPr>
    </w:p>
    <w:p>
      <w:pPr>
        <w:pStyle w:val="Heading2"/>
        <w:spacing w:after="100" w:before="200"/>
      </w:pPr>
      <w:r>
        <w:rPr>
          <w:rFonts w:ascii="Arial" w:cs="Arial" w:eastAsia="Arial" w:hAnsi="Arial"/>
          <w:b/>
          <w:bCs/>
          <w:color w:val="2E5B8A"/>
          <w:sz w:val="22"/>
          <w:szCs w:val="22"/>
        </w:rPr>
        <w:t xml:space="preserve">1.2  Extension to multi-timescale systems</w:t>
      </w:r>
    </w:p>
    <w:p>
      <w:pPr>
        <w:spacing w:after="80" w:before="60"/>
        <w:jc w:val="both"/>
      </w:pPr>
      <w:r>
        <w:rPr>
          <w:rFonts w:ascii="Arial" w:cs="Arial" w:eastAsia="Arial" w:hAnsi="Arial"/>
          <w:sz w:val="21"/>
          <w:szCs w:val="21"/>
        </w:rPr>
        <w:t xml:space="preserve">Many physical systems that maintain organizational coherence across multiple timescales decompose naturally into fast and slow subspaces. The fast subspace captures rapid mechanical or kinetic variables. The slow subspace captures accumulated organizational state — history-dependent quantities that change on longer timescales.</w:t>
      </w:r>
    </w:p>
    <w:p>
      <w:pPr>
        <w:spacing w:after="60" w:before="60"/>
      </w:pPr>
    </w:p>
    <w:p>
      <w:pPr>
        <w:spacing w:after="80" w:before="60"/>
        <w:jc w:val="both"/>
      </w:pPr>
      <w:r>
        <w:rPr>
          <w:rFonts w:ascii="Arial" w:cs="Arial" w:eastAsia="Arial" w:hAnsi="Arial"/>
          <w:sz w:val="21"/>
          <w:szCs w:val="21"/>
        </w:rPr>
        <w:t xml:space="preserve">In the RST framework, each subspace is itself a corridor system with its own parameters:</w:t>
      </w:r>
    </w:p>
    <w:p>
      <w:pPr>
        <w:spacing w:after="140" w:before="140"/>
        <w:jc w:val="center"/>
      </w:pPr>
      <w:r>
        <w:rPr>
          <w:rFonts w:ascii="Courier New" w:cs="Courier New" w:eastAsia="Courier New" w:hAnsi="Courier New"/>
          <w:color w:val="0D0D1A"/>
          <w:sz w:val="20"/>
          <w:szCs w:val="20"/>
        </w:rPr>
        <w:t xml:space="preserve">Subspace k:   noise amplitude D_k,   corridor depth μ_k,   C-proxy C_k = DV_TC(k)/DV_TC(0)</w:t>
      </w:r>
    </w:p>
    <w:p>
      <w:pPr>
        <w:spacing w:after="60" w:before="60"/>
      </w:pPr>
    </w:p>
    <w:p>
      <w:pPr>
        <w:spacing w:after="80" w:before="60"/>
        <w:jc w:val="both"/>
      </w:pPr>
      <w:r>
        <w:rPr>
          <w:rFonts w:ascii="Arial" w:cs="Arial" w:eastAsia="Arial" w:hAnsi="Arial"/>
          <w:sz w:val="21"/>
          <w:szCs w:val="21"/>
        </w:rPr>
        <w:t xml:space="preserve">The central multi-timescale prediction follows directly from the universality of the ratio: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Central prediction</w:t>
            </w:r>
          </w:p>
          <w:p>
            <w:pPr>
              <w:spacing w:after="20" w:before="20"/>
            </w:pPr>
            <w:r>
              <w:rPr>
                <w:rFonts w:ascii="Arial" w:cs="Arial" w:eastAsia="Arial" w:hAnsi="Arial"/>
                <w:sz w:val="20"/>
                <w:szCs w:val="20"/>
              </w:rPr>
              <w:t xml:space="preserve">For a system with N timescale subspaces, the 2:1 ratio holds within each subspace k:</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  α_SN(k) / α_TC(k) = 2.000  for all k = 1, ..., N</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The absolute values α_TC(k) and α_SN(k) differ between subspaces, reflecting different</w:t>
            </w:r>
          </w:p>
          <w:p>
            <w:pPr>
              <w:spacing w:after="20" w:before="20"/>
            </w:pPr>
            <w:r>
              <w:rPr>
                <w:rFonts w:ascii="Arial" w:cs="Arial" w:eastAsia="Arial" w:hAnsi="Arial"/>
                <w:sz w:val="20"/>
                <w:szCs w:val="20"/>
              </w:rPr>
              <w:t xml:space="preserve">corridor positions C_k. Subspaces with higher C_k (less compressed, higher in the</w:t>
            </w:r>
          </w:p>
          <w:p>
            <w:pPr>
              <w:spacing w:after="20" w:before="20"/>
            </w:pPr>
            <w:r>
              <w:rPr>
                <w:rFonts w:ascii="Arial" w:cs="Arial" w:eastAsia="Arial" w:hAnsi="Arial"/>
                <w:sz w:val="20"/>
                <w:szCs w:val="20"/>
              </w:rPr>
              <w:t xml:space="preserve">organizational hierarchy) have smaller absolute exponents. The ratio is invariant.</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Additionally: the boundary type signature differs by subspace.</w:t>
            </w:r>
          </w:p>
          <w:p>
            <w:pPr>
              <w:spacing w:after="20" w:before="20"/>
            </w:pPr>
            <w:r>
              <w:rPr>
                <w:rFonts w:ascii="Arial" w:cs="Arial" w:eastAsia="Arial" w:hAnsi="Arial"/>
                <w:sz w:val="20"/>
                <w:szCs w:val="20"/>
              </w:rPr>
              <w:t xml:space="preserve">  Fast subspace (high C_k, large D_k):  TC character, slow monotonic drift</w:t>
            </w:r>
          </w:p>
          <w:p>
            <w:pPr>
              <w:spacing w:after="20" w:before="20"/>
            </w:pPr>
            <w:r>
              <w:rPr>
                <w:rFonts w:ascii="Arial" w:cs="Arial" w:eastAsia="Arial" w:hAnsi="Arial"/>
                <w:sz w:val="20"/>
                <w:szCs w:val="20"/>
              </w:rPr>
              <w:t xml:space="preserve">  Slow subspace (low C_k, small D_k):   SN character, variance shrinkage, constriction</w:t>
            </w:r>
          </w:p>
        </w:tc>
      </w:tr>
    </w:tbl>
    <w:p>
      <w:pPr>
        <w:spacing w:after="60" w:before="60"/>
      </w:pPr>
    </w:p>
    <w:p>
      <w:pPr>
        <w:spacing w:after="80" w:before="60"/>
        <w:jc w:val="both"/>
      </w:pPr>
      <w:r>
        <w:rPr>
          <w:rFonts w:ascii="Arial" w:cs="Arial" w:eastAsia="Arial" w:hAnsi="Arial"/>
          <w:sz w:val="21"/>
          <w:szCs w:val="21"/>
        </w:rPr>
        <w:t xml:space="preserve">The second prediction — that fast and slow subspaces show different boundary type signatures — follows from the spectral model: fast variables sit higher in the organizational hierarchy (larger C-proxy, less spectral compression, weaker organizational memory). Slow variables sit lower (smaller C-proxy, more compressed, stronger organizational memory approaching the SN boundary as the system degrades).</w:t>
      </w:r>
    </w:p>
    <w:p>
      <w:pPr>
        <w:spacing w:after="60" w:before="60"/>
      </w:pPr>
    </w:p>
    <w:p>
      <w:pPr>
        <w:pStyle w:val="Heading2"/>
        <w:spacing w:after="100" w:before="200"/>
      </w:pPr>
      <w:r>
        <w:rPr>
          <w:rFonts w:ascii="Arial" w:cs="Arial" w:eastAsia="Arial" w:hAnsi="Arial"/>
          <w:b/>
          <w:bCs/>
          <w:color w:val="2E5B8A"/>
          <w:sz w:val="22"/>
          <w:szCs w:val="22"/>
        </w:rPr>
        <w:t xml:space="preserve">1.3  Why fast and slow subspaces are independent</w:t>
      </w:r>
    </w:p>
    <w:p>
      <w:pPr>
        <w:spacing w:after="80" w:before="60"/>
        <w:jc w:val="both"/>
      </w:pPr>
      <w:r>
        <w:rPr>
          <w:rFonts w:ascii="Arial" w:cs="Arial" w:eastAsia="Arial" w:hAnsi="Arial"/>
          <w:sz w:val="21"/>
          <w:szCs w:val="21"/>
        </w:rPr>
        <w:t xml:space="preserve">The statistical independence of fast and slow subspaces in the RST framework follows from timescale separation, not from symmetry or topology. When two subspaces have characteristic timescales separated by more than one order of magnitude, their organizational dynamics decouple: the slow subspace does not respond to fast fluctuations on the fast timescale, and the fast subspace averages over the slow variable as approximately constant.</w:t>
      </w:r>
    </w:p>
    <w:p>
      <w:pPr>
        <w:spacing w:after="60" w:before="60"/>
      </w:pPr>
    </w:p>
    <w:p>
      <w:pPr>
        <w:spacing w:after="80" w:before="60"/>
        <w:jc w:val="both"/>
      </w:pPr>
      <w:r>
        <w:rPr>
          <w:rFonts w:ascii="Arial" w:cs="Arial" w:eastAsia="Arial" w:hAnsi="Arial"/>
          <w:sz w:val="21"/>
          <w:szCs w:val="21"/>
        </w:rPr>
        <w:t xml:space="preserve">This means the conditional tail probabilities measuring each subspace's organizational signature should be independent: conditioning on the slow subspace variable should not predict the fast subspace alignment, and vice versa. This prediction is directly testable from the cross-correlation structure of the signal vector.</w:t>
      </w:r>
    </w:p>
    <w:p>
      <w:pPr>
        <w:spacing w:after="60" w:before="60"/>
      </w:pPr>
    </w:p>
    <w:p>
      <w:pPr>
        <w:pStyle w:val="Heading1"/>
        <w:spacing w:after="160" w:before="320"/>
      </w:pPr>
      <w:r>
        <w:rPr>
          <w:rFonts w:ascii="Arial" w:cs="Arial" w:eastAsia="Arial" w:hAnsi="Arial"/>
          <w:b/>
          <w:bCs/>
          <w:color w:val="1F3864"/>
          <w:sz w:val="26"/>
          <w:szCs w:val="26"/>
        </w:rPr>
        <w:t xml:space="preserve">2.  Spectral Model Confirmation</w:t>
      </w:r>
    </w:p>
    <w:p>
      <w:pPr>
        <w:pStyle w:val="Heading2"/>
        <w:spacing w:after="100" w:before="200"/>
      </w:pPr>
      <w:r>
        <w:rPr>
          <w:rFonts w:ascii="Arial" w:cs="Arial" w:eastAsia="Arial" w:hAnsi="Arial"/>
          <w:b/>
          <w:bCs/>
          <w:color w:val="2E5B8A"/>
          <w:sz w:val="22"/>
          <w:szCs w:val="22"/>
        </w:rPr>
        <w:t xml:space="preserve">2.1  The L2→L3 transition zone</w:t>
      </w:r>
    </w:p>
    <w:p>
      <w:pPr>
        <w:spacing w:after="80" w:before="60"/>
        <w:jc w:val="both"/>
      </w:pPr>
      <w:r>
        <w:rPr>
          <w:rFonts w:ascii="Arial" w:cs="Arial" w:eastAsia="Arial" w:hAnsi="Arial"/>
          <w:sz w:val="21"/>
          <w:szCs w:val="21"/>
        </w:rPr>
        <w:t xml:space="preserve">The RST spectral escape model (constraint_escape_spectral_v2.py) calibrates to four measured physical levels using the Ito-corrected barrier height. The C-function hierarchy: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600"/>
        <w:gridCol w:w="25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Level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System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κ value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C = DV_TC(n)/DV_TC(0)</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Physical anchor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L0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QED / Atomic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1.000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Hydrogen ionization: 13.6 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Atomic / Molecular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1.000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Φ=1 marginal case, Phi derived</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L2</w:t>
            </w:r>
          </w:p>
        </w:tc>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Chemistry</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1.869</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0.265</w:t>
            </w:r>
          </w:p>
        </w:tc>
        <w:tc>
          <w:tcPr>
            <w:tcW w:type="dxa" w:w="2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Thermal activation: 3.6 eV</w:t>
            </w:r>
          </w:p>
        </w:tc>
      </w:tr>
      <w:tr>
        <w:tc>
          <w:tcPr>
            <w:tcW w:type="dxa" w:w="14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L3</w:t>
            </w:r>
          </w:p>
        </w:tc>
        <w:tc>
          <w:tcPr>
            <w:tcW w:type="dxa" w:w="2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Thermodynamics</w:t>
            </w:r>
          </w:p>
        </w:tc>
        <w:tc>
          <w:tcPr>
            <w:tcW w:type="dxa" w:w="1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5.993</w:t>
            </w:r>
          </w:p>
        </w:tc>
        <w:tc>
          <w:tcPr>
            <w:tcW w:type="dxa" w:w="1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0.030</w:t>
            </w:r>
          </w:p>
        </w:tc>
        <w:tc>
          <w:tcPr>
            <w:tcW w:type="dxa" w:w="2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Boltzmann: 0.41 eV</w:t>
            </w:r>
          </w:p>
        </w:tc>
      </w:tr>
    </w:tbl>
    <w:p>
      <w:pPr>
        <w:spacing w:after="60" w:before="60"/>
      </w:pPr>
    </w:p>
    <w:p>
      <w:pPr>
        <w:spacing w:after="80" w:before="60"/>
        <w:jc w:val="both"/>
      </w:pPr>
      <w:r>
        <w:rPr>
          <w:rFonts w:ascii="Arial" w:cs="Arial" w:eastAsia="Arial" w:hAnsi="Arial"/>
          <w:sz w:val="21"/>
          <w:szCs w:val="21"/>
        </w:rPr>
        <w:t xml:space="preserve">Study A (spectral_v3_studies.py, April 2026) sweeps eleven kappa points spanning the L2→L3 transition zone from κ=1.869 to κ=5.993, testing whether the 2:1 ratio holds continuously across the transition rather than only at the calibration anchors.</w:t>
      </w:r>
    </w:p>
    <w:p>
      <w:pPr>
        <w:spacing w:after="60" w:before="60"/>
      </w:pPr>
    </w:p>
    <w:p>
      <w:pPr>
        <w:pStyle w:val="Heading2"/>
        <w:spacing w:after="100" w:before="200"/>
      </w:pPr>
      <w:r>
        <w:rPr>
          <w:rFonts w:ascii="Arial" w:cs="Arial" w:eastAsia="Arial" w:hAnsi="Arial"/>
          <w:b/>
          <w:bCs/>
          <w:color w:val="2E5B8A"/>
          <w:sz w:val="22"/>
          <w:szCs w:val="22"/>
        </w:rPr>
        <w:t xml:space="preserve">2.2  Study A results: eleven kappa points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200"/>
        <w:gridCol w:w="1200"/>
        <w:gridCol w:w="1200"/>
        <w:gridCol w:w="2260"/>
      </w:tblGrid>
      <w:t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κ</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C-proxy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eff_rank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a_TC</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a_SN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Ratio</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Step ratio r</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1.869</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0.265</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13.77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0.678</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2.000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L2 anchor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0.210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12.31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0.669</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2.003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0.918 → sharp drop zone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2.530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0.160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11.04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0.657</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2.002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0.775 → plateau begins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0.121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10.34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0.644</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0.79 plateau</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3.320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9.67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0.632</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1.999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0.79 plateau</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3.680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9.22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0.622</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2.001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geometric mean of zone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4.100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8.72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0.612</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2.001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0.79 plateau</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4.510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8.19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0.601</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2.003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0.79 plateau</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4.920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7.71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0.295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0.590</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1.999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0.79 plateau</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5.430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7.18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0.289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0.578</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2.000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0.79 plateau</w:t>
            </w:r>
          </w:p>
        </w:tc>
      </w:tr>
      <w:tr>
        <w:tc>
          <w:tcPr>
            <w:tcW w:type="dxa" w:w="11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5.993</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0.030</w:t>
            </w:r>
          </w:p>
        </w:tc>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6.76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0.283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0.566</w:t>
            </w:r>
          </w:p>
        </w:tc>
        <w:tc>
          <w:tcPr>
            <w:tcW w:type="dxa" w:w="12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2.000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iCs/>
                <w:color w:val="000000"/>
                <w:sz w:val="19"/>
                <w:szCs w:val="19"/>
              </w:rPr>
              <w:t xml:space="preserve">L3 anchor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D5"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Key findings from Study A</w:t>
            </w:r>
          </w:p>
          <w:p>
            <w:pPr>
              <w:spacing w:after="20" w:before="20"/>
            </w:pPr>
            <w:r>
              <w:rPr>
                <w:rFonts w:ascii="Arial" w:cs="Arial" w:eastAsia="Arial" w:hAnsi="Arial"/>
                <w:sz w:val="20"/>
                <w:szCs w:val="20"/>
              </w:rPr>
              <w:t xml:space="preserve">2:1 ratio: 2.000 ± 0.010 continuously across all 11 kappa points.</w:t>
            </w:r>
          </w:p>
          <w:p>
            <w:pPr>
              <w:spacing w:after="20" w:before="20"/>
            </w:pPr>
            <w:r>
              <w:rPr>
                <w:rFonts w:ascii="Arial" w:cs="Arial" w:eastAsia="Arial" w:hAnsi="Arial"/>
                <w:sz w:val="20"/>
                <w:szCs w:val="20"/>
              </w:rPr>
              <w:t xml:space="preserve">No special kappa value where the ratio deviates. Invariance is continuous, not point-wise.</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Absolute exponents change across the zone: a_TC falls 0.339 → 0.283 (16% drop).</w:t>
            </w:r>
          </w:p>
          <w:p>
            <w:pPr>
              <w:spacing w:after="20" w:before="20"/>
            </w:pPr>
            <w:r>
              <w:rPr>
                <w:rFonts w:ascii="Arial" w:cs="Arial" w:eastAsia="Arial" w:hAnsi="Arial"/>
                <w:sz w:val="20"/>
                <w:szCs w:val="20"/>
              </w:rPr>
              <w:t xml:space="preserve">a_SN falls 0.686 → 0.566 (17% drop). Both fall together, ratio fixed.</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Effective rank collapses: 13.77 → 6.76 (51% loss of spectral DOF across the zone).</w:t>
            </w:r>
          </w:p>
          <w:p>
            <w:pPr>
              <w:spacing w:after="20" w:before="20"/>
            </w:pPr>
            <w:r>
              <w:rPr>
                <w:rFonts w:ascii="Arial" w:cs="Arial" w:eastAsia="Arial" w:hAnsi="Arial"/>
                <w:sz w:val="20"/>
                <w:szCs w:val="20"/>
              </w:rPr>
              <w:t xml:space="preserve">Step ratio profile: sharp drop 0.918 → 0.775 at κ≈2.2 (C≈0.21, one step above geometric</w:t>
            </w:r>
          </w:p>
          <w:p>
            <w:pPr>
              <w:spacing w:after="20" w:before="20"/>
            </w:pPr>
            <w:r>
              <w:rPr>
                <w:rFonts w:ascii="Arial" w:cs="Arial" w:eastAsia="Arial" w:hAnsi="Arial"/>
                <w:sz w:val="20"/>
                <w:szCs w:val="20"/>
              </w:rPr>
              <w:t xml:space="preserve">mean), then stable plateau at r≈0.79 through remainder of zone.</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Implied level count in L2→L3 zone: ~9 steps at r=0.79 (from log(0.030/0.265)/log(0.79)).</w:t>
            </w:r>
          </w:p>
          <w:p>
            <w:pPr>
              <w:spacing w:after="20" w:before="20"/>
            </w:pPr>
            <w:r>
              <w:rPr>
                <w:rFonts w:ascii="Arial" w:cs="Arial" w:eastAsia="Arial" w:hAnsi="Arial"/>
                <w:sz w:val="20"/>
                <w:szCs w:val="20"/>
              </w:rPr>
              <w:t xml:space="preserve">The absolute exponents encode corridor position. The ratio does not.</w:t>
            </w:r>
          </w:p>
        </w:tc>
      </w:tr>
    </w:tbl>
    <w:p>
      <w:pPr>
        <w:spacing w:after="60" w:before="60"/>
      </w:pPr>
    </w:p>
    <w:p>
      <w:pPr>
        <w:pStyle w:val="Heading2"/>
        <w:spacing w:after="100" w:before="200"/>
      </w:pPr>
      <w:r>
        <w:rPr>
          <w:rFonts w:ascii="Arial" w:cs="Arial" w:eastAsia="Arial" w:hAnsi="Arial"/>
          <w:b/>
          <w:bCs/>
          <w:color w:val="2E5B8A"/>
          <w:sz w:val="22"/>
          <w:szCs w:val="22"/>
        </w:rPr>
        <w:t xml:space="preserve">2.3  The τ→∞ extrapolation (Study B)</w:t>
      </w:r>
    </w:p>
    <w:p>
      <w:pPr>
        <w:spacing w:after="80" w:before="60"/>
        <w:jc w:val="both"/>
      </w:pPr>
      <w:r>
        <w:rPr>
          <w:rFonts w:ascii="Arial" w:cs="Arial" w:eastAsia="Arial" w:hAnsi="Arial"/>
          <w:sz w:val="21"/>
          <w:szCs w:val="21"/>
        </w:rPr>
        <w:t xml:space="preserve">Study B confirms that the ratio persists in the long-timescale limit. At uncontaminated kappa values (κ=0 and κ=1.869), the asymptotic exponents converge to a_TC→0.339 and a_SN→0.686 (close to the bare 1/3 and 2/3 from normal form theory). The ratio β_SN/β_TC≈1.18 at these kappas indicates SN converges approximately 18% faster than TC toward the asymptotic limit, consistent with the steeper potential wall at the SN boundary. The ratio of the converged exponents remains 2:1.</w:t>
      </w:r>
    </w:p>
    <w:p>
      <w:pPr>
        <w:spacing w:after="60" w:before="60"/>
      </w:pPr>
    </w:p>
    <w:p>
      <w:pPr>
        <w:pStyle w:val="Heading1"/>
        <w:spacing w:after="160" w:before="320"/>
      </w:pPr>
      <w:r>
        <w:rPr>
          <w:rFonts w:ascii="Arial" w:cs="Arial" w:eastAsia="Arial" w:hAnsi="Arial"/>
          <w:b/>
          <w:bCs/>
          <w:color w:val="1F3864"/>
          <w:sz w:val="26"/>
          <w:szCs w:val="26"/>
        </w:rPr>
        <w:t xml:space="preserve">3.  Industrial Empirical Confirmation</w:t>
      </w:r>
    </w:p>
    <w:p>
      <w:pPr>
        <w:pStyle w:val="Heading2"/>
        <w:spacing w:after="100" w:before="200"/>
      </w:pPr>
      <w:r>
        <w:rPr>
          <w:rFonts w:ascii="Arial" w:cs="Arial" w:eastAsia="Arial" w:hAnsi="Arial"/>
          <w:b/>
          <w:bCs/>
          <w:color w:val="2E5B8A"/>
          <w:sz w:val="22"/>
          <w:szCs w:val="22"/>
        </w:rPr>
        <w:t xml:space="preserve">3.1  Turbofan degradation: three timescale subspaces</w:t>
      </w:r>
    </w:p>
    <w:p>
      <w:pPr>
        <w:spacing w:after="80" w:before="60"/>
        <w:jc w:val="both"/>
      </w:pPr>
      <w:r>
        <w:rPr>
          <w:rFonts w:ascii="Arial" w:cs="Arial" w:eastAsia="Arial" w:hAnsi="Arial"/>
          <w:sz w:val="21"/>
          <w:szCs w:val="21"/>
        </w:rPr>
        <w:t xml:space="preserve">Rudder (2026, in communication) reports timescale decomposition of the C-MAPSS FD002 turbofan dataset: 260 engines, 16 health signals, Brayton-corrected for operating conditions. The pipeline computes effective dimension (participation ratio of the eigenvalue spectrum) per signal group, independently within each timescale band.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800"/>
        <w:gridCol w:w="25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Subspace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Timescale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Signals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r with lifecycle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RST interpretation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FAST</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5 cycles</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Pressures, speeds, fuel-air ratio (6 signals)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r = 0.14</w:t>
            </w:r>
          </w:p>
        </w:tc>
        <w:tc>
          <w:tcPr>
            <w:tcW w:type="dxa" w:w="2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Flat post-correction. No degradation signature. High C-proxy, mechanical layer. TC character by absence.</w:t>
            </w:r>
          </w:p>
        </w:tc>
      </w:tr>
      <w:tr>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MEDIUM</w:t>
            </w:r>
          </w:p>
        </w:tc>
        <w:tc>
          <w:tcPr>
            <w:tcW w:type="dxa" w:w="1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25 cycles</w:t>
            </w:r>
          </w:p>
        </w:tc>
        <w:tc>
          <w:tcPr>
            <w:tcW w:type="dxa" w:w="2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Temperatures, corrected speeds, bypass ratio (7 signals)</w:t>
            </w:r>
          </w:p>
        </w:tc>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val="false"/>
                <w:bCs w:val="false"/>
                <w:i w:val="false"/>
                <w:iCs w:val="false"/>
                <w:color w:val="000000"/>
                <w:sz w:val="19"/>
                <w:szCs w:val="19"/>
              </w:rPr>
              <w:t xml:space="preserve">r = 0.39</w:t>
            </w:r>
          </w:p>
        </w:tc>
        <w:tc>
          <w:tcPr>
            <w:tcW w:type="dxa" w:w="2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Effective_dim drops AND gets noisier (std 1.49×). Variance increases. TC character: continuous drift toward starvation boundary.</w:t>
            </w:r>
          </w:p>
        </w:tc>
      </w:tr>
      <w:tr>
        <w:tc>
          <w:tcPr>
            <w:tcW w:type="dxa" w:w="1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SLOW</w:t>
            </w:r>
          </w:p>
        </w:tc>
        <w:tc>
          <w:tcPr>
            <w:tcW w:type="dxa" w:w="1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100 cycles</w:t>
            </w:r>
          </w:p>
        </w:tc>
        <w:tc>
          <w:tcPr>
            <w:tcW w:type="dxa" w:w="22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Bleed enthalpy, coolant flows, seal clearances (3 signals)</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r = 0.80</w:t>
            </w:r>
          </w:p>
        </w:tc>
        <w:tc>
          <w:tcPr>
            <w:tcW w:type="dxa" w:w="25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Near-monotonic with lifecycle. Variance SHRINKS (0.86×). SN character: slow manifold constricts approaching failure. Organizational memory preserved.</w:t>
            </w:r>
          </w:p>
        </w:tc>
      </w:tr>
    </w:tbl>
    <w:p>
      <w:pPr>
        <w:spacing w:after="60" w:before="60"/>
      </w:pPr>
    </w:p>
    <w:p>
      <w:pPr>
        <w:pStyle w:val="Heading2"/>
        <w:spacing w:after="100" w:before="200"/>
      </w:pPr>
      <w:r>
        <w:rPr>
          <w:rFonts w:ascii="Arial" w:cs="Arial" w:eastAsia="Arial" w:hAnsi="Arial"/>
          <w:b/>
          <w:bCs/>
          <w:color w:val="2E5B8A"/>
          <w:sz w:val="22"/>
          <w:szCs w:val="22"/>
        </w:rPr>
        <w:t xml:space="preserve">3.2  RST interpretation of the ordering</w:t>
      </w:r>
    </w:p>
    <w:p>
      <w:pPr>
        <w:spacing w:after="80" w:before="60"/>
        <w:jc w:val="both"/>
      </w:pPr>
      <w:r>
        <w:rPr>
          <w:rFonts w:ascii="Arial" w:cs="Arial" w:eastAsia="Arial" w:hAnsi="Arial"/>
          <w:sz w:val="21"/>
          <w:szCs w:val="21"/>
        </w:rPr>
        <w:t xml:space="preserve">The three-subspace result is consistent with the multi-timescale prediction at every level:</w:t>
      </w:r>
    </w:p>
    <w:p>
      <w:pPr>
        <w:spacing w:after="60" w:before="60"/>
      </w:pPr>
    </w:p>
    <w:p>
      <w:pPr>
        <w:spacing w:after="80" w:before="60"/>
        <w:jc w:val="both"/>
      </w:pPr>
      <w:r>
        <w:rPr>
          <w:rFonts w:ascii="Arial" w:cs="Arial" w:eastAsia="Arial" w:hAnsi="Arial"/>
          <w:b/>
          <w:bCs/>
          <w:sz w:val="21"/>
          <w:szCs w:val="21"/>
        </w:rPr>
        <w:t xml:space="preserve">Fast subspace (r=0.14, flat): </w:t>
      </w:r>
      <w:r>
        <w:rPr>
          <w:rFonts w:ascii="Arial" w:cs="Arial" w:eastAsia="Arial" w:hAnsi="Arial"/>
          <w:sz w:val="21"/>
          <w:szCs w:val="21"/>
        </w:rPr>
        <w:t xml:space="preserve">Pressures and speeds are set by throttle transients and operating conditions. After Brayton correction removes operating regime variation, these signals carry no organizational memory of degradation. They sit high in the corridor hierarchy (high C-proxy, low organizational compression). No degradation signature because there is no slow organizational coupling between the fast mechanical state and the degradation process. This is the TC character by absence — the fast subspace does not approach its starvation boundary during normal degradation.</w:t>
      </w:r>
    </w:p>
    <w:p>
      <w:pPr>
        <w:spacing w:after="60" w:before="60"/>
      </w:pPr>
    </w:p>
    <w:p>
      <w:pPr>
        <w:spacing w:after="80" w:before="60"/>
        <w:jc w:val="both"/>
      </w:pPr>
      <w:r>
        <w:rPr>
          <w:rFonts w:ascii="Arial" w:cs="Arial" w:eastAsia="Arial" w:hAnsi="Arial"/>
          <w:b/>
          <w:bCs/>
          <w:sz w:val="21"/>
          <w:szCs w:val="21"/>
        </w:rPr>
        <w:t xml:space="preserve">Medium subspace (r=0.39, increasing variance): </w:t>
      </w:r>
      <w:r>
        <w:rPr>
          <w:rFonts w:ascii="Arial" w:cs="Arial" w:eastAsia="Arial" w:hAnsi="Arial"/>
          <w:sz w:val="21"/>
          <w:szCs w:val="21"/>
        </w:rPr>
        <w:t xml:space="preserve">Temperatures encode thermal efficiency loss as growing variance. The effective dimension drops AND becomes noisier as the engine degrades — the system is losing thermal coherence. This is the TC character: continuous, monotonic drift toward the starvation boundary, accompanied by increasing variance (critical slowing down). The medium subspace sees degradation because thermal efficiency is coupled to the mechanical state on intermediate timescales.</w:t>
      </w:r>
    </w:p>
    <w:p>
      <w:pPr>
        <w:spacing w:after="60" w:before="60"/>
      </w:pPr>
    </w:p>
    <w:p>
      <w:pPr>
        <w:spacing w:after="80" w:before="60"/>
        <w:jc w:val="both"/>
      </w:pPr>
      <w:r>
        <w:rPr>
          <w:rFonts w:ascii="Arial" w:cs="Arial" w:eastAsia="Arial" w:hAnsi="Arial"/>
          <w:b/>
          <w:bCs/>
          <w:sz w:val="21"/>
          <w:szCs w:val="21"/>
        </w:rPr>
        <w:t xml:space="preserve">Slow subspace (r=0.80, shrinking variance): </w:t>
      </w:r>
      <w:r>
        <w:rPr>
          <w:rFonts w:ascii="Arial" w:cs="Arial" w:eastAsia="Arial" w:hAnsi="Arial"/>
          <w:sz w:val="21"/>
          <w:szCs w:val="21"/>
        </w:rPr>
        <w:t xml:space="preserve">Seal clearances and bleed equilibria drift near-monotonically with lifecycle. Variance SHRINKS (0.86×) as the system approaches failure — the slow manifold is constricting, not expanding. This is the SN character: the system is converging toward a narrower attractor as it approaches the cascade boundary. The corridor is tightening. The slow subspace carries the organizational memory of the entire degradation history and shows the earliest and cleanest signal because it sits lowest in the hierarchy (lowest C-proxy, most compressed, closest to the SN wall).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The relational detection principle</w:t>
            </w:r>
          </w:p>
          <w:p>
            <w:pPr>
              <w:spacing w:after="20" w:before="20"/>
            </w:pPr>
            <w:r>
              <w:rPr>
                <w:rFonts w:ascii="Arial" w:cs="Arial" w:eastAsia="Arial" w:hAnsi="Arial"/>
                <w:sz w:val="20"/>
                <w:szCs w:val="20"/>
              </w:rPr>
              <w:t xml:space="preserve">The slow subspace does not detect mechanical failure directly.</w:t>
            </w:r>
          </w:p>
          <w:p>
            <w:pPr>
              <w:spacing w:after="20" w:before="20"/>
            </w:pPr>
            <w:r>
              <w:rPr>
                <w:rFonts w:ascii="Arial" w:cs="Arial" w:eastAsia="Arial" w:hAnsi="Arial"/>
                <w:sz w:val="20"/>
                <w:szCs w:val="20"/>
              </w:rPr>
              <w:t xml:space="preserve">It detects the increasing organizational strain from the system compensating for</w:t>
            </w:r>
          </w:p>
          <w:p>
            <w:pPr>
              <w:spacing w:after="20" w:before="20"/>
            </w:pPr>
            <w:r>
              <w:rPr>
                <w:rFonts w:ascii="Arial" w:cs="Arial" w:eastAsia="Arial" w:hAnsi="Arial"/>
                <w:sz w:val="20"/>
                <w:szCs w:val="20"/>
              </w:rPr>
              <w:t xml:space="preserve">mechanical degradation it cannot observe. The control layer (slow subspace) works</w:t>
            </w:r>
          </w:p>
          <w:p>
            <w:pPr>
              <w:spacing w:after="20" w:before="20"/>
            </w:pPr>
            <w:r>
              <w:rPr>
                <w:rFonts w:ascii="Arial" w:cs="Arial" w:eastAsia="Arial" w:hAnsi="Arial"/>
                <w:sz w:val="20"/>
                <w:szCs w:val="20"/>
              </w:rPr>
              <w:t xml:space="preserve">harder as the mechanical layer (fast subspace) degrades, tightening its setpoints,</w:t>
            </w:r>
          </w:p>
          <w:p>
            <w:pPr>
              <w:spacing w:after="20" w:before="20"/>
            </w:pPr>
            <w:r>
              <w:rPr>
                <w:rFonts w:ascii="Arial" w:cs="Arial" w:eastAsia="Arial" w:hAnsi="Arial"/>
                <w:sz w:val="20"/>
                <w:szCs w:val="20"/>
              </w:rPr>
              <w:t xml:space="preserve">narrowing its corridor. The variance shrinkage is the signature of this tightening.</w:t>
            </w:r>
          </w:p>
          <w:p>
            <w:pPr>
              <w:spacing w:after="20" w:before="20"/>
            </w:pPr>
            <w:r>
              <w:rPr>
                <w:rFonts w:ascii="Arial" w:cs="Arial" w:eastAsia="Arial" w:hAnsi="Arial"/>
                <w:sz w:val="20"/>
                <w:szCs w:val="20"/>
              </w:rPr>
              <w:t xml:space="preserve"/>
            </w:r>
          </w:p>
          <w:p>
            <w:pPr>
              <w:spacing w:after="20" w:before="20"/>
            </w:pPr>
            <w:r>
              <w:rPr>
                <w:rFonts w:ascii="Arial" w:cs="Arial" w:eastAsia="Arial" w:hAnsi="Arial"/>
                <w:sz w:val="20"/>
                <w:szCs w:val="20"/>
              </w:rPr>
              <w:t xml:space="preserve">This is the relational-not-direct detection principle: the slow subspace sees stress</w:t>
            </w:r>
          </w:p>
          <w:p>
            <w:pPr>
              <w:spacing w:after="20" w:before="20"/>
            </w:pPr>
            <w:r>
              <w:rPr>
                <w:rFonts w:ascii="Arial" w:cs="Arial" w:eastAsia="Arial" w:hAnsi="Arial"/>
                <w:sz w:val="20"/>
                <w:szCs w:val="20"/>
              </w:rPr>
              <w:t xml:space="preserve">through its organizational response to stress, not through direct mechanical coupling.</w:t>
            </w:r>
          </w:p>
          <w:p>
            <w:pPr>
              <w:spacing w:after="20" w:before="20"/>
            </w:pPr>
            <w:r>
              <w:rPr>
                <w:rFonts w:ascii="Arial" w:cs="Arial" w:eastAsia="Arial" w:hAnsi="Arial"/>
                <w:sz w:val="20"/>
                <w:szCs w:val="20"/>
              </w:rPr>
              <w:t xml:space="preserve">It is the earliest indicator precisely because it has the longest memory.</w:t>
            </w:r>
          </w:p>
        </w:tc>
      </w:tr>
    </w:tbl>
    <w:p>
      <w:pPr>
        <w:spacing w:after="60" w:before="60"/>
      </w:pPr>
    </w:p>
    <w:p>
      <w:pPr>
        <w:pStyle w:val="Heading1"/>
        <w:spacing w:after="160" w:before="320"/>
      </w:pPr>
      <w:r>
        <w:rPr>
          <w:rFonts w:ascii="Arial" w:cs="Arial" w:eastAsia="Arial" w:hAnsi="Arial"/>
          <w:b/>
          <w:bCs/>
          <w:color w:val="1F3864"/>
          <w:sz w:val="26"/>
          <w:szCs w:val="26"/>
        </w:rPr>
        <w:t xml:space="preserve">4.  MHD Turbulence Spectral Confirmation</w:t>
      </w:r>
    </w:p>
    <w:p>
      <w:pPr>
        <w:pStyle w:val="Heading2"/>
        <w:spacing w:after="100" w:before="200"/>
      </w:pPr>
      <w:r>
        <w:rPr>
          <w:rFonts w:ascii="Arial" w:cs="Arial" w:eastAsia="Arial" w:hAnsi="Arial"/>
          <w:b/>
          <w:bCs/>
          <w:color w:val="2E5B8A"/>
          <w:sz w:val="22"/>
          <w:szCs w:val="22"/>
        </w:rPr>
        <w:t xml:space="preserve">4.1  Two independent organizing channels</w:t>
      </w:r>
    </w:p>
    <w:p>
      <w:pPr>
        <w:spacing w:after="80" w:before="60"/>
        <w:jc w:val="both"/>
      </w:pPr>
      <w:r>
        <w:rPr>
          <w:rFonts w:ascii="Arial" w:cs="Arial" w:eastAsia="Arial" w:hAnsi="Arial"/>
          <w:sz w:val="21"/>
          <w:szCs w:val="21"/>
        </w:rPr>
        <w:t xml:space="preserve">Field alignment analysis of the JHTDB MHD1024 dataset (1024³, Pm=1, stationary forced) identifies two statistically independent organizing channels governing alignment in magnetohydrodynamic turbulence. The full spatial analysis (N=1000 points) establishes: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Channel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Organizing scalar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Alignment governed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Spearman ρ (cross-channel)</w:t>
            </w:r>
          </w:p>
        </w:tc>
      </w:tr>
      <w:tr>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Phase coherence (slow)</w:t>
            </w:r>
          </w:p>
        </w:tc>
        <w:tc>
          <w:tcPr>
            <w:tcW w:type="dxa" w:w="24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|σ_c| = normalized cross-helicity</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u–b (velocity–magnetic)</w:t>
            </w:r>
          </w:p>
        </w:tc>
        <w:tc>
          <w:tcPr>
            <w:tcW w:type="dxa" w:w="29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ρ(|σ_c|, |cos(ω,J)|) = 0.034  [flat, no coupling]</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Structural intensity (fast)</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|J|, ||∇b||_F = gradient magnitude</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ω–J (vorticity–current)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ρ(|J|, |cos(u,b)|) = −0.043  [flat, no coupling]</w:t>
            </w:r>
          </w:p>
        </w:tc>
      </w:tr>
    </w:tbl>
    <w:p>
      <w:pPr>
        <w:spacing w:after="60" w:before="60"/>
      </w:pPr>
    </w:p>
    <w:p>
      <w:pPr>
        <w:spacing w:after="80" w:before="60"/>
        <w:jc w:val="both"/>
      </w:pPr>
      <w:r>
        <w:rPr>
          <w:rFonts w:ascii="Arial" w:cs="Arial" w:eastAsia="Arial" w:hAnsi="Arial"/>
          <w:sz w:val="21"/>
          <w:szCs w:val="21"/>
        </w:rPr>
        <w:t xml:space="preserve">Cross-channel Spearman correlations are all below 0.04 — orthogonal to two decimal places. The phase coherence channel (|σ_c|) shows ρ=0.810 with u–b alignment. The channels are independent because they are scale-separated.</w:t>
      </w:r>
    </w:p>
    <w:p>
      <w:pPr>
        <w:spacing w:after="60" w:before="60"/>
      </w:pPr>
    </w:p>
    <w:p>
      <w:pPr>
        <w:pStyle w:val="Heading2"/>
        <w:spacing w:after="100" w:before="200"/>
      </w:pPr>
      <w:r>
        <w:rPr>
          <w:rFonts w:ascii="Arial" w:cs="Arial" w:eastAsia="Arial" w:hAnsi="Arial"/>
          <w:b/>
          <w:bCs/>
          <w:color w:val="2E5B8A"/>
          <w:sz w:val="22"/>
          <w:szCs w:val="22"/>
        </w:rPr>
        <w:t xml:space="preserve">4.2  Scale separation from spectral data</w:t>
      </w:r>
    </w:p>
    <w:p>
      <w:pPr>
        <w:spacing w:after="80" w:before="60"/>
        <w:jc w:val="both"/>
      </w:pPr>
      <w:r>
        <w:rPr>
          <w:rFonts w:ascii="Arial" w:cs="Arial" w:eastAsia="Arial" w:hAnsi="Arial"/>
          <w:sz w:val="21"/>
          <w:szCs w:val="21"/>
        </w:rPr>
        <w:t xml:space="preserve">The Spectra-MHD.txt dataset (JHTDB MHD1024) provides the spectral distribution of both channels across wavenumber k. The cumulative energy distributions: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Channel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Spectral proxy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50% energy at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RST subspace</w:t>
            </w:r>
          </w:p>
        </w:tc>
      </w:tr>
      <w:tr>
        <w:tc>
          <w:tcPr>
            <w:tcW w:type="dxa" w:w="2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Phase coherence / cross-helicity H_c(k)</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H_c(k) spectrum</w:t>
            </w:r>
          </w:p>
        </w:tc>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k ≤ 6</w:t>
            </w:r>
          </w:p>
        </w:tc>
        <w:tc>
          <w:tcPr>
            <w:tcW w:type="dxa" w:w="27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SLOW: large-scale, organizational memory, conserved in ideal MHD</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Structural intensity k²E_b(k) proxy</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k² × E_b(k)</w:t>
            </w:r>
          </w:p>
        </w:tc>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000000"/>
                <w:sz w:val="19"/>
                <w:szCs w:val="19"/>
              </w:rPr>
              <w:t xml:space="preserve">k ≤ 93</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FAST: small-scale, local/instantaneous, no long-range coupling</w:t>
            </w:r>
          </w:p>
        </w:tc>
      </w:tr>
    </w:tbl>
    <w:p>
      <w:pPr>
        <w:spacing w:after="60" w:before="60"/>
      </w:pPr>
    </w:p>
    <w:p>
      <w:pPr>
        <w:spacing w:after="80" w:before="60"/>
        <w:jc w:val="both"/>
      </w:pPr>
      <w:r>
        <w:rPr>
          <w:rFonts w:ascii="Arial" w:cs="Arial" w:eastAsia="Arial" w:hAnsi="Arial"/>
          <w:sz w:val="21"/>
          <w:szCs w:val="21"/>
        </w:rPr>
        <w:t xml:space="preserve">Scale separation: 15.5× (k=6 vs k=93 for 50% energy). The spectral slope of the phase coherence channel: |σ_c(k)| ∼ k^{−0.833}, steeply falling with wavenumber. Cross-helicity is the large-scale slow organizing variable. Structural intensity is the small-scale fast organizing variable. Their statistical independence follows from being separated by more than an order of magnitude in scale.</w:t>
      </w:r>
    </w:p>
    <w:p>
      <w:pPr>
        <w:spacing w:after="60" w:before="60"/>
      </w:pPr>
    </w:p>
    <w:p>
      <w:pPr>
        <w:spacing w:after="80" w:before="60"/>
        <w:jc w:val="both"/>
      </w:pPr>
      <w:r>
        <w:rPr>
          <w:rFonts w:ascii="Arial" w:cs="Arial" w:eastAsia="Arial" w:hAnsi="Arial"/>
          <w:sz w:val="21"/>
          <w:szCs w:val="21"/>
        </w:rPr>
        <w:t xml:space="preserve">The 2:1 ratio test (M1) within each channel is pending direct spatial measurement. The prediction: fitting P_tail ∼ |J|^α on the TC-side (low |σ_c|) and SN-side (high |σ_c|) of patch boundaries should give α_TC≈1/3, α_SN≈2/3, ratio≈2.0 in both channels independently.</w:t>
      </w:r>
    </w:p>
    <w:p>
      <w:pPr>
        <w:spacing w:after="60" w:before="60"/>
      </w:pPr>
    </w:p>
    <w:p>
      <w:pPr>
        <w:pStyle w:val="Heading1"/>
        <w:spacing w:after="160" w:before="320"/>
      </w:pPr>
      <w:r>
        <w:rPr>
          <w:rFonts w:ascii="Arial" w:cs="Arial" w:eastAsia="Arial" w:hAnsi="Arial"/>
          <w:b/>
          <w:bCs/>
          <w:color w:val="1F3864"/>
          <w:sz w:val="26"/>
          <w:szCs w:val="26"/>
        </w:rPr>
        <w:t xml:space="preserve">5.  Falsifiable Predictions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Courier New" w:cs="Courier New" w:eastAsia="Courier New" w:hAnsi="Courier New"/>
                <w:b/>
                <w:bCs/>
                <w:color w:val="FFFFFF"/>
                <w:sz w:val="20"/>
                <w:szCs w:val="20"/>
              </w:rPr>
              <w:t xml:space="preserve">P1</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sz w:val="20"/>
                <w:szCs w:val="20"/>
              </w:rPr>
              <w:t xml:space="preserve">2:1 ratio in each timescale subspace independently. When the eigenvalue spectrum of a multi-timescale signal is decomposed by frequency band, fitting the noise-scaling exponents α_TC and α_SN separately within each band should give α_SN/α_TC ≈ 2.000 in each band. The ratio is the invariant. The absolute exponent values are the variable.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Courier New" w:cs="Courier New" w:eastAsia="Courier New" w:hAnsi="Courier New"/>
                <w:b/>
                <w:bCs/>
                <w:color w:val="FFFFFF"/>
                <w:sz w:val="20"/>
                <w:szCs w:val="20"/>
              </w:rPr>
              <w:t xml:space="preserve">P2</w:t>
            </w:r>
          </w:p>
        </w:tc>
        <w:tc>
          <w:tcPr>
            <w:tcW w:type="dxa" w:w="85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sz w:val="20"/>
                <w:szCs w:val="20"/>
              </w:rPr>
              <w:t xml:space="preserve">Absolute exponent ordering by timescale. The fast subspace (high C-proxy, early in hierarchy) should have larger absolute α_TC and α_SN values than the slow subspace (low C-proxy, deeper in hierarchy). In the turbofan: fast band exponents &gt; medium band exponents &gt; slow band exponents. The slow subspace is most compressed and closest to its SN boundary. This ordering is a direct consequence of the C-function monotonicity.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Courier New" w:cs="Courier New" w:eastAsia="Courier New" w:hAnsi="Courier New"/>
                <w:b/>
                <w:bCs/>
                <w:color w:val="FFFFFF"/>
                <w:sz w:val="20"/>
                <w:szCs w:val="20"/>
              </w:rPr>
              <w:t xml:space="preserve">P3</w:t>
            </w:r>
          </w:p>
        </w:tc>
        <w:tc>
          <w:tcPr>
            <w:tcW w:type="dxa" w:w="8560"/>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r>
              <w:rPr>
                <w:rFonts w:ascii="Arial" w:cs="Arial" w:eastAsia="Arial" w:hAnsi="Arial"/>
                <w:sz w:val="20"/>
                <w:szCs w:val="20"/>
              </w:rPr>
              <w:t xml:space="preserve">Eigenvalue cluster count equals organizational level count. The number of distinct, separable eigenvalue clusters in the full multi-timescale spectrum should equal the number of organizational levels in the system. Turbofan: 3 clusters (mechanical, thermal, control). Chesapeake Bay estuary ecosystem: 10–15 clusters (trophic hierarchy). Each cluster is the spectral crown of one organizational level. The gaps between clusters are the corridor boundaries.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Testing protocol for P1</w:t>
            </w:r>
          </w:p>
          <w:p>
            <w:pPr>
              <w:spacing w:after="20" w:before="20"/>
            </w:pPr>
            <w:r>
              <w:rPr>
                <w:rFonts w:ascii="Arial" w:cs="Arial" w:eastAsia="Arial" w:hAnsi="Arial"/>
                <w:sz w:val="20"/>
                <w:szCs w:val="20"/>
              </w:rPr>
              <w:t xml:space="preserve">For a system with N time series of length T:</w:t>
            </w:r>
          </w:p>
          <w:p>
            <w:pPr>
              <w:spacing w:after="20" w:before="20"/>
            </w:pPr>
            <w:r>
              <w:rPr>
                <w:rFonts w:ascii="Arial" w:cs="Arial" w:eastAsia="Arial" w:hAnsi="Arial"/>
                <w:sz w:val="20"/>
                <w:szCs w:val="20"/>
              </w:rPr>
              <w:t xml:space="preserve">  1. Compute eigenvalue decomposition of the signal covariance matrix in sliding windows.</w:t>
            </w:r>
          </w:p>
          <w:p>
            <w:pPr>
              <w:spacing w:after="20" w:before="20"/>
            </w:pPr>
            <w:r>
              <w:rPr>
                <w:rFonts w:ascii="Arial" w:cs="Arial" w:eastAsia="Arial" w:hAnsi="Arial"/>
                <w:sz w:val="20"/>
                <w:szCs w:val="20"/>
              </w:rPr>
              <w:t xml:space="preserve">  2. Separate windows into frequency bands by dominant eigenvalue frequency.</w:t>
            </w:r>
          </w:p>
          <w:p>
            <w:pPr>
              <w:spacing w:after="20" w:before="20"/>
            </w:pPr>
            <w:r>
              <w:rPr>
                <w:rFonts w:ascii="Arial" w:cs="Arial" w:eastAsia="Arial" w:hAnsi="Arial"/>
                <w:sz w:val="20"/>
                <w:szCs w:val="20"/>
              </w:rPr>
              <w:t xml:space="preserve">  3. Within each band, compute effective_dim (participation ratio) trajectory.</w:t>
            </w:r>
          </w:p>
          <w:p>
            <w:pPr>
              <w:spacing w:after="20" w:before="20"/>
            </w:pPr>
            <w:r>
              <w:rPr>
                <w:rFonts w:ascii="Arial" w:cs="Arial" w:eastAsia="Arial" w:hAnsi="Arial"/>
                <w:sz w:val="20"/>
                <w:szCs w:val="20"/>
              </w:rPr>
              <w:t xml:space="preserve">  4. Fit P_tail(D_eff) ∼ D_eff^α separately for TC-side and SN-side windows.</w:t>
            </w:r>
          </w:p>
          <w:p>
            <w:pPr>
              <w:spacing w:after="20" w:before="20"/>
            </w:pPr>
            <w:r>
              <w:rPr>
                <w:rFonts w:ascii="Arial" w:cs="Arial" w:eastAsia="Arial" w:hAnsi="Arial"/>
                <w:sz w:val="20"/>
                <w:szCs w:val="20"/>
              </w:rPr>
              <w:t xml:space="preserve">     (TC-side: effective_dim drifting slowly downward; SN-side: effective_dim constricting)</w:t>
            </w:r>
          </w:p>
          <w:p>
            <w:pPr>
              <w:spacing w:after="20" w:before="20"/>
            </w:pPr>
            <w:r>
              <w:rPr>
                <w:rFonts w:ascii="Arial" w:cs="Arial" w:eastAsia="Arial" w:hAnsi="Arial"/>
                <w:sz w:val="20"/>
                <w:szCs w:val="20"/>
              </w:rPr>
              <w:t xml:space="preserve">  5. Compute ratio α_SN/α_TC within each band.</w:t>
            </w:r>
          </w:p>
          <w:p>
            <w:pPr>
              <w:spacing w:after="20" w:before="20"/>
            </w:pPr>
            <w:r>
              <w:rPr>
                <w:rFonts w:ascii="Arial" w:cs="Arial" w:eastAsia="Arial" w:hAnsi="Arial"/>
                <w:sz w:val="20"/>
                <w:szCs w:val="20"/>
              </w:rPr>
              <w:t xml:space="preserve">  Prediction: ratio ≈ 2.000 in all bands.</w:t>
            </w:r>
          </w:p>
        </w:tc>
      </w:tr>
    </w:tbl>
    <w:p>
      <w:pPr>
        <w:spacing w:after="60" w:before="60"/>
      </w:pPr>
    </w:p>
    <w:p>
      <w:pPr>
        <w:pStyle w:val="Heading1"/>
        <w:spacing w:after="160" w:before="320"/>
      </w:pPr>
      <w:r>
        <w:rPr>
          <w:rFonts w:ascii="Arial" w:cs="Arial" w:eastAsia="Arial" w:hAnsi="Arial"/>
          <w:b/>
          <w:bCs/>
          <w:color w:val="1F3864"/>
          <w:sz w:val="26"/>
          <w:szCs w:val="26"/>
        </w:rPr>
        <w:t xml:space="preserve">6.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Evidence source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Finding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Status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FFFFFF"/>
                <w:sz w:val="19"/>
                <w:szCs w:val="19"/>
              </w:rPr>
              <w:t xml:space="preserve">Key number</w:t>
            </w:r>
          </w:p>
        </w:tc>
      </w:tr>
      <w:tr>
        <w:tc>
          <w:tcPr>
            <w:tcW w:type="dxa" w:w="18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Spectral model
(Study A, 11 κ points)</w:t>
            </w:r>
          </w:p>
        </w:tc>
        <w:tc>
          <w:tcPr>
            <w:tcW w:type="dxa" w:w="30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2:1 ratio holds continuously across L2→L3 transition zone. Absolute exponents fall together; ratio fixed.</w:t>
            </w:r>
          </w:p>
        </w:tc>
        <w:tc>
          <w:tcPr>
            <w:tcW w:type="dxa" w:w="20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1F6B3B"/>
                <w:sz w:val="19"/>
                <w:szCs w:val="19"/>
              </w:rPr>
              <w:t xml:space="preserve">✓ CONFIRMED</w:t>
            </w:r>
          </w:p>
        </w:tc>
        <w:tc>
          <w:tcPr>
            <w:tcW w:type="dxa" w:w="256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2.000 ± 0.010
across all 11 points</w:t>
            </w:r>
          </w:p>
        </w:tc>
      </w:tr>
      <w:tr>
        <w:tc>
          <w:tcPr>
            <w:tcW w:type="dxa" w:w="18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Turbofan degradation
(Rudder 2026)</w:t>
            </w:r>
          </w:p>
        </w:tc>
        <w:tc>
          <w:tcPr>
            <w:tcW w:type="dxa" w:w="30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Three timescale bands show fast/TC/SN ordering. Slow subspace constricts (0.86× variance shrinkage) approaching failure. Fast subspace flat.</w:t>
            </w:r>
          </w:p>
        </w:tc>
        <w:tc>
          <w:tcPr>
            <w:tcW w:type="dxa" w:w="20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1F6B3B"/>
                <w:sz w:val="19"/>
                <w:szCs w:val="19"/>
              </w:rPr>
              <w:t xml:space="preserve">✓ CONFIRMED
(boundary type ordering)</w:t>
            </w:r>
          </w:p>
        </w:tc>
        <w:tc>
          <w:tcPr>
            <w:tcW w:type="dxa" w:w="256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r=0.14/0.39/0.80
fast/medium/slow</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MHD turbulence
(JHTDB MHD1024)</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Two independent organizing channels separated by 15.5× in scale. ρ=0.810 phase channel, cross-channel ρ&lt;0.04.</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8B6914"/>
                <w:sz w:val="19"/>
                <w:szCs w:val="19"/>
              </w:rPr>
              <w:t xml:space="preserve">~ CONSISTENT
(M1 ratio pending)</w:t>
            </w:r>
          </w:p>
        </w:tc>
        <w:tc>
          <w:tcPr>
            <w:tcW w:type="dxa" w:w="2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15.5× scale separation
k=6 vs k=93</w:t>
            </w:r>
          </w:p>
        </w:tc>
      </w:tr>
      <w:tr>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2:1 ratio in each
timescale band (P1)</w:t>
            </w:r>
          </w:p>
        </w:tc>
        <w:tc>
          <w:tcPr>
            <w:tcW w:type="dxa" w:w="3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Direct measurement of α_TC and α_SN within each frequency band of the turbofan eigenvalue spectrum.</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center"/>
            </w:pPr>
            <w:r>
              <w:rPr>
                <w:rFonts w:ascii="Arial" w:cs="Arial" w:eastAsia="Arial" w:hAnsi="Arial"/>
                <w:b/>
                <w:bCs/>
                <w:i w:val="false"/>
                <w:iCs w:val="false"/>
                <w:color w:val="CC6600"/>
                <w:sz w:val="19"/>
                <w:szCs w:val="19"/>
              </w:rPr>
              <w:t xml:space="preserve">PENDING
(next experiment)</w:t>
            </w:r>
          </w:p>
        </w:tc>
        <w:tc>
          <w:tcPr>
            <w:tcW w:type="dxa" w:w="2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Expected: 2.000
in each band</w:t>
            </w:r>
          </w:p>
        </w:tc>
      </w:tr>
    </w:tbl>
    <w:p>
      <w:pPr>
        <w:spacing w:after="60" w:before="60"/>
      </w:pPr>
    </w:p>
    <w:p>
      <w:pPr>
        <w:spacing w:after="80" w:before="60"/>
        <w:jc w:val="both"/>
      </w:pPr>
      <w:r>
        <w:rPr>
          <w:rFonts w:ascii="Arial" w:cs="Arial" w:eastAsia="Arial" w:hAnsi="Arial"/>
          <w:sz w:val="21"/>
          <w:szCs w:val="21"/>
        </w:rPr>
        <w:t xml:space="preserve">The 2:1 exponent ratio is not a property of a particular system, timescale, or physical domain. It is a property of the boundary geometry of the viability corridor, derivable from the normal form classification theorem, and confirmed continuously across the L2→L3 spectral transition (11 kappa points, ratio 2.000±0.010). The multi-timescale extension predicts this ratio holds in each subspace of a hierarchically organized system. The turbofan data (Rudder 2026) confirms the boundary type ordering across three timescale bands. The 2:1 ratio within each band is the next direct test.</w:t>
      </w:r>
    </w:p>
    <w:p>
      <w:pPr>
        <w:spacing w:after="60" w:before="60"/>
      </w:pPr>
    </w:p>
    <w:p>
      <w:pPr>
        <w:pStyle w:val="Heading1"/>
        <w:spacing w:after="160" w:before="320"/>
      </w:pPr>
      <w:r>
        <w:rPr>
          <w:rFonts w:ascii="Arial" w:cs="Arial" w:eastAsia="Arial" w:hAnsi="Arial"/>
          <w:b/>
          <w:bCs/>
          <w:color w:val="1F3864"/>
          <w:sz w:val="26"/>
          <w:szCs w:val="26"/>
        </w:rPr>
        <w:t xml:space="preserve">References</w:t>
      </w:r>
    </w:p>
    <w:p>
      <w:pPr>
        <w:spacing w:after="80" w:before="60"/>
        <w:jc w:val="both"/>
      </w:pPr>
      <w:r>
        <w:rPr>
          <w:rFonts w:ascii="Arial" w:cs="Arial" w:eastAsia="Arial" w:hAnsi="Arial"/>
          <w:sz w:val="19"/>
          <w:szCs w:val="19"/>
        </w:rPr>
        <w:t xml:space="preserve">Mindemann, M. 2026, Viability Corridor Framework: Recursive Substrate Theory, Zenodo, DOI: 10.5281/zenodo.19718922</w:t>
      </w:r>
    </w:p>
    <w:p>
      <w:pPr>
        <w:spacing w:after="80" w:before="60"/>
        <w:jc w:val="both"/>
      </w:pPr>
      <w:r>
        <w:rPr>
          <w:rFonts w:ascii="Arial" w:cs="Arial" w:eastAsia="Arial" w:hAnsi="Arial"/>
          <w:sz w:val="19"/>
          <w:szCs w:val="19"/>
        </w:rPr>
        <w:t xml:space="preserve">Rudder, A. 2026, Multi-timescale manifold geometry decomposition of turbofan degradation (C-MAPSS FD002), in communication. Zenodo: zenodo.org/records/19614316</w:t>
      </w:r>
    </w:p>
    <w:p>
      <w:pPr>
        <w:spacing w:after="80" w:before="60"/>
        <w:jc w:val="both"/>
      </w:pPr>
      <w:r>
        <w:rPr>
          <w:rFonts w:ascii="Arial" w:cs="Arial" w:eastAsia="Arial" w:hAnsi="Arial"/>
          <w:sz w:val="19"/>
          <w:szCs w:val="19"/>
        </w:rPr>
        <w:t xml:space="preserve">Johns Hopkins Turbulence Database (JHTDB), MHD1024 dataset, turbulence.pha.jhu.edu</w:t>
      </w:r>
    </w:p>
    <w:p>
      <w:pPr>
        <w:spacing w:after="80" w:before="60"/>
        <w:jc w:val="both"/>
      </w:pPr>
      <w:r>
        <w:rPr>
          <w:rFonts w:ascii="Arial" w:cs="Arial" w:eastAsia="Arial" w:hAnsi="Arial"/>
          <w:sz w:val="19"/>
          <w:szCs w:val="19"/>
        </w:rPr>
        <w:t xml:space="preserve">constraint_escape_spectral_v2.py, spectral_v3_studies.py: github.com/mindamike/Training-Corridors (MIT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2026-04-26T16:42:40.913Z</dcterms:created>
  <dcterms:modified xsi:type="dcterms:W3CDTF">2026-04-26T16:42:40.914Z</dcterms:modified>
</cp:coreProperties>
</file>

<file path=docProps/custom.xml><?xml version="1.0" encoding="utf-8"?>
<Properties xmlns="http://schemas.openxmlformats.org/officeDocument/2006/custom-properties" xmlns:vt="http://schemas.openxmlformats.org/officeDocument/2006/docPropsVTypes"/>
</file>