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2e" w:val="solid"/>
        <w:spacing w:after="0" w:before="0"/>
        <w:ind w:left="-720" w:right="-720"/>
        <w:jc w:val="center"/>
      </w:pPr>
      <w:r>
        <w:rPr>
          <w:rFonts w:ascii="Calibri" w:cs="Calibri" w:eastAsia="Calibri" w:hAnsi="Calibri"/>
          <w:b/>
          <w:bCs/>
          <w:color w:val="ffffff"/>
          <w:sz w:val="52"/>
          <w:szCs w:val="52"/>
        </w:rPr>
        <w:t xml:space="preserve">Directed Admissibility in Corridor Space</w:t>
      </w:r>
    </w:p>
    <w:p>
      <w:pPr>
        <w:shd w:color="2d2d44" w:val="solid"/>
        <w:spacing w:after="200" w:before="0"/>
        <w:ind w:left="-720" w:right="-720"/>
        <w:jc w:val="center"/>
      </w:pPr>
      <w:r>
        <w:rPr>
          <w:rFonts w:ascii="Calibri" w:cs="Calibri" w:eastAsia="Calibri" w:hAnsi="Calibri"/>
          <w:i/>
          <w:iCs/>
          <w:color w:val="aaaacc"/>
          <w:sz w:val="22"/>
          <w:szCs w:val="22"/>
        </w:rPr>
        <w:t xml:space="preserve">A Structural Account of Irreversibility  |  v5 (final tightening)</w:t>
      </w:r>
    </w:p>
    <w:p>
      <w:pPr>
        <w:pBdr>
          <w:left w:val="thick" w:color="1a3a5c" w:sz="8"/>
          <w:right w:val="thick" w:color="1a3a5c" w:sz="8"/>
        </w:pBdr>
        <w:shd w:color="f0f4fa" w:val="solid"/>
        <w:spacing w:after="320" w:before="120"/>
        <w:ind w:left="200" w:right="200"/>
      </w:pPr>
      <w:r>
        <w:rPr>
          <w:rFonts w:ascii="Calibri" w:cs="Calibri" w:eastAsia="Calibri" w:hAnsi="Calibri"/>
          <w:b/>
          <w:bCs/>
          <w:color w:val="1a3a5c"/>
          <w:sz w:val="19"/>
          <w:szCs w:val="19"/>
        </w:rPr>
        <w:t xml:space="preserve">Provenance note:  </w:t>
      </w:r>
      <w:r>
        <w:rPr>
          <w:rFonts w:ascii="Calibri" w:cs="Calibri" w:eastAsia="Calibri" w:hAnsi="Calibri"/>
          <w:color w:val="444444"/>
          <w:sz w:val="19"/>
          <w:szCs w:val="19"/>
        </w:rPr>
        <w:t xml:space="preserve">Two results were prior framework results: (1) Hopf -&gt; PF coarse-graining theorem (Technical Summary v3, Section 4); (2) Ito/Bessel centrifugal term D*ln(r) in the 2D Hopf Fokker-Planck (2D Hopf notebook session). This session connected those two results to show why DV_TC decreases with level, closing the main conditionality in the Directed Admissibility theorem. Additionally new: symmetric mismatch observation, explicit Theta gate derivation from Kramers, and the Directed Admissibility theorem itself.</w:t>
      </w:r>
    </w:p>
    <w:p>
      <w:pPr>
        <w:pStyle w:val="Heading1"/>
        <w:shd w:color="1a1a2e" w:val="solid"/>
        <w:spacing w:after="140" w:before="360"/>
        <w:ind w:left="120" w:right="120"/>
      </w:pPr>
      <w:r>
        <w:rPr>
          <w:rFonts w:ascii="Calibri" w:cs="Calibri" w:eastAsia="Calibri" w:hAnsi="Calibri"/>
          <w:b/>
          <w:bCs/>
          <w:color w:val="ffffff"/>
          <w:sz w:val="32"/>
          <w:szCs w:val="32"/>
        </w:rPr>
        <w:t xml:space="preserve">0. The Central Claim</w:t>
      </w:r>
    </w:p>
    <w:p>
      <w:pPr>
        <w:pBdr>
          <w:left w:val="thick" w:color="1a3a5c" w:sz="8"/>
        </w:pBdr>
        <w:shd w:color="e8f0f7" w:val="solid"/>
        <w:spacing w:after="70" w:before="70"/>
        <w:ind w:left="400"/>
      </w:pPr>
      <w:r>
        <w:rPr>
          <w:rFonts w:ascii="Calibri" w:cs="Calibri" w:eastAsia="Calibri" w:hAnsi="Calibri"/>
          <w:b/>
          <w:bCs/>
          <w:color w:val="1a3a5c"/>
          <w:sz w:val="20"/>
          <w:szCs w:val="20"/>
        </w:rPr>
        <w:t xml:space="preserve">One-sentence summary:  </w:t>
      </w:r>
      <w:r>
        <w:rPr>
          <w:rFonts w:ascii="Calibri" w:cs="Calibri" w:eastAsia="Calibri" w:hAnsi="Calibri"/>
          <w:color w:val="1c1c1c"/>
          <w:sz w:val="20"/>
          <w:szCs w:val="20"/>
        </w:rPr>
        <w:t xml:space="preserve">Irreversibility does not come from asymmetric local law or asymmetric mismatch geometry, but from asymmetric support of the branching kernel — and that support asymmetry follows from coarse-graining away oscillatory maintenance costs that strictly reduce DV_TC.</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Philosophical payoff:  </w:t>
      </w:r>
      <w:r>
        <w:rPr>
          <w:rFonts w:ascii="Calibri" w:cs="Calibri" w:eastAsia="Calibri" w:hAnsi="Calibri"/>
          <w:color w:val="1c1c1c"/>
          <w:sz w:val="20"/>
          <w:szCs w:val="20"/>
        </w:rPr>
        <w:t xml:space="preserve">Microlocal dynamics may remain reversible — reverse mismatch equals forward mismatch exactly — while macroscopic history is still directed, because the branching kernel has one-sided support in corridor space. The arrow of time is not sourced by asymmetry in the local equations or in mismatch distance, but by asymmetry in which corridor transitions exist as dynamically admissible branches.</w:t>
      </w:r>
    </w:p>
    <w:p/>
    <w:p>
      <w:pPr>
        <w:spacing w:after="70" w:before="70"/>
      </w:pPr>
      <w:r>
        <w:rPr>
          <w:rFonts w:ascii="Calibri" w:cs="Calibri" w:eastAsia="Calibri" w:hAnsi="Calibri"/>
          <w:color w:val="1c1c1c"/>
          <w:sz w:val="20"/>
          <w:szCs w:val="20"/>
        </w:rPr>
        <w:t xml:space="preserve">Three layers are maintained throughout:</w:t>
      </w:r>
    </w:p>
    <w:p>
      <w:pPr>
        <w:spacing w:after="50" w:before="50"/>
        <w:ind w:left="400"/>
      </w:pPr>
      <w:r>
        <w:rPr>
          <w:rFonts w:ascii="Calibri" w:cs="Calibri" w:eastAsia="Calibri" w:hAnsi="Calibri"/>
          <w:color w:val="1c1c1c"/>
          <w:sz w:val="20"/>
          <w:szCs w:val="20"/>
        </w:rPr>
        <w:t xml:space="preserve">• Theorem-level internal consequences: derived from normal forms, Kramers theory, and previously established Hopf coarse-graining results</w:t>
      </w:r>
    </w:p>
    <w:p>
      <w:pPr>
        <w:spacing w:after="50" w:before="50"/>
        <w:ind w:left="400"/>
      </w:pPr>
      <w:r>
        <w:rPr>
          <w:rFonts w:ascii="Calibri" w:cs="Calibri" w:eastAsia="Calibri" w:hAnsi="Calibri"/>
          <w:color w:val="1c1c1c"/>
          <w:sz w:val="20"/>
          <w:szCs w:val="20"/>
        </w:rPr>
        <w:t xml:space="preserve">• Hierarchy-level empirical patterns: the decreasing DV_TC trend, now shown to follow from prior derivations</w:t>
      </w:r>
    </w:p>
    <w:p>
      <w:pPr>
        <w:spacing w:after="50" w:before="50"/>
        <w:ind w:left="400"/>
      </w:pPr>
      <w:r>
        <w:rPr>
          <w:rFonts w:ascii="Calibri" w:cs="Calibri" w:eastAsia="Calibri" w:hAnsi="Calibri"/>
          <w:color w:val="1c1c1c"/>
          <w:sz w:val="20"/>
          <w:szCs w:val="20"/>
        </w:rPr>
        <w:t xml:space="preserve">• Interpretive proposals: measurement and cosmological sections, clearly labeled and bounded</w:t>
      </w:r>
    </w:p>
    <w:p/>
    <w:p>
      <w:pPr>
        <w:pStyle w:val="Heading1"/>
        <w:shd w:color="1a1a2e" w:val="solid"/>
        <w:spacing w:after="140" w:before="360"/>
        <w:ind w:left="120" w:right="120"/>
      </w:pPr>
      <w:r>
        <w:rPr>
          <w:rFonts w:ascii="Calibri" w:cs="Calibri" w:eastAsia="Calibri" w:hAnsi="Calibri"/>
          <w:b/>
          <w:bCs/>
          <w:color w:val="ffffff"/>
          <w:sz w:val="32"/>
          <w:szCs w:val="32"/>
        </w:rPr>
        <w:t xml:space="preserve">1. The Admissibility Gate — Derivation</w:t>
      </w:r>
    </w:p>
    <w:p>
      <w:pPr>
        <w:spacing w:after="70" w:before="70"/>
      </w:pPr>
      <w:r>
        <w:rPr>
          <w:rFonts w:ascii="Calibri" w:cs="Calibri" w:eastAsia="Calibri" w:hAnsi="Calibri"/>
          <w:color w:val="1c1c1c"/>
          <w:sz w:val="20"/>
          <w:szCs w:val="20"/>
        </w:rPr>
        <w:t xml:space="preserve">The Theta(Phi-1) gate is not an assumption about the direction of time. Derivation chain:</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TC normal form  =&gt;  DV_TC = mu^3/6  (Proposition 1, Tech Summary v3)</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Structured exhaust  =&gt;  E_corridor = DV_TC  (computed v3-v7)</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Kramers: tau_escape ~ exp(DV/D)  =&gt;  crossing requires E &gt;= DV</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Sharp low-noise limit  =&gt;  Theta(E_exhaust - E_TC)  =  Theta(Phi-1)</w:t>
      </w:r>
    </w:p>
    <w:p/>
    <w:p>
      <w:pPr>
        <w:spacing w:after="70" w:before="70"/>
      </w:pPr>
      <w:r>
        <w:rPr>
          <w:rFonts w:ascii="Calibri" w:cs="Calibri" w:eastAsia="Calibri" w:hAnsi="Calibri"/>
          <w:color w:val="1c1c1c"/>
          <w:sz w:val="20"/>
          <w:szCs w:val="20"/>
        </w:rPr>
        <w:t xml:space="preserve">The gate encodes the physical impossibility of crossing a barrier you cannot afford. It is the D -&gt; 0 idealization of the Kramers condition. Nothing about the direction of time is assumed. Directionality emerges only because Phi_fwd != 1/Phi_fwd — which is derived in Section 2.</w:t>
      </w:r>
    </w:p>
    <w:p/>
    <w:p>
      <w:pPr>
        <w:pStyle w:val="Heading1"/>
        <w:shd w:color="1a1a2e" w:val="solid"/>
        <w:spacing w:after="140" w:before="360"/>
        <w:ind w:left="120" w:right="120"/>
      </w:pPr>
      <w:r>
        <w:rPr>
          <w:rFonts w:ascii="Calibri" w:cs="Calibri" w:eastAsia="Calibri" w:hAnsi="Calibri"/>
          <w:b/>
          <w:bCs/>
          <w:color w:val="ffffff"/>
          <w:sz w:val="32"/>
          <w:szCs w:val="32"/>
        </w:rPr>
        <w:t xml:space="preserve">2. Why DV_TC Decreases — Derived from Prior Results</w:t>
      </w:r>
    </w:p>
    <w:p>
      <w:pPr>
        <w:pStyle w:val="Heading3"/>
        <w:pBdr>
          <w:bottom w:val="single" w:color="2d6a4f" w:sz="4"/>
        </w:pBdr>
        <w:spacing w:after="70" w:before="200"/>
      </w:pPr>
      <w:r>
        <w:rPr>
          <w:rFonts w:ascii="Calibri" w:cs="Calibri" w:eastAsia="Calibri" w:hAnsi="Calibri"/>
          <w:b/>
          <w:bCs/>
          <w:color w:val="2d6a4f"/>
          <w:sz w:val="22"/>
          <w:szCs w:val="22"/>
        </w:rPr>
        <w:t xml:space="preserve">2.1  The two prior results</w:t>
      </w:r>
    </w:p>
    <w:p>
      <w:pPr>
        <w:pBdr>
          <w:left w:val="thick" w:color="2d6a4f" w:sz="8"/>
        </w:pBdr>
        <w:shd w:color="e8f5e9" w:val="solid"/>
        <w:spacing w:after="70" w:before="70"/>
        <w:ind w:left="400"/>
      </w:pPr>
      <w:r>
        <w:rPr>
          <w:rFonts w:ascii="Calibri" w:cs="Calibri" w:eastAsia="Calibri" w:hAnsi="Calibri"/>
          <w:b/>
          <w:bCs/>
          <w:color w:val="2d6a4f"/>
          <w:sz w:val="20"/>
          <w:szCs w:val="20"/>
        </w:rPr>
        <w:t xml:space="preserve">Prior result 1: Hopf -&gt; PF coarse-graining (Tech Summary v3, Section 4):  </w:t>
      </w:r>
      <w:r>
        <w:rPr>
          <w:rFonts w:ascii="Calibri" w:cs="Calibri" w:eastAsia="Calibri" w:hAnsi="Calibri"/>
          <w:color w:val="1c1c1c"/>
          <w:sz w:val="20"/>
          <w:szCs w:val="20"/>
        </w:rPr>
        <w:t xml:space="preserve">The Hopf normal form has SO(2) symmetry. Averaging over the fast phase theta produces the radial amplitude equation: r_dot = mu*r - c*r^3. This IS the pitchfork normal form. Hopf coarse-grains to PF. Oscillatory character is lost. D^{1/2} exponent preserved. Confirmed numerically: Wilson-Cowan amplitude scaling ~0.51, expected 0.5.</w:t>
      </w:r>
    </w:p>
    <w:p/>
    <w:p>
      <w:pPr>
        <w:pBdr>
          <w:left w:val="thick" w:color="2d6a4f" w:sz="8"/>
        </w:pBdr>
        <w:shd w:color="e8f5e9" w:val="solid"/>
        <w:spacing w:after="70" w:before="70"/>
        <w:ind w:left="400"/>
      </w:pPr>
      <w:r>
        <w:rPr>
          <w:rFonts w:ascii="Calibri" w:cs="Calibri" w:eastAsia="Calibri" w:hAnsi="Calibri"/>
          <w:b/>
          <w:bCs/>
          <w:color w:val="2d6a4f"/>
          <w:sz w:val="20"/>
          <w:szCs w:val="20"/>
        </w:rPr>
        <w:t xml:space="preserve">Prior result 2: Ito/Bessel centrifugal term (2D Hopf notebook session):  </w:t>
      </w:r>
      <w:r>
        <w:rPr>
          <w:rFonts w:ascii="Calibri" w:cs="Calibri" w:eastAsia="Calibri" w:hAnsi="Calibri"/>
          <w:color w:val="1c1c1c"/>
          <w:sz w:val="20"/>
          <w:szCs w:val="20"/>
        </w:rPr>
        <w:t xml:space="preserve">The Fokker-Planck in polar coordinates carries a Jacobian factor r: p(r) ~ r * exp(-V_Hopf(r)/D). This produces an effective centrifugal potential V_eff(r) = V_Hopf(r) - D*ln(r). The -D*ln(r) term diverges as r -&gt; 0. This explained the measured exponent of 0.41 vs theoretical 0.5 — the D/r geometric drift from the Jacobian shifts the effective barrier.</w:t>
      </w:r>
    </w:p>
    <w:p/>
    <w:p>
      <w:pPr>
        <w:pStyle w:val="Heading3"/>
        <w:pBdr>
          <w:bottom w:val="single" w:color="2d6a4f" w:sz="4"/>
        </w:pBdr>
        <w:spacing w:after="70" w:before="200"/>
      </w:pPr>
      <w:r>
        <w:rPr>
          <w:rFonts w:ascii="Calibri" w:cs="Calibri" w:eastAsia="Calibri" w:hAnsi="Calibri"/>
          <w:b/>
          <w:bCs/>
          <w:color w:val="2d6a4f"/>
          <w:sz w:val="22"/>
          <w:szCs w:val="22"/>
        </w:rPr>
        <w:t xml:space="preserve">2.2  The connection: centrifugal elimination lowers DV_TC</w:t>
      </w:r>
    </w:p>
    <w:p>
      <w:pPr>
        <w:spacing w:after="70" w:before="70"/>
      </w:pPr>
      <w:r>
        <w:rPr>
          <w:rFonts w:ascii="Calibri" w:cs="Calibri" w:eastAsia="Calibri" w:hAnsi="Calibri"/>
          <w:color w:val="1c1c1c"/>
          <w:sz w:val="20"/>
          <w:szCs w:val="20"/>
        </w:rPr>
        <w:t xml:space="preserve">In the 2D Hopf system, the centrifugal term raises the effective TC barrier above the algebraic value:</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DV_TC^{Hopf,2D} = mu^2/(4c) + D*ln(r*/r_TC)</w:t>
      </w:r>
    </w:p>
    <w:p/>
    <w:p>
      <w:pPr>
        <w:spacing w:after="70" w:before="70"/>
      </w:pPr>
      <w:r>
        <w:rPr>
          <w:rFonts w:ascii="Calibri" w:cs="Calibri" w:eastAsia="Calibri" w:hAnsi="Calibri"/>
          <w:color w:val="1c1c1c"/>
          <w:sz w:val="20"/>
          <w:szCs w:val="20"/>
        </w:rPr>
        <w:t xml:space="preserve">When Hopf -&gt; PF coarse-graining eliminates the oscillatory DOF, the system moves from the half-line r &gt;= 0 to the real line x in R. The centrifugal singularity at r = 0 is removed. The PF barrier is just:</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DV_TC^{PF} = mu^2/(4c)</w:t>
      </w:r>
    </w:p>
    <w:p/>
    <w:p>
      <w:pPr>
        <w:spacing w:after="70" w:before="70"/>
      </w:pPr>
      <w:r>
        <w:rPr>
          <w:rFonts w:ascii="Calibri" w:cs="Calibri" w:eastAsia="Calibri" w:hAnsi="Calibri"/>
          <w:color w:val="1c1c1c"/>
          <w:sz w:val="20"/>
          <w:szCs w:val="20"/>
        </w:rPr>
        <w:t xml:space="preserve">The reduction formula:</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DV_TC^{n+1} / DV_TC^{n} = 1 / [1 + (4cD/mu^2) * ln(r*/r_TC)]  &lt;  1  always</w:t>
      </w:r>
    </w:p>
    <w:p/>
    <w:p>
      <w:pPr>
        <w:shd w:color="e8f5e9" w:val="solid"/>
        <w:spacing w:after="60" w:before="60"/>
        <w:ind w:left="360"/>
      </w:pPr>
      <w:r>
        <w:rPr>
          <w:rFonts w:ascii="Calibri" w:cs="Calibri" w:eastAsia="Calibri" w:hAnsi="Calibri"/>
          <w:b/>
          <w:bCs/>
          <w:color w:val="2d6a4f"/>
          <w:sz w:val="20"/>
          <w:szCs w:val="20"/>
        </w:rPr>
        <w:t xml:space="preserve">Numerical verification: </w:t>
      </w:r>
      <w:r>
        <w:rPr>
          <w:rFonts w:ascii="Calibri" w:cs="Calibri" w:eastAsia="Calibri" w:hAnsi="Calibri"/>
          <w:color w:val="1c1c1c"/>
          <w:sz w:val="20"/>
          <w:szCs w:val="20"/>
        </w:rPr>
        <w:t xml:space="preserve">Ratios of 0.052, 0.178, 0.576, 0.844 at mu = 0.1, 0.2, 0.5, 1.0 (D=0.01, r_TC=0.01*r*). All &lt; 1. See dv_tc_reduction.py and dv_tc_reduction.png.</w:t>
      </w:r>
    </w:p>
    <w:p/>
    <w:p>
      <w:pPr>
        <w:pStyle w:val="Heading3"/>
        <w:pBdr>
          <w:bottom w:val="single" w:color="1a3a5c" w:sz="4"/>
        </w:pBdr>
        <w:spacing w:after="70" w:before="200"/>
      </w:pPr>
      <w:r>
        <w:rPr>
          <w:rFonts w:ascii="Calibri" w:cs="Calibri" w:eastAsia="Calibri" w:hAnsi="Calibri"/>
          <w:b/>
          <w:bCs/>
          <w:color w:val="1a3a5c"/>
          <w:sz w:val="22"/>
          <w:szCs w:val="22"/>
        </w:rPr>
        <w:t xml:space="preserve">2.3  Physical meaning: harmonic compression (not a metaphor)</w:t>
      </w:r>
    </w:p>
    <w:p>
      <w:pPr>
        <w:spacing w:after="70" w:before="70"/>
      </w:pPr>
      <w:r>
        <w:rPr>
          <w:rFonts w:ascii="Calibri" w:cs="Calibri" w:eastAsia="Calibri" w:hAnsi="Calibri"/>
          <w:color w:val="1c1c1c"/>
          <w:sz w:val="20"/>
          <w:szCs w:val="20"/>
        </w:rPr>
        <w:t xml:space="preserve">The harmonic compression mechanism is not a metaphor. It is the elimination of the specific term D*ln(r*/r_TC) from the effective TC barrier. This term is the energy cost of maintaining the oscillatory phase coherence of the limit cycle at level n. When the successor corridor coarse-grains out the oscillatory DOF, that maintenance cost is not paid. DV_TC drops by exactly D*ln(r*/r_TC) — a computable, finite quantity set by the corridor parameters and the coherence length r_TC.</w:t>
      </w:r>
    </w:p>
    <w:p/>
    <w:p>
      <w:pPr>
        <w:spacing w:after="70" w:before="70"/>
      </w:pPr>
      <w:r>
        <w:rPr>
          <w:rFonts w:ascii="Calibri" w:cs="Calibri" w:eastAsia="Calibri" w:hAnsi="Calibri"/>
          <w:color w:val="1c1c1c"/>
          <w:sz w:val="20"/>
          <w:szCs w:val="20"/>
        </w:rPr>
        <w:t xml:space="preserve">The successor corridor is not simpler. It is more efficiently structured: it channels energy into slow amplitude dynamics without paying for fast phase maintenance. That is what harmonic compression means formally, and that is why DV_TC decreases rather than being constant or increasing.</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Why this closes the gap:  </w:t>
      </w:r>
      <w:r>
        <w:rPr>
          <w:rFonts w:ascii="Calibri" w:cs="Calibri" w:eastAsia="Calibri" w:hAnsi="Calibri"/>
          <w:color w:val="1c1c1c"/>
          <w:sz w:val="20"/>
          <w:szCs w:val="20"/>
        </w:rPr>
        <w:t xml:space="preserve">The Directed Admissibility theorem required DV_TC(n) &gt;= DV_TC(n+1) as a load-bearing condition. That condition was stated as an empirical observation in v2. It now follows from two prior results — the Hopf-&gt;PF coarse-graining theorem and the Ito centrifugal term — combined by recognizing that coarse-graining eliminates the centrifugal maintenance cost. The connection is new; the pieces were already documented.</w:t>
      </w:r>
    </w:p>
    <w:p/>
    <w:p>
      <w:pPr>
        <w:pStyle w:val="Heading1"/>
        <w:shd w:color="1a1a2e" w:val="solid"/>
        <w:spacing w:after="140" w:before="360"/>
        <w:ind w:left="120" w:right="120"/>
      </w:pPr>
      <w:r>
        <w:rPr>
          <w:rFonts w:ascii="Calibri" w:cs="Calibri" w:eastAsia="Calibri" w:hAnsi="Calibri"/>
          <w:b/>
          <w:bCs/>
          <w:color w:val="ffffff"/>
          <w:sz w:val="32"/>
          <w:szCs w:val="32"/>
        </w:rPr>
        <w:t xml:space="preserve">3. The Directed Admissibility Theorem</w:t>
      </w:r>
    </w:p>
    <w:p>
      <w:pPr>
        <w:pBdr>
          <w:left w:val="thick" w:color="1a3a5c" w:sz="8"/>
        </w:pBdr>
        <w:shd w:color="e8f0f7" w:val="solid"/>
        <w:spacing w:after="70" w:before="70"/>
        <w:ind w:left="400"/>
      </w:pPr>
      <w:r>
        <w:rPr>
          <w:rFonts w:ascii="Calibri" w:cs="Calibri" w:eastAsia="Calibri" w:hAnsi="Calibri"/>
          <w:b/>
          <w:bCs/>
          <w:color w:val="1a3a5c"/>
          <w:sz w:val="20"/>
          <w:szCs w:val="20"/>
        </w:rPr>
        <w:t xml:space="preserve">THEOREM (Directed Admissibility):  </w:t>
      </w:r>
      <w:r>
        <w:rPr>
          <w:rFonts w:ascii="Calibri" w:cs="Calibri" w:eastAsia="Calibri" w:hAnsi="Calibri"/>
          <w:color w:val="1c1c1c"/>
          <w:sz w:val="20"/>
          <w:szCs w:val="20"/>
        </w:rPr>
        <w:t xml:space="preserve">Given: (a) the branching kernel with Theta(Phi-1) gate derived from Kramers theory; (b) level transitions involve Hopf -&gt; PF coarse-graining at some point in the inheritance chain (established in Tech Summary v3 Section 4). Then: DV_TC decreases with organizational level (centrifugal elimination result above); Phi_fwd = DV_TC(n)/DV_TC(n+1) &gt;= 1; K_rev = 0 when Phi_fwd &gt; 1; directed admissibility holds without additional postulates.</w:t>
      </w:r>
    </w:p>
    <w:p/>
    <w:p>
      <w:pPr>
        <w:spacing w:after="70" w:before="70"/>
      </w:pPr>
      <w:r>
        <w:rPr>
          <w:rFonts w:ascii="Calibri" w:cs="Calibri" w:eastAsia="Calibri" w:hAnsi="Calibri"/>
          <w:color w:val="1c1c1c"/>
          <w:sz w:val="20"/>
          <w:szCs w:val="20"/>
        </w:rPr>
        <w:t xml:space="preserve">Remaining conditionality: level transitions must pass through the oscillatory BT sector (Sector II/III) at some point, triggering Hopf -&gt; PF coarse-graining. Pure TC -&gt; TC or SN -&gt; SN inheritance does not invoke the centrifugal reduction and would need a separate argument. This caveat is prominent and not resolved.</w:t>
      </w:r>
    </w:p>
    <w:p/>
    <w:p>
      <w:pPr>
        <w:spacing w:after="70" w:before="70"/>
      </w:pPr>
      <w:r>
        <w:rPr>
          <w:rFonts w:ascii="Calibri" w:cs="Calibri" w:eastAsia="Calibri" w:hAnsi="Calibri"/>
          <w:color w:val="1c1c1c"/>
          <w:sz w:val="20"/>
          <w:szCs w:val="20"/>
        </w:rPr>
        <w:t xml:space="preserve">Three cases:</w:t>
      </w:r>
    </w:p>
    <w:p>
      <w:pPr>
        <w:spacing w:after="50" w:before="50"/>
        <w:ind w:left="400"/>
      </w:pPr>
      <w:r>
        <w:rPr>
          <w:rFonts w:ascii="Calibri" w:cs="Calibri" w:eastAsia="Calibri" w:hAnsi="Calibri"/>
          <w:color w:val="1c1c1c"/>
          <w:sz w:val="20"/>
          <w:szCs w:val="20"/>
        </w:rPr>
        <w:t xml:space="preserve">• Phi_fwd &gt; 1: K_rev = 0 exactly (Theta gate). Categorical irreversibility. Two of three physical hierarchy transitions.</w:t>
      </w:r>
    </w:p>
    <w:p>
      <w:pPr>
        <w:spacing w:after="50" w:before="50"/>
        <w:ind w:left="400"/>
      </w:pPr>
      <w:r>
        <w:rPr>
          <w:rFonts w:ascii="Calibri" w:cs="Calibri" w:eastAsia="Calibri" w:hAnsi="Calibri"/>
          <w:color w:val="1c1c1c"/>
          <w:sz w:val="20"/>
          <w:szCs w:val="20"/>
        </w:rPr>
        <w:t xml:space="preserve">• Phi_fwd = 1: marginal (QED-&gt;Atomic). K_fwd/K_rev ~ 1 at leading order. Irreversibility from quantum floor corrections.</w:t>
      </w:r>
    </w:p>
    <w:p>
      <w:pPr>
        <w:spacing w:after="50" w:before="50"/>
        <w:ind w:left="400"/>
      </w:pPr>
      <w:r>
        <w:rPr>
          <w:rFonts w:ascii="Calibri" w:cs="Calibri" w:eastAsia="Calibri" w:hAnsi="Calibri"/>
          <w:color w:val="1c1c1c"/>
          <w:sz w:val="20"/>
          <w:szCs w:val="20"/>
        </w:rPr>
        <w:t xml:space="preserve">• Phi_fwd &lt; 1: K_fwd = 0. Does not occur in the observed hierarchy.</w:t>
      </w:r>
    </w:p>
    <w:p/>
    <w:p>
      <w:pPr>
        <w:pStyle w:val="Heading1"/>
        <w:shd w:color="1a1a2e" w:val="solid"/>
        <w:spacing w:after="140" w:before="360"/>
        <w:ind w:left="120" w:right="120"/>
      </w:pPr>
      <w:r>
        <w:rPr>
          <w:rFonts w:ascii="Calibri" w:cs="Calibri" w:eastAsia="Calibri" w:hAnsi="Calibri"/>
          <w:b/>
          <w:bCs/>
          <w:color w:val="ffffff"/>
          <w:sz w:val="32"/>
          <w:szCs w:val="32"/>
        </w:rPr>
        <w:t xml:space="preserve">4. The Symmetric Mismatch</w:t>
      </w:r>
    </w:p>
    <w:p>
      <w:pPr>
        <w:pBdr>
          <w:left w:val="thick" w:color="1a3a5c" w:sz="8"/>
        </w:pBdr>
        <w:shd w:color="e8f0f7" w:val="solid"/>
        <w:spacing w:after="70" w:before="70"/>
        <w:ind w:left="400"/>
      </w:pPr>
      <w:r>
        <w:rPr>
          <w:rFonts w:ascii="Calibri" w:cs="Calibri" w:eastAsia="Calibri" w:hAnsi="Calibri"/>
          <w:b/>
          <w:bCs/>
          <w:color w:val="1a3a5c"/>
          <w:sz w:val="20"/>
          <w:szCs w:val="20"/>
        </w:rPr>
        <w:t xml:space="preserve">Key structural finding:  </w:t>
      </w:r>
      <w:r>
        <w:rPr>
          <w:rFonts w:ascii="Calibri" w:cs="Calibri" w:eastAsia="Calibri" w:hAnsi="Calibri"/>
          <w:color w:val="1c1c1c"/>
          <w:sz w:val="20"/>
          <w:szCs w:val="20"/>
        </w:rPr>
        <w:t xml:space="preserve">M_SN_fwd = M_SN_rev exactly. Mismatch distance is symmetric. Irreversibility does not come from mismatch geometry — it comes from the admissibility gate having one-sided support. Mismatch is symmetric; admissibility is asymmetric. That is the sentence that makes the whole account interesting.</w:t>
      </w:r>
    </w:p>
    <w:p/>
    <w:p>
      <w:pPr>
        <w:spacing w:after="70" w:before="70"/>
      </w:pPr>
      <w:r>
        <w:rPr>
          <w:rFonts w:ascii="Calibri" w:cs="Calibri" w:eastAsia="Calibri" w:hAnsi="Calibri"/>
          <w:color w:val="1c1c1c"/>
          <w:sz w:val="20"/>
          <w:szCs w:val="20"/>
        </w:rPr>
        <w:t xml:space="preserve">Proof: M_SN_fwd = omega_+(n+1)*|r-1| where r = omega_+(n)/omega_+(n+1). M_SN_rev = omega_+(n)*|1/r-1| = omega_+(n+1)*|r-1| = M_SN_fwd. Exact equality.</w:t>
      </w:r>
    </w:p>
    <w:p/>
    <w:p>
      <w:pPr>
        <w:spacing w:after="70" w:before="70"/>
      </w:pPr>
      <w:r>
        <w:rPr>
          <w:rFonts w:ascii="Calibri" w:cs="Calibri" w:eastAsia="Calibri" w:hAnsi="Calibri"/>
          <w:color w:val="1c1c1c"/>
          <w:sz w:val="20"/>
          <w:szCs w:val="20"/>
        </w:rPr>
        <w:t xml:space="preserve">Consequence: a time-reversed trajectory has the same mismatch cost as the forward trajectory. Reverse trajectories are not excluded because they are more geometrically costly. They are excluded because they fall outside the support of the branching kernel once DV_TC has dropped across the level transition.</w:t>
      </w:r>
    </w:p>
    <w:p/>
    <w:p>
      <w:pPr>
        <w:pStyle w:val="Heading1"/>
        <w:shd w:color="1a1a2e" w:val="solid"/>
        <w:spacing w:after="140" w:before="360"/>
        <w:ind w:left="120" w:right="120"/>
      </w:pPr>
      <w:r>
        <w:rPr>
          <w:rFonts w:ascii="Calibri" w:cs="Calibri" w:eastAsia="Calibri" w:hAnsi="Calibri"/>
          <w:b/>
          <w:bCs/>
          <w:color w:val="ffffff"/>
          <w:sz w:val="32"/>
          <w:szCs w:val="32"/>
        </w:rPr>
        <w:t xml:space="preserve">5. Numerical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shd w:color="1a1a2e" w:val="solid"/>
          </w:tcPr>
          <w:p>
            <w:r>
              <w:rPr>
                <w:rFonts w:ascii="Calibri" w:cs="Calibri" w:eastAsia="Calibri" w:hAnsi="Calibri"/>
                <w:b/>
                <w:bCs/>
                <w:color w:val="ffffff"/>
                <w:sz w:val="18"/>
                <w:szCs w:val="18"/>
              </w:rPr>
              <w:t xml:space="preserve">Transition</w:t>
            </w:r>
          </w:p>
        </w:tc>
        <w:tc>
          <w:tcPr>
            <w:tcW w:type="dxa" w:w="1100"/>
            <w:shd w:color="1a1a2e" w:val="solid"/>
          </w:tcPr>
          <w:p>
            <w:r>
              <w:rPr>
                <w:rFonts w:ascii="Calibri" w:cs="Calibri" w:eastAsia="Calibri" w:hAnsi="Calibri"/>
                <w:b/>
                <w:bCs/>
                <w:color w:val="ffffff"/>
                <w:sz w:val="18"/>
                <w:szCs w:val="18"/>
              </w:rPr>
              <w:t xml:space="preserve">Phi_fwd</w:t>
            </w:r>
          </w:p>
        </w:tc>
        <w:tc>
          <w:tcPr>
            <w:tcW w:type="dxa" w:w="1100"/>
            <w:shd w:color="1a1a2e" w:val="solid"/>
          </w:tcPr>
          <w:p>
            <w:r>
              <w:rPr>
                <w:rFonts w:ascii="Calibri" w:cs="Calibri" w:eastAsia="Calibri" w:hAnsi="Calibri"/>
                <w:b/>
                <w:bCs/>
                <w:color w:val="ffffff"/>
                <w:sz w:val="18"/>
                <w:szCs w:val="18"/>
              </w:rPr>
              <w:t xml:space="preserve">Phi_rev</w:t>
            </w:r>
          </w:p>
        </w:tc>
        <w:tc>
          <w:tcPr>
            <w:tcW w:type="dxa" w:w="1600"/>
            <w:shd w:color="1a1a2e" w:val="solid"/>
          </w:tcPr>
          <w:p>
            <w:r>
              <w:rPr>
                <w:rFonts w:ascii="Calibri" w:cs="Calibri" w:eastAsia="Calibri" w:hAnsi="Calibri"/>
                <w:b/>
                <w:bCs/>
                <w:color w:val="ffffff"/>
                <w:sz w:val="18"/>
                <w:szCs w:val="18"/>
              </w:rPr>
              <w:t xml:space="preserve">M_SN (symmetric)</w:t>
            </w:r>
          </w:p>
        </w:tc>
        <w:tc>
          <w:tcPr>
            <w:tcW w:type="dxa" w:w="2500"/>
            <w:shd w:color="1a1a2e" w:val="solid"/>
          </w:tcPr>
          <w:p>
            <w:r>
              <w:rPr>
                <w:rFonts w:ascii="Calibri" w:cs="Calibri" w:eastAsia="Calibri" w:hAnsi="Calibri"/>
                <w:b/>
                <w:bCs/>
                <w:color w:val="ffffff"/>
                <w:sz w:val="18"/>
                <w:szCs w:val="18"/>
              </w:rPr>
              <w:t xml:space="preserve">Gate mechanism</w:t>
            </w:r>
          </w:p>
        </w:tc>
        <w:tc>
          <w:tcPr>
            <w:tcW w:type="dxa" w:w="1500"/>
            <w:shd w:color="1a1a2e" w:val="solid"/>
          </w:tcPr>
          <w:p>
            <w:r>
              <w:rPr>
                <w:rFonts w:ascii="Calibri" w:cs="Calibri" w:eastAsia="Calibri" w:hAnsi="Calibri"/>
                <w:b/>
                <w:bCs/>
                <w:color w:val="ffffff"/>
                <w:sz w:val="18"/>
                <w:szCs w:val="18"/>
              </w:rPr>
              <w:t xml:space="preserve">K_rev</w:t>
            </w:r>
          </w:p>
        </w:tc>
      </w:tr>
      <w:tr>
        <w:tc>
          <w:tcPr>
            <w:tcW w:type="dxa" w:w="2000"/>
          </w:tcPr>
          <w:p>
            <w:r>
              <w:rPr>
                <w:rFonts w:ascii="Calibri" w:cs="Calibri" w:eastAsia="Calibri" w:hAnsi="Calibri"/>
                <w:sz w:val="18"/>
                <w:szCs w:val="18"/>
              </w:rPr>
              <w:t xml:space="preserve">QED -&gt; Atomic</w:t>
            </w:r>
          </w:p>
        </w:tc>
        <w:tc>
          <w:tcPr>
            <w:tcW w:type="dxa" w:w="1100"/>
          </w:tcPr>
          <w:p>
            <w:r>
              <w:rPr>
                <w:rFonts w:ascii="Calibri" w:cs="Calibri" w:eastAsia="Calibri" w:hAnsi="Calibri"/>
                <w:sz w:val="18"/>
                <w:szCs w:val="18"/>
              </w:rPr>
              <w:t xml:space="preserve">1.000</w:t>
            </w:r>
          </w:p>
        </w:tc>
        <w:tc>
          <w:tcPr>
            <w:tcW w:type="dxa" w:w="1100"/>
          </w:tcPr>
          <w:p>
            <w:r>
              <w:rPr>
                <w:rFonts w:ascii="Calibri" w:cs="Calibri" w:eastAsia="Calibri" w:hAnsi="Calibri"/>
                <w:sz w:val="18"/>
                <w:szCs w:val="18"/>
              </w:rPr>
              <w:t xml:space="preserve">1.000</w:t>
            </w:r>
          </w:p>
        </w:tc>
        <w:tc>
          <w:tcPr>
            <w:tcW w:type="dxa" w:w="1600"/>
          </w:tcPr>
          <w:p>
            <w:r>
              <w:rPr>
                <w:rFonts w:ascii="Calibri" w:cs="Calibri" w:eastAsia="Calibri" w:hAnsi="Calibri"/>
                <w:sz w:val="18"/>
                <w:szCs w:val="18"/>
              </w:rPr>
              <w:t xml:space="preserve">7.89e-3</w:t>
            </w:r>
          </w:p>
        </w:tc>
        <w:tc>
          <w:tcPr>
            <w:tcW w:type="dxa" w:w="2500"/>
          </w:tcPr>
          <w:p>
            <w:r>
              <w:rPr>
                <w:rFonts w:ascii="Calibri" w:cs="Calibri" w:eastAsia="Calibri" w:hAnsi="Calibri"/>
                <w:sz w:val="18"/>
                <w:szCs w:val="18"/>
              </w:rPr>
              <w:t xml:space="preserve">Marginal (quantum floor)</w:t>
            </w:r>
          </w:p>
        </w:tc>
        <w:tc>
          <w:tcPr>
            <w:tcW w:type="dxa" w:w="1500"/>
          </w:tcPr>
          <w:p>
            <w:r>
              <w:rPr>
                <w:rFonts w:ascii="Calibri" w:cs="Calibri" w:eastAsia="Calibri" w:hAnsi="Calibri"/>
                <w:sz w:val="18"/>
                <w:szCs w:val="18"/>
              </w:rPr>
              <w:t xml:space="preserve">~K_fwd</w:t>
            </w:r>
          </w:p>
        </w:tc>
      </w:tr>
      <w:tr>
        <w:tc>
          <w:tcPr>
            <w:tcW w:type="dxa" w:w="2000"/>
            <w:shd w:color="f8f8f8" w:val="solid"/>
          </w:tcPr>
          <w:p>
            <w:r>
              <w:rPr>
                <w:rFonts w:ascii="Calibri" w:cs="Calibri" w:eastAsia="Calibri" w:hAnsi="Calibri"/>
                <w:sz w:val="18"/>
                <w:szCs w:val="18"/>
              </w:rPr>
              <w:t xml:space="preserve">Atomic -&gt; Chem</w:t>
            </w:r>
          </w:p>
        </w:tc>
        <w:tc>
          <w:tcPr>
            <w:tcW w:type="dxa" w:w="1100"/>
            <w:shd w:color="f8f8f8" w:val="solid"/>
          </w:tcPr>
          <w:p>
            <w:r>
              <w:rPr>
                <w:rFonts w:ascii="Calibri" w:cs="Calibri" w:eastAsia="Calibri" w:hAnsi="Calibri"/>
                <w:sz w:val="18"/>
                <w:szCs w:val="18"/>
              </w:rPr>
              <w:t xml:space="preserve">3.778</w:t>
            </w:r>
          </w:p>
        </w:tc>
        <w:tc>
          <w:tcPr>
            <w:tcW w:type="dxa" w:w="1100"/>
            <w:shd w:color="f8f8f8" w:val="solid"/>
          </w:tcPr>
          <w:p>
            <w:r>
              <w:rPr>
                <w:rFonts w:ascii="Calibri" w:cs="Calibri" w:eastAsia="Calibri" w:hAnsi="Calibri"/>
                <w:sz w:val="18"/>
                <w:szCs w:val="18"/>
              </w:rPr>
              <w:t xml:space="preserve">0.265</w:t>
            </w:r>
          </w:p>
        </w:tc>
        <w:tc>
          <w:tcPr>
            <w:tcW w:type="dxa" w:w="1600"/>
            <w:shd w:color="f8f8f8" w:val="solid"/>
          </w:tcPr>
          <w:p>
            <w:r>
              <w:rPr>
                <w:rFonts w:ascii="Calibri" w:cs="Calibri" w:eastAsia="Calibri" w:hAnsi="Calibri"/>
                <w:sz w:val="18"/>
                <w:szCs w:val="18"/>
              </w:rPr>
              <w:t xml:space="preserve">1.07e-4</w:t>
            </w:r>
          </w:p>
        </w:tc>
        <w:tc>
          <w:tcPr>
            <w:tcW w:type="dxa" w:w="2500"/>
            <w:shd w:color="f8f8f8" w:val="solid"/>
          </w:tcPr>
          <w:p>
            <w:r>
              <w:rPr>
                <w:rFonts w:ascii="Calibri" w:cs="Calibri" w:eastAsia="Calibri" w:hAnsi="Calibri"/>
                <w:sz w:val="18"/>
                <w:szCs w:val="18"/>
              </w:rPr>
              <w:t xml:space="preserve">Theta gate: Phi_rev &lt; 1</w:t>
            </w:r>
          </w:p>
        </w:tc>
        <w:tc>
          <w:tcPr>
            <w:tcW w:type="dxa" w:w="1500"/>
            <w:shd w:color="f8f8f8" w:val="solid"/>
          </w:tcPr>
          <w:p>
            <w:r>
              <w:rPr>
                <w:rFonts w:ascii="Calibri" w:cs="Calibri" w:eastAsia="Calibri" w:hAnsi="Calibri"/>
                <w:sz w:val="18"/>
                <w:szCs w:val="18"/>
              </w:rPr>
              <w:t xml:space="preserve">0 exactly</w:t>
            </w:r>
          </w:p>
        </w:tc>
      </w:tr>
      <w:tr>
        <w:tc>
          <w:tcPr>
            <w:tcW w:type="dxa" w:w="2000"/>
          </w:tcPr>
          <w:p>
            <w:r>
              <w:rPr>
                <w:rFonts w:ascii="Calibri" w:cs="Calibri" w:eastAsia="Calibri" w:hAnsi="Calibri"/>
                <w:sz w:val="18"/>
                <w:szCs w:val="18"/>
              </w:rPr>
              <w:t xml:space="preserve">Chem -&gt; Thermo</w:t>
            </w:r>
          </w:p>
        </w:tc>
        <w:tc>
          <w:tcPr>
            <w:tcW w:type="dxa" w:w="1100"/>
          </w:tcPr>
          <w:p>
            <w:r>
              <w:rPr>
                <w:rFonts w:ascii="Calibri" w:cs="Calibri" w:eastAsia="Calibri" w:hAnsi="Calibri"/>
                <w:sz w:val="18"/>
                <w:szCs w:val="18"/>
              </w:rPr>
              <w:t xml:space="preserve">8.780</w:t>
            </w:r>
          </w:p>
        </w:tc>
        <w:tc>
          <w:tcPr>
            <w:tcW w:type="dxa" w:w="1100"/>
          </w:tcPr>
          <w:p>
            <w:r>
              <w:rPr>
                <w:rFonts w:ascii="Calibri" w:cs="Calibri" w:eastAsia="Calibri" w:hAnsi="Calibri"/>
                <w:sz w:val="18"/>
                <w:szCs w:val="18"/>
              </w:rPr>
              <w:t xml:space="preserve">0.114</w:t>
            </w:r>
          </w:p>
        </w:tc>
        <w:tc>
          <w:tcPr>
            <w:tcW w:type="dxa" w:w="1600"/>
          </w:tcPr>
          <w:p>
            <w:r>
              <w:rPr>
                <w:rFonts w:ascii="Calibri" w:cs="Calibri" w:eastAsia="Calibri" w:hAnsi="Calibri"/>
                <w:sz w:val="18"/>
                <w:szCs w:val="18"/>
              </w:rPr>
              <w:t xml:space="preserve">2.20e-4</w:t>
            </w:r>
          </w:p>
        </w:tc>
        <w:tc>
          <w:tcPr>
            <w:tcW w:type="dxa" w:w="2500"/>
          </w:tcPr>
          <w:p>
            <w:r>
              <w:rPr>
                <w:rFonts w:ascii="Calibri" w:cs="Calibri" w:eastAsia="Calibri" w:hAnsi="Calibri"/>
                <w:sz w:val="18"/>
                <w:szCs w:val="18"/>
              </w:rPr>
              <w:t xml:space="preserve">Theta gate: Phi_rev &lt; 1</w:t>
            </w:r>
          </w:p>
        </w:tc>
        <w:tc>
          <w:tcPr>
            <w:tcW w:type="dxa" w:w="1500"/>
          </w:tcPr>
          <w:p>
            <w:r>
              <w:rPr>
                <w:rFonts w:ascii="Calibri" w:cs="Calibri" w:eastAsia="Calibri" w:hAnsi="Calibri"/>
                <w:sz w:val="18"/>
                <w:szCs w:val="18"/>
              </w:rPr>
              <w:t xml:space="preserve">0 exactly</w:t>
            </w:r>
          </w:p>
        </w:tc>
      </w:tr>
    </w:tbl>
    <w:p/>
    <w:p>
      <w:pPr>
        <w:spacing w:after="70" w:before="70"/>
      </w:pPr>
      <w:r>
        <w:rPr>
          <w:rFonts w:ascii="Calibri" w:cs="Calibri" w:eastAsia="Calibri" w:hAnsi="Calibri"/>
          <w:color w:val="1c1c1c"/>
          <w:sz w:val="20"/>
          <w:szCs w:val="20"/>
        </w:rPr>
        <w:t xml:space="preserve">Closed form: log(K_fwd/K_rev) = M_SN^2*(Phi_fwd-1)/(Phi_fwd*DV_TC(n+1)) + log(Theta_ratio). When Phi_fwd &gt; 1: Theta_ratio = infinity, K_rev = 0. Analytical check: |exp_rev/exp_fwd| = Phi_fwd exactly for all transitions.</w:t>
      </w:r>
    </w:p>
    <w:p/>
    <w:p>
      <w:pPr>
        <w:pStyle w:val="Heading1"/>
        <w:shd w:color="1a1a2e" w:val="solid"/>
        <w:spacing w:after="140" w:before="360"/>
        <w:ind w:left="120" w:right="120"/>
      </w:pPr>
      <w:r>
        <w:rPr>
          <w:rFonts w:ascii="Calibri" w:cs="Calibri" w:eastAsia="Calibri" w:hAnsi="Calibri"/>
          <w:b/>
          <w:bCs/>
          <w:color w:val="ffffff"/>
          <w:sz w:val="32"/>
          <w:szCs w:val="32"/>
        </w:rPr>
        <w:t xml:space="preserve">6. Interpretive Applications</w:t>
      </w:r>
    </w:p>
    <w:p>
      <w:pPr>
        <w:pStyle w:val="Heading2"/>
        <w:shd w:color="2d2d44" w:val="solid"/>
        <w:spacing w:after="100" w:before="280"/>
        <w:ind w:left="80"/>
      </w:pPr>
      <w:r>
        <w:rPr>
          <w:rFonts w:ascii="Calibri" w:cs="Calibri" w:eastAsia="Calibri" w:hAnsi="Calibri"/>
          <w:b/>
          <w:bCs/>
          <w:color w:val="ffffff"/>
          <w:sz w:val="26"/>
          <w:szCs w:val="26"/>
        </w:rPr>
        <w:t xml:space="preserve">6.1  Thermodynamic Irreversibility  [STRUCTURAL]</w:t>
      </w:r>
    </w:p>
    <w:p>
      <w:pPr>
        <w:spacing w:after="70" w:before="70"/>
      </w:pPr>
      <w:r>
        <w:rPr>
          <w:rFonts w:ascii="Calibri" w:cs="Calibri" w:eastAsia="Calibri" w:hAnsi="Calibri"/>
          <w:color w:val="1c1c1c"/>
          <w:sz w:val="20"/>
          <w:szCs w:val="20"/>
        </w:rPr>
        <w:t xml:space="preserve">Non-equilibrium to equilibrium involves Hopf -&gt; PF coarse-graining of collective oscillatory modes (thermal fluctuations, density waves) into the equilibrium amplitude description. DV_TC drops by the centrifugal elimination. Phi_fwd &gt; 1, K_rev = 0. The second law follows from the same coarse-graining theorem as the Directed Admissibility result.</w:t>
      </w:r>
    </w:p>
    <w:p>
      <w:pPr>
        <w:shd w:color="e8f5e9" w:val="solid"/>
        <w:spacing w:after="60" w:before="60"/>
        <w:ind w:left="360"/>
      </w:pPr>
      <w:r>
        <w:rPr>
          <w:rFonts w:ascii="Calibri" w:cs="Calibri" w:eastAsia="Calibri" w:hAnsi="Calibri"/>
          <w:b/>
          <w:bCs/>
          <w:color w:val="2d6a4f"/>
          <w:sz w:val="20"/>
          <w:szCs w:val="20"/>
        </w:rPr>
        <w:t xml:space="preserve">Certainty: </w:t>
      </w:r>
      <w:r>
        <w:rPr>
          <w:rFonts w:ascii="Calibri" w:cs="Calibri" w:eastAsia="Calibri" w:hAnsi="Calibri"/>
          <w:color w:val="1c1c1c"/>
          <w:sz w:val="20"/>
          <w:szCs w:val="20"/>
        </w:rPr>
        <w:t xml:space="preserve">Structural. Closest to the theorem.</w:t>
      </w:r>
    </w:p>
    <w:p/>
    <w:p>
      <w:pPr>
        <w:pStyle w:val="Heading2"/>
        <w:shd w:color="2d2d44" w:val="solid"/>
        <w:spacing w:after="100" w:before="280"/>
        <w:ind w:left="80"/>
      </w:pPr>
      <w:r>
        <w:rPr>
          <w:rFonts w:ascii="Calibri" w:cs="Calibri" w:eastAsia="Calibri" w:hAnsi="Calibri"/>
          <w:b/>
          <w:bCs/>
          <w:color w:val="ffffff"/>
          <w:sz w:val="26"/>
          <w:szCs w:val="26"/>
        </w:rPr>
        <w:t xml:space="preserve">6.2  Wavefunction Collapse  [PROPOSAL]</w:t>
      </w:r>
    </w:p>
    <w:p>
      <w:pPr>
        <w:spacing w:after="70" w:before="70"/>
      </w:pPr>
      <w:r>
        <w:rPr>
          <w:rFonts w:ascii="Calibri" w:cs="Calibri" w:eastAsia="Calibri" w:hAnsi="Calibri"/>
          <w:color w:val="1c1c1c"/>
          <w:sz w:val="20"/>
          <w:szCs w:val="20"/>
        </w:rPr>
        <w:t xml:space="preserve">Measurement involves coarse-graining oscillatory quantum phase coherence (Hopf character in the superposition) into classical outcome statistics (PF amplitude character). If this is a Hopf -&gt; PF transition, DV_TC drops, Phi_rev &lt; 1, K_rev = 0. Recoherence is energy-forbidden. Collapse is phenomenology, not ontology — the predecessor corridor is energy-inaccessible from the successor state.</w:t>
      </w:r>
    </w:p>
    <w:p>
      <w:pPr>
        <w:shd w:color="fff3e0" w:val="solid"/>
        <w:spacing w:after="60" w:before="60"/>
        <w:ind w:left="360"/>
      </w:pPr>
      <w:r>
        <w:rPr>
          <w:rFonts w:ascii="Calibri" w:cs="Calibri" w:eastAsia="Calibri" w:hAnsi="Calibri"/>
          <w:b/>
          <w:bCs/>
          <w:color w:val="b5451b"/>
          <w:sz w:val="20"/>
          <w:szCs w:val="20"/>
        </w:rPr>
        <w:t xml:space="preserve">Certainty: </w:t>
      </w:r>
      <w:r>
        <w:rPr>
          <w:rFonts w:ascii="Calibri" w:cs="Calibri" w:eastAsia="Calibri" w:hAnsi="Calibri"/>
          <w:color w:val="1c1c1c"/>
          <w:sz w:val="20"/>
          <w:szCs w:val="20"/>
        </w:rPr>
        <w:t xml:space="preserve">Proposal. The Hopf character of quantum superposition and the PF character of measurement outcome is motivated but requires quantitative treatment for specific measurement models. Future work.</w:t>
      </w:r>
    </w:p>
    <w:p/>
    <w:p>
      <w:pPr>
        <w:pStyle w:val="Heading2"/>
        <w:shd w:color="2d2d44" w:val="solid"/>
        <w:spacing w:after="100" w:before="280"/>
        <w:ind w:left="80"/>
      </w:pPr>
      <w:r>
        <w:rPr>
          <w:rFonts w:ascii="Calibri" w:cs="Calibri" w:eastAsia="Calibri" w:hAnsi="Calibri"/>
          <w:b/>
          <w:bCs/>
          <w:color w:val="ffffff"/>
          <w:sz w:val="26"/>
          <w:szCs w:val="26"/>
        </w:rPr>
        <w:t xml:space="preserve">6.3  Time's Arrow  [COSMOLOGICAL INTERPRETATION]</w:t>
      </w:r>
    </w:p>
    <w:p>
      <w:pPr>
        <w:spacing w:after="70" w:before="70"/>
      </w:pPr>
      <w:r>
        <w:rPr>
          <w:rFonts w:ascii="Calibri" w:cs="Calibri" w:eastAsia="Calibri" w:hAnsi="Calibri"/>
          <w:color w:val="1c1c1c"/>
          <w:sz w:val="20"/>
          <w:szCs w:val="20"/>
        </w:rPr>
        <w:t xml:space="preserve">If the inheritance chain passes through the oscillatory sector at every organizational level — which is supported by but not yet proven for the full hierarchy — then DV_TC decreases at every level, Phi_fwd &gt;= 1 everywhere, and the universe is categorically directed. The arrow of time would be the structural consequence of harmonic coarse-graining reducing DV_TC at each organizational level.</w:t>
      </w:r>
    </w:p>
    <w:p>
      <w:pPr>
        <w:spacing w:after="70" w:before="70"/>
      </w:pPr>
      <w:r>
        <w:rPr>
          <w:rFonts w:ascii="Calibri" w:cs="Calibri" w:eastAsia="Calibri" w:hAnsi="Calibri"/>
          <w:color w:val="1c1c1c"/>
          <w:sz w:val="20"/>
          <w:szCs w:val="20"/>
        </w:rPr>
        <w:t xml:space="preserve">This is a structurally coherent interpretation that is consistent with and partly supported by the theorem, but it is not on the same footing as the internal theorem. It requires extending the oscillatory sector argument beyond the four-level physical hierarchy. That extension is not yet established.</w:t>
      </w:r>
    </w:p>
    <w:p>
      <w:pPr>
        <w:shd w:color="fff8e1" w:val="solid"/>
        <w:spacing w:after="60" w:before="60"/>
        <w:ind w:left="360"/>
      </w:pPr>
      <w:r>
        <w:rPr>
          <w:rFonts w:ascii="Calibri" w:cs="Calibri" w:eastAsia="Calibri" w:hAnsi="Calibri"/>
          <w:b/>
          <w:bCs/>
          <w:color w:val="8b6914"/>
          <w:sz w:val="20"/>
          <w:szCs w:val="20"/>
        </w:rPr>
        <w:t xml:space="preserve">Certainty: </w:t>
      </w:r>
      <w:r>
        <w:rPr>
          <w:rFonts w:ascii="Calibri" w:cs="Calibri" w:eastAsia="Calibri" w:hAnsi="Calibri"/>
          <w:color w:val="1c1c1c"/>
          <w:sz w:val="20"/>
          <w:szCs w:val="20"/>
        </w:rPr>
        <w:t xml:space="preserve">Cosmological interpretation. Consistent with the theorem. Not established by it. The remaining caveat about pure TC-&gt;TC and SN-&gt;SN transitions applies here with full force.</w:t>
      </w:r>
    </w:p>
    <w:p/>
    <w:p>
      <w:pPr>
        <w:pStyle w:val="Heading1"/>
        <w:shd w:color="1a1a2e" w:val="solid"/>
        <w:spacing w:after="140" w:before="360"/>
        <w:ind w:left="120" w:right="120"/>
      </w:pPr>
      <w:r>
        <w:rPr>
          <w:rFonts w:ascii="Calibri" w:cs="Calibri" w:eastAsia="Calibri" w:hAnsi="Calibri"/>
          <w:b/>
          <w:bCs/>
          <w:color w:val="ffffff"/>
          <w:sz w:val="32"/>
          <w:szCs w:val="32"/>
        </w:rPr>
        <w:t xml:space="preserve">7. Derivation Lineage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shd w:color="1a1a2e" w:val="solid"/>
          </w:tcPr>
          <w:p>
            <w:r>
              <w:rPr>
                <w:rFonts w:ascii="Calibri" w:cs="Calibri" w:eastAsia="Calibri" w:hAnsi="Calibri"/>
                <w:b/>
                <w:bCs/>
                <w:color w:val="ffffff"/>
                <w:sz w:val="18"/>
                <w:szCs w:val="18"/>
              </w:rPr>
              <w:t xml:space="preserve">Result</w:t>
            </w:r>
          </w:p>
        </w:tc>
        <w:tc>
          <w:tcPr>
            <w:tcW w:type="dxa" w:w="1900"/>
            <w:shd w:color="1a1a2e" w:val="solid"/>
          </w:tcPr>
          <w:p>
            <w:r>
              <w:rPr>
                <w:rFonts w:ascii="Calibri" w:cs="Calibri" w:eastAsia="Calibri" w:hAnsi="Calibri"/>
                <w:b/>
                <w:bCs/>
                <w:color w:val="ffffff"/>
                <w:sz w:val="18"/>
                <w:szCs w:val="18"/>
              </w:rPr>
              <w:t xml:space="preserve">Status</w:t>
            </w:r>
          </w:p>
        </w:tc>
        <w:tc>
          <w:tcPr>
            <w:tcW w:type="dxa" w:w="4700"/>
            <w:shd w:color="1a1a2e" w:val="solid"/>
          </w:tcPr>
          <w:p>
            <w:r>
              <w:rPr>
                <w:rFonts w:ascii="Calibri" w:cs="Calibri" w:eastAsia="Calibri" w:hAnsi="Calibri"/>
                <w:b/>
                <w:bCs/>
                <w:color w:val="ffffff"/>
                <w:sz w:val="18"/>
                <w:szCs w:val="18"/>
              </w:rPr>
              <w:t xml:space="preserve">Source / Session</w:t>
            </w:r>
          </w:p>
        </w:tc>
      </w:tr>
      <w:tr>
        <w:tc>
          <w:tcPr>
            <w:tcW w:type="dxa" w:w="3200"/>
          </w:tcPr>
          <w:p>
            <w:r>
              <w:rPr>
                <w:rFonts w:ascii="Calibri" w:cs="Calibri" w:eastAsia="Calibri" w:hAnsi="Calibri"/>
                <w:sz w:val="18"/>
                <w:szCs w:val="18"/>
              </w:rPr>
              <w:t xml:space="preserve">Hopf -&gt; PF coarse-graining
SO(2) averaging theorem</w:t>
            </w:r>
          </w:p>
        </w:tc>
        <w:tc>
          <w:tcPr>
            <w:tcW w:type="dxa" w:w="1900"/>
          </w:tcPr>
          <w:p>
            <w:r>
              <w:rPr>
                <w:rFonts w:ascii="Calibri" w:cs="Calibri" w:eastAsia="Calibri" w:hAnsi="Calibri"/>
                <w:sz w:val="18"/>
                <w:szCs w:val="18"/>
              </w:rPr>
              <w:t xml:space="preserve">PRIOR</w:t>
            </w:r>
          </w:p>
        </w:tc>
        <w:tc>
          <w:tcPr>
            <w:tcW w:type="dxa" w:w="4700"/>
          </w:tcPr>
          <w:p>
            <w:r>
              <w:rPr>
                <w:rFonts w:ascii="Calibri" w:cs="Calibri" w:eastAsia="Calibri" w:hAnsi="Calibri"/>
                <w:sz w:val="18"/>
                <w:szCs w:val="18"/>
              </w:rPr>
              <w:t xml:space="preserve">Tech Summary v3 Section 4. Academic paper writing session. Wilson-Cowan confirmed at ~0.51.</w:t>
            </w:r>
          </w:p>
        </w:tc>
      </w:tr>
      <w:tr>
        <w:tc>
          <w:tcPr>
            <w:tcW w:type="dxa" w:w="3200"/>
            <w:shd w:color="f8f8f8" w:val="solid"/>
          </w:tcPr>
          <w:p>
            <w:r>
              <w:rPr>
                <w:rFonts w:ascii="Calibri" w:cs="Calibri" w:eastAsia="Calibri" w:hAnsi="Calibri"/>
                <w:sz w:val="18"/>
                <w:szCs w:val="18"/>
              </w:rPr>
              <w:t xml:space="preserve">Ito/Bessel centrifugal term
D*ln(r) in 2D Hopf FP</w:t>
            </w:r>
          </w:p>
        </w:tc>
        <w:tc>
          <w:tcPr>
            <w:tcW w:type="dxa" w:w="1900"/>
            <w:shd w:color="f8f8f8" w:val="solid"/>
          </w:tcPr>
          <w:p>
            <w:r>
              <w:rPr>
                <w:rFonts w:ascii="Calibri" w:cs="Calibri" w:eastAsia="Calibri" w:hAnsi="Calibri"/>
                <w:sz w:val="18"/>
                <w:szCs w:val="18"/>
              </w:rPr>
              <w:t xml:space="preserve">PRIOR</w:t>
            </w:r>
          </w:p>
        </w:tc>
        <w:tc>
          <w:tcPr>
            <w:tcW w:type="dxa" w:w="4700"/>
            <w:shd w:color="f8f8f8" w:val="solid"/>
          </w:tcPr>
          <w:p>
            <w:r>
              <w:rPr>
                <w:rFonts w:ascii="Calibri" w:cs="Calibri" w:eastAsia="Calibri" w:hAnsi="Calibri"/>
                <w:sz w:val="18"/>
                <w:szCs w:val="18"/>
              </w:rPr>
              <w:t xml:space="preserve">2D Hopf notebook. Hierarchically nested corridor map session. Explained 0.41 vs 0.5 exponent.</w:t>
            </w:r>
          </w:p>
        </w:tc>
      </w:tr>
      <w:tr>
        <w:tc>
          <w:tcPr>
            <w:tcW w:type="dxa" w:w="3200"/>
          </w:tcPr>
          <w:p>
            <w:r>
              <w:rPr>
                <w:rFonts w:ascii="Calibri" w:cs="Calibri" w:eastAsia="Calibri" w:hAnsi="Calibri"/>
                <w:sz w:val="18"/>
                <w:szCs w:val="18"/>
              </w:rPr>
              <w:t xml:space="preserve">DV_TC reduction formula
1/[1+(4cD/mu^2)*ln(r*/r_TC)] &lt; 1</w:t>
            </w:r>
          </w:p>
        </w:tc>
        <w:tc>
          <w:tcPr>
            <w:tcW w:type="dxa" w:w="1900"/>
          </w:tcPr>
          <w:p>
            <w:r>
              <w:rPr>
                <w:rFonts w:ascii="Calibri" w:cs="Calibri" w:eastAsia="Calibri" w:hAnsi="Calibri"/>
                <w:sz w:val="18"/>
                <w:szCs w:val="18"/>
              </w:rPr>
              <w:t xml:space="preserve">NEW CONNECTION</w:t>
            </w:r>
          </w:p>
        </w:tc>
        <w:tc>
          <w:tcPr>
            <w:tcW w:type="dxa" w:w="4700"/>
          </w:tcPr>
          <w:p>
            <w:r>
              <w:rPr>
                <w:rFonts w:ascii="Calibri" w:cs="Calibri" w:eastAsia="Calibri" w:hAnsi="Calibri"/>
                <w:sz w:val="18"/>
                <w:szCs w:val="18"/>
              </w:rPr>
              <w:t xml:space="preserve">Recognizing that Prior 1 + Prior 2 close the Directed Admissibility gap. The pieces were documented. The implication is new.</w:t>
            </w:r>
          </w:p>
        </w:tc>
      </w:tr>
      <w:tr>
        <w:tc>
          <w:tcPr>
            <w:tcW w:type="dxa" w:w="3200"/>
            <w:shd w:color="f8f8f8" w:val="solid"/>
          </w:tcPr>
          <w:p>
            <w:r>
              <w:rPr>
                <w:rFonts w:ascii="Calibri" w:cs="Calibri" w:eastAsia="Calibri" w:hAnsi="Calibri"/>
                <w:sz w:val="18"/>
                <w:szCs w:val="18"/>
              </w:rPr>
              <w:t xml:space="preserve">Symmetric mismatch
M_SN_fwd = M_SN_rev exactly</w:t>
            </w:r>
          </w:p>
        </w:tc>
        <w:tc>
          <w:tcPr>
            <w:tcW w:type="dxa" w:w="1900"/>
            <w:shd w:color="f8f8f8" w:val="solid"/>
          </w:tcPr>
          <w:p>
            <w:r>
              <w:rPr>
                <w:rFonts w:ascii="Calibri" w:cs="Calibri" w:eastAsia="Calibri" w:hAnsi="Calibri"/>
                <w:sz w:val="18"/>
                <w:szCs w:val="18"/>
              </w:rPr>
              <w:t xml:space="preserve">NEW</w:t>
            </w:r>
          </w:p>
        </w:tc>
        <w:tc>
          <w:tcPr>
            <w:tcW w:type="dxa" w:w="4700"/>
            <w:shd w:color="f8f8f8" w:val="solid"/>
          </w:tcPr>
          <w:p>
            <w:r>
              <w:rPr>
                <w:rFonts w:ascii="Calibri" w:cs="Calibri" w:eastAsia="Calibri" w:hAnsi="Calibri"/>
                <w:sz w:val="18"/>
                <w:szCs w:val="18"/>
              </w:rPr>
              <w:t xml:space="preserve">Derived in reverse crossing calculation this session. Key structural distinction.</w:t>
            </w:r>
          </w:p>
        </w:tc>
      </w:tr>
      <w:tr>
        <w:tc>
          <w:tcPr>
            <w:tcW w:type="dxa" w:w="3200"/>
          </w:tcPr>
          <w:p>
            <w:r>
              <w:rPr>
                <w:rFonts w:ascii="Calibri" w:cs="Calibri" w:eastAsia="Calibri" w:hAnsi="Calibri"/>
                <w:sz w:val="18"/>
                <w:szCs w:val="18"/>
              </w:rPr>
              <w:t xml:space="preserve">Directed Admissibility Theorem
Phi_fwd &gt; 1 =&gt; K_rev = 0</w:t>
            </w:r>
          </w:p>
        </w:tc>
        <w:tc>
          <w:tcPr>
            <w:tcW w:type="dxa" w:w="1900"/>
          </w:tcPr>
          <w:p>
            <w:r>
              <w:rPr>
                <w:rFonts w:ascii="Calibri" w:cs="Calibri" w:eastAsia="Calibri" w:hAnsi="Calibri"/>
                <w:sz w:val="18"/>
                <w:szCs w:val="18"/>
              </w:rPr>
              <w:t xml:space="preserve">NEW SYNTHESIS</w:t>
            </w:r>
          </w:p>
        </w:tc>
        <w:tc>
          <w:tcPr>
            <w:tcW w:type="dxa" w:w="4700"/>
          </w:tcPr>
          <w:p>
            <w:r>
              <w:rPr>
                <w:rFonts w:ascii="Calibri" w:cs="Calibri" w:eastAsia="Calibri" w:hAnsi="Calibri"/>
                <w:sz w:val="18"/>
                <w:szCs w:val="18"/>
              </w:rPr>
              <w:t xml:space="preserve">Follows from Theta gate + symmetric mismatch + DV_TC reduction. Unifies thermodynamic irreversibility and time asymmetry.</w:t>
            </w:r>
          </w:p>
        </w:tc>
      </w:tr>
      <w:tr>
        <w:tc>
          <w:tcPr>
            <w:tcW w:type="dxa" w:w="3200"/>
            <w:shd w:color="f8f8f8" w:val="solid"/>
          </w:tcPr>
          <w:p>
            <w:r>
              <w:rPr>
                <w:rFonts w:ascii="Calibri" w:cs="Calibri" w:eastAsia="Calibri" w:hAnsi="Calibri"/>
                <w:sz w:val="18"/>
                <w:szCs w:val="18"/>
              </w:rPr>
              <w:t xml:space="preserve">Theta gate derivation
from Kramers escape theory</w:t>
            </w:r>
          </w:p>
        </w:tc>
        <w:tc>
          <w:tcPr>
            <w:tcW w:type="dxa" w:w="1900"/>
            <w:shd w:color="f8f8f8" w:val="solid"/>
          </w:tcPr>
          <w:p>
            <w:r>
              <w:rPr>
                <w:rFonts w:ascii="Calibri" w:cs="Calibri" w:eastAsia="Calibri" w:hAnsi="Calibri"/>
                <w:sz w:val="18"/>
                <w:szCs w:val="18"/>
              </w:rPr>
              <w:t xml:space="preserve">NEW EXPLICIT</w:t>
            </w:r>
          </w:p>
        </w:tc>
        <w:tc>
          <w:tcPr>
            <w:tcW w:type="dxa" w:w="4700"/>
            <w:shd w:color="f8f8f8" w:val="solid"/>
          </w:tcPr>
          <w:p>
            <w:r>
              <w:rPr>
                <w:rFonts w:ascii="Calibri" w:cs="Calibri" w:eastAsia="Calibri" w:hAnsi="Calibri"/>
                <w:sz w:val="18"/>
                <w:szCs w:val="18"/>
              </w:rPr>
              <w:t xml:space="preserve">Explicit response to external critique. Not previously traced in this document.</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8. What Remains</w:t>
      </w:r>
    </w:p>
    <w:p>
      <w:pPr>
        <w:pStyle w:val="Heading3"/>
        <w:pBdr>
          <w:bottom w:val="single" w:color="b5451b" w:sz="4"/>
        </w:pBdr>
        <w:spacing w:after="70" w:before="200"/>
      </w:pPr>
      <w:r>
        <w:rPr>
          <w:rFonts w:ascii="Calibri" w:cs="Calibri" w:eastAsia="Calibri" w:hAnsi="Calibri"/>
          <w:b/>
          <w:bCs/>
          <w:color w:val="b5451b"/>
          <w:sz w:val="22"/>
          <w:szCs w:val="22"/>
        </w:rPr>
        <w:t xml:space="preserve">8.1  Pure TC-&gt;TC and SN-&gt;SN transitions (prominent caveat)</w:t>
      </w:r>
    </w:p>
    <w:p>
      <w:pPr>
        <w:spacing w:after="70" w:before="70"/>
      </w:pPr>
      <w:r>
        <w:rPr>
          <w:rFonts w:ascii="Calibri" w:cs="Calibri" w:eastAsia="Calibri" w:hAnsi="Calibri"/>
          <w:color w:val="1c1c1c"/>
          <w:sz w:val="20"/>
          <w:szCs w:val="20"/>
        </w:rPr>
        <w:t xml:space="preserve">The centrifugal reduction operates at Hopf -&gt; PF transitions. For level transitions that do not pass through the oscillatory sector, a separate reduction mechanism is needed or the DV_TC monotonicity must be established on different grounds. This is the most significant remaining gap.</w:t>
      </w:r>
    </w:p>
    <w:p/>
    <w:p>
      <w:pPr>
        <w:pStyle w:val="Heading3"/>
        <w:pBdr>
          <w:bottom w:val="single" w:color="b5451b" w:sz="4"/>
        </w:pBdr>
        <w:spacing w:after="70" w:before="200"/>
      </w:pPr>
      <w:r>
        <w:rPr>
          <w:rFonts w:ascii="Calibri" w:cs="Calibri" w:eastAsia="Calibri" w:hAnsi="Calibri"/>
          <w:b/>
          <w:bCs/>
          <w:color w:val="b5451b"/>
          <w:sz w:val="22"/>
          <w:szCs w:val="22"/>
        </w:rPr>
        <w:t xml:space="preserve">8.2  Numerical match to physical hierarchy</w:t>
      </w:r>
    </w:p>
    <w:p>
      <w:pPr>
        <w:spacing w:after="70" w:before="70"/>
      </w:pPr>
      <w:r>
        <w:rPr>
          <w:rFonts w:ascii="Calibri" w:cs="Calibri" w:eastAsia="Calibri" w:hAnsi="Calibri"/>
          <w:color w:val="1c1c1c"/>
          <w:sz w:val="20"/>
          <w:szCs w:val="20"/>
        </w:rPr>
        <w:t xml:space="preserve">The reduction formula gives functional form. Computing c, D, mu, r_TC for QED-&gt;Atomic-&gt;Chemistry-&gt;Thermodynamics would test whether the formula produces the observed factors (0.26 at L1-&gt;L2, 0.11 at L2-&gt;L3). Future work.</w:t>
      </w:r>
    </w:p>
    <w:p/>
    <w:p>
      <w:pPr>
        <w:pStyle w:val="Heading3"/>
        <w:pBdr>
          <w:bottom w:val="single" w:color="8b6914" w:sz="4"/>
        </w:pBdr>
        <w:spacing w:after="70" w:before="200"/>
      </w:pPr>
      <w:r>
        <w:rPr>
          <w:rFonts w:ascii="Calibri" w:cs="Calibri" w:eastAsia="Calibri" w:hAnsi="Calibri"/>
          <w:b/>
          <w:bCs/>
          <w:color w:val="8b6914"/>
          <w:sz w:val="22"/>
          <w:szCs w:val="22"/>
        </w:rPr>
        <w:t xml:space="preserve">8.3  Measurement DV_TC</w:t>
      </w:r>
    </w:p>
    <w:p>
      <w:pPr>
        <w:spacing w:after="70" w:before="70"/>
      </w:pPr>
      <w:r>
        <w:rPr>
          <w:rFonts w:ascii="Calibri" w:cs="Calibri" w:eastAsia="Calibri" w:hAnsi="Calibri"/>
          <w:color w:val="1c1c1c"/>
          <w:sz w:val="20"/>
          <w:szCs w:val="20"/>
        </w:rPr>
        <w:t xml:space="preserve">Quantitative definition of DV_TC for a specific measurement model. If the Hopf -&gt; PF mechanism applies to quantum measurement, the reduction is derived rather than asserted. This is the key step that would elevate the measurement section from proposal to structural.</w:t>
      </w:r>
    </w:p>
    <w:p/>
    <w:p>
      <w:pPr>
        <w:pStyle w:val="Heading3"/>
        <w:pBdr>
          <w:bottom w:val="single" w:color="8b6914" w:sz="4"/>
        </w:pBdr>
        <w:spacing w:after="70" w:before="200"/>
      </w:pPr>
      <w:r>
        <w:rPr>
          <w:rFonts w:ascii="Calibri" w:cs="Calibri" w:eastAsia="Calibri" w:hAnsi="Calibri"/>
          <w:b/>
          <w:bCs/>
          <w:color w:val="8b6914"/>
          <w:sz w:val="22"/>
          <w:szCs w:val="22"/>
        </w:rPr>
        <w:t xml:space="preserve">8.4  Born rule</w:t>
      </w:r>
    </w:p>
    <w:p>
      <w:pPr>
        <w:spacing w:after="70" w:before="70"/>
      </w:pPr>
      <w:r>
        <w:rPr>
          <w:rFonts w:ascii="Calibri" w:cs="Calibri" w:eastAsia="Calibri" w:hAnsi="Calibri"/>
          <w:color w:val="1c1c1c"/>
          <w:sz w:val="20"/>
          <w:szCs w:val="20"/>
        </w:rPr>
        <w:t xml:space="preserve">K ~ exp(-M_SN^2/E_exhaust). If |psi_j|^2 ~ K_j for equal-energy successors, Born rule follows. Requires careful treatment. Not yet established.</w:t>
      </w:r>
    </w:p>
    <w:p/>
    <w:p>
      <w:pPr>
        <w:spacing w:before="600"/>
        <w:jc w:val="center"/>
      </w:pPr>
      <w:r>
        <w:rPr>
          <w:rFonts w:ascii="Calibri" w:cs="Calibri" w:eastAsia="Calibri" w:hAnsi="Calibri"/>
          <w:i/>
          <w:iCs/>
          <w:color w:val="888888"/>
          <w:sz w:val="18"/>
          <w:szCs w:val="18"/>
        </w:rPr>
        <w:t xml:space="preserve">Mindemann, M. -- April 2026 -- Working derivation v5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2026-04-18T21:58:35.621Z</dcterms:created>
  <dcterms:modified xsi:type="dcterms:W3CDTF">2026-04-18T21:58:35.622Z</dcterms:modified>
</cp:coreProperties>
</file>

<file path=docProps/custom.xml><?xml version="1.0" encoding="utf-8"?>
<Properties xmlns="http://schemas.openxmlformats.org/officeDocument/2006/custom-properties" xmlns:vt="http://schemas.openxmlformats.org/officeDocument/2006/docPropsVTypes"/>
</file>