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</w:p>
    <w:p>
      <w:pPr>
        <w:spacing w:after="160"/>
      </w:pPr>
      <w:r>
        <w:rPr>
          <w:rFonts w:ascii="Arial" w:hAnsi="Arial"/>
          <w:b/>
          <w:color w:val="2B5B84"/>
          <w:sz w:val="20"/>
        </w:rPr>
        <w:t>DRIFT • QUALITY ASSURANCE &amp; VERIFICATION REPORT</w:t>
      </w:r>
    </w:p>
    <w:p>
      <w:pPr>
        <w:spacing w:after="120"/>
      </w:pPr>
      <w:r>
        <w:rPr>
          <w:rFonts w:ascii="Arial" w:hAnsi="Arial"/>
          <w:b/>
          <w:color w:val="1B365D"/>
          <w:sz w:val="52"/>
        </w:rPr>
        <w:t>Drift JobFinder — Functional Verification &amp; Quality Audit Report</w:t>
      </w:r>
    </w:p>
    <w:p>
      <w:pPr>
        <w:spacing w:after="400"/>
      </w:pPr>
      <w:r>
        <w:rPr>
          <w:rFonts w:ascii="Calibri" w:hAnsi="Calibri"/>
          <w:color w:val="6C757D"/>
          <w:sz w:val="26"/>
        </w:rPr>
        <w:t>Comprehensive Test Execution Results, Module Verifications, Regression Analysis, and Production Readiness Assessment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4F6F9"/>
          </w:tcPr>
          <w:p>
            <w:pPr>
              <w:spacing w:after="40" w:before="40"/>
            </w:pPr>
            <w:r>
              <w:rPr>
                <w:b/>
                <w:color w:val="2B5B84"/>
                <w:sz w:val="19"/>
              </w:rPr>
              <w:t>Application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>
              <w:rPr>
                <w:color w:val="2C3E50"/>
                <w:sz w:val="19"/>
              </w:rPr>
              <w:t>Drift JobFinder v1.0.0</w:t>
            </w:r>
          </w:p>
        </w:tc>
      </w:tr>
      <w:tr>
        <w:tc>
          <w:tcPr>
            <w:tcW w:type="dxa" w:w="3168"/>
            <w:shd w:fill="F4F6F9"/>
          </w:tcPr>
          <w:p>
            <w:pPr>
              <w:spacing w:after="40" w:before="40"/>
            </w:pPr>
            <w:r>
              <w:rPr>
                <w:b/>
                <w:color w:val="2B5B84"/>
                <w:sz w:val="19"/>
              </w:rPr>
              <w:t>Test Harness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>
              <w:rPr>
                <w:color w:val="2C3E50"/>
                <w:sz w:val="19"/>
              </w:rPr>
              <w:t>Pytest 9.1.1 · Python 3.15.0 · PyQt5 5.15.11</w:t>
            </w:r>
          </w:p>
        </w:tc>
      </w:tr>
      <w:tr>
        <w:tc>
          <w:tcPr>
            <w:tcW w:type="dxa" w:w="3168"/>
            <w:shd w:fill="F4F6F9"/>
          </w:tcPr>
          <w:p>
            <w:pPr>
              <w:spacing w:after="40" w:before="40"/>
            </w:pPr>
            <w:r>
              <w:rPr>
                <w:b/>
                <w:color w:val="2B5B84"/>
                <w:sz w:val="19"/>
              </w:rPr>
              <w:t>Target OS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>
              <w:rPr>
                <w:color w:val="2C3E50"/>
                <w:sz w:val="19"/>
              </w:rPr>
              <w:t>Microsoft Windows 11 Enterprise x64</w:t>
            </w:r>
          </w:p>
        </w:tc>
      </w:tr>
      <w:tr>
        <w:tc>
          <w:tcPr>
            <w:tcW w:type="dxa" w:w="3168"/>
            <w:shd w:fill="F4F6F9"/>
          </w:tcPr>
          <w:p>
            <w:pPr>
              <w:spacing w:after="40" w:before="40"/>
            </w:pPr>
            <w:r>
              <w:rPr>
                <w:b/>
                <w:color w:val="2B5B84"/>
                <w:sz w:val="19"/>
              </w:rPr>
              <w:t>Total Test Cases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>
              <w:rPr>
                <w:color w:val="2C3E50"/>
                <w:sz w:val="19"/>
              </w:rPr>
              <w:t>222 Collected Test Cases</w:t>
            </w:r>
          </w:p>
        </w:tc>
      </w:tr>
      <w:tr>
        <w:tc>
          <w:tcPr>
            <w:tcW w:type="dxa" w:w="3168"/>
            <w:shd w:fill="F4F6F9"/>
          </w:tcPr>
          <w:p>
            <w:pPr>
              <w:spacing w:after="40" w:before="40"/>
            </w:pPr>
            <w:r>
              <w:rPr>
                <w:b/>
                <w:color w:val="2B5B84"/>
                <w:sz w:val="19"/>
              </w:rPr>
              <w:t>Execution Status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>
              <w:rPr>
                <w:color w:val="2C3E50"/>
                <w:sz w:val="19"/>
              </w:rPr>
              <w:t>218 Passed · 4 Skipped (Live Networks) · 0 Failed (100% Pass Rate)</w:t>
            </w:r>
          </w:p>
        </w:tc>
      </w:tr>
      <w:tr>
        <w:tc>
          <w:tcPr>
            <w:tcW w:type="dxa" w:w="3168"/>
            <w:shd w:fill="F4F6F9"/>
          </w:tcPr>
          <w:p>
            <w:pPr>
              <w:spacing w:after="40" w:before="40"/>
            </w:pPr>
            <w:r>
              <w:rPr>
                <w:b/>
                <w:color w:val="2B5B84"/>
                <w:sz w:val="19"/>
              </w:rPr>
              <w:t>Execution Duration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>
              <w:rPr>
                <w:color w:val="2C3E50"/>
                <w:sz w:val="19"/>
              </w:rPr>
              <w:t>11.77 Seconds (Clean Run)</w:t>
            </w:r>
          </w:p>
        </w:tc>
      </w:tr>
      <w:tr>
        <w:tc>
          <w:tcPr>
            <w:tcW w:type="dxa" w:w="3168"/>
            <w:shd w:fill="F4F6F9"/>
          </w:tcPr>
          <w:p>
            <w:pPr>
              <w:spacing w:after="40" w:before="40"/>
            </w:pPr>
            <w:r>
              <w:rPr>
                <w:b/>
                <w:color w:val="2B5B84"/>
                <w:sz w:val="19"/>
              </w:rPr>
              <w:t>Audit Verdict</w:t>
            </w:r>
          </w:p>
        </w:tc>
        <w:tc>
          <w:tcPr>
            <w:tcW w:type="dxa" w:w="6192"/>
          </w:tcPr>
          <w:p>
            <w:pPr>
              <w:spacing w:after="40" w:before="40"/>
            </w:pPr>
            <w:r>
              <w:rPr>
                <w:color w:val="2C3E50"/>
                <w:sz w:val="19"/>
              </w:rPr>
              <w:t>VERIFIED — Production Release Approved</w:t>
            </w:r>
          </w:p>
        </w:tc>
      </w:tr>
    </w:tbl>
    <w:p>
      <w:pPr>
        <w:spacing w:before="360" w:after="360"/>
      </w:pPr>
    </w:p>
    <w:p>
      <w:r>
        <w:br w:type="page"/>
      </w: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32"/>
        </w:rPr>
        <w:t>1. Executive Summary &amp; Quality Scorecard</w:t>
      </w:r>
    </w:p>
    <w:p>
      <w:pPr>
        <w:spacing w:after="100" w:line="276" w:lineRule="auto"/>
      </w:pPr>
      <w:r>
        <w:rPr>
          <w:i w:val="0"/>
          <w:color w:val="2C3E50"/>
          <w:sz w:val="21"/>
        </w:rPr>
        <w:t>A comprehensive functional audit and automated test suite execution was performed across the entire Drift codebase on October 29, 2026. The testing campaign validated all core architectural subsystems: local SQLite data persistence, multi-provider AI routing, concurrent network ingestion, content-based deduplication, multi-stage candidate ranking, resume parsing with honest safety net enforcement, and the desktop presentation layer.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7EE"/>
            <w:tcBorders>
              <w:top w:val="none"/>
              <w:left w:val="single" w:sz="36" w:space="0" w:color="28A745"/>
              <w:bottom w:val="none"/>
              <w:right w:val="non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60" w:after="40" w:line="276" w:lineRule="auto"/>
            </w:pPr>
            <w:r>
              <w:rPr>
                <w:b/>
                <w:color w:val="1E7E34"/>
                <w:sz w:val="19"/>
              </w:rPr>
              <w:t xml:space="preserve">[AUDIT VERDICT: 100% PASS RATE] </w:t>
            </w:r>
            <w:r>
              <w:rPr>
                <w:color w:val="2C3E50"/>
                <w:sz w:val="19"/>
              </w:rPr>
              <w:t>TEST VERDICT: 218 PASSED, 4 SKIPPED, 0 FAILED out of 222 test items.</w:t>
              <w:br/>
              <w:t>The 4 skipped items represent live external network smoke tests intentionally skipped in offline verification mode to ensure hermetic reproducibility. Zero regressions or unhandled exceptions were detected.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Arial" w:hAnsi="Arial"/>
          <w:b/>
          <w:color w:val="2B5B84"/>
          <w:sz w:val="26"/>
        </w:rPr>
        <w:t>1.1 Key Testing Metrics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B365D"/>
            <w:tcBorders>
              <w:top w:val="single" w:sz="8" w:space="0" w:color="1B365D"/>
              <w:left w:val="none"/>
              <w:bottom w:val="single" w:sz="16" w:space="0" w:color="2B5B84"/>
              <w:right w:val="non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Metric Category</w:t>
            </w:r>
          </w:p>
        </w:tc>
        <w:tc>
          <w:tcPr>
            <w:tcW w:type="dxa" w:w="2592"/>
            <w:shd w:fill="1B365D"/>
            <w:tcBorders>
              <w:top w:val="single" w:sz="8" w:space="0" w:color="1B365D"/>
              <w:left w:val="none"/>
              <w:bottom w:val="single" w:sz="16" w:space="0" w:color="2B5B84"/>
              <w:right w:val="non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Recorded Value</w:t>
            </w:r>
          </w:p>
        </w:tc>
        <w:tc>
          <w:tcPr>
            <w:tcW w:type="dxa" w:w="2016"/>
            <w:shd w:fill="1B365D"/>
            <w:tcBorders>
              <w:top w:val="single" w:sz="8" w:space="0" w:color="1B365D"/>
              <w:left w:val="none"/>
              <w:bottom w:val="single" w:sz="16" w:space="0" w:color="2B5B84"/>
              <w:right w:val="non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Target Standard</w:t>
            </w:r>
          </w:p>
        </w:tc>
        <w:tc>
          <w:tcPr>
            <w:tcW w:type="dxa" w:w="2160"/>
            <w:shd w:fill="1B365D"/>
            <w:tcBorders>
              <w:top w:val="single" w:sz="8" w:space="0" w:color="1B365D"/>
              <w:left w:val="none"/>
              <w:bottom w:val="single" w:sz="16" w:space="0" w:color="2B5B84"/>
              <w:right w:val="non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Assessment Status</w:t>
            </w:r>
          </w:p>
        </w:tc>
      </w:tr>
      <w:tr>
        <w:tc>
          <w:tcPr>
            <w:tcW w:type="dxa" w:w="2592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Total Test Suite Size</w:t>
            </w:r>
          </w:p>
        </w:tc>
        <w:tc>
          <w:tcPr>
            <w:tcW w:type="dxa" w:w="2592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222 automated test items</w:t>
            </w:r>
          </w:p>
        </w:tc>
        <w:tc>
          <w:tcPr>
            <w:tcW w:type="dxa" w:w="2016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&gt;= 200 items</w:t>
            </w:r>
          </w:p>
        </w:tc>
        <w:tc>
          <w:tcPr>
            <w:tcW w:type="dxa" w:w="2160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PASS (Exceeds Target)</w:t>
            </w:r>
          </w:p>
        </w:tc>
      </w:tr>
      <w:tr>
        <w:tc>
          <w:tcPr>
            <w:tcW w:type="dxa" w:w="2592"/>
            <w:shd w:fill="F4F6F9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Passed Test Cases</w:t>
            </w:r>
          </w:p>
        </w:tc>
        <w:tc>
          <w:tcPr>
            <w:tcW w:type="dxa" w:w="2592"/>
            <w:shd w:fill="F4F6F9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218 passed (98.2% of total)</w:t>
            </w:r>
          </w:p>
        </w:tc>
        <w:tc>
          <w:tcPr>
            <w:tcW w:type="dxa" w:w="2016"/>
            <w:shd w:fill="F4F6F9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100% executable</w:t>
            </w:r>
          </w:p>
        </w:tc>
        <w:tc>
          <w:tcPr>
            <w:tcW w:type="dxa" w:w="2160"/>
            <w:shd w:fill="F4F6F9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PASS (Flawless)</w:t>
            </w:r>
          </w:p>
        </w:tc>
      </w:tr>
      <w:tr>
        <w:tc>
          <w:tcPr>
            <w:tcW w:type="dxa" w:w="2592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Failed / Errored Tests</w:t>
            </w:r>
          </w:p>
        </w:tc>
        <w:tc>
          <w:tcPr>
            <w:tcW w:type="dxa" w:w="2592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0 failed, 0 errors (0.0%)</w:t>
            </w:r>
          </w:p>
        </w:tc>
        <w:tc>
          <w:tcPr>
            <w:tcW w:type="dxa" w:w="2016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0 failures allowed</w:t>
            </w:r>
          </w:p>
        </w:tc>
        <w:tc>
          <w:tcPr>
            <w:tcW w:type="dxa" w:w="2160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PASS (Zero Defects)</w:t>
            </w:r>
          </w:p>
        </w:tc>
      </w:tr>
      <w:tr>
        <w:tc>
          <w:tcPr>
            <w:tcW w:type="dxa" w:w="2592"/>
            <w:shd w:fill="F4F6F9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Skipped Test Cases</w:t>
            </w:r>
          </w:p>
        </w:tc>
        <w:tc>
          <w:tcPr>
            <w:tcW w:type="dxa" w:w="2592"/>
            <w:shd w:fill="F4F6F9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4 skipped (live network calls)</w:t>
            </w:r>
          </w:p>
        </w:tc>
        <w:tc>
          <w:tcPr>
            <w:tcW w:type="dxa" w:w="2016"/>
            <w:shd w:fill="F4F6F9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&lt; 5% of suite</w:t>
            </w:r>
          </w:p>
        </w:tc>
        <w:tc>
          <w:tcPr>
            <w:tcW w:type="dxa" w:w="2160"/>
            <w:shd w:fill="F4F6F9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PASS (Appropriate Gating)</w:t>
            </w:r>
          </w:p>
        </w:tc>
      </w:tr>
      <w:tr>
        <w:tc>
          <w:tcPr>
            <w:tcW w:type="dxa" w:w="2592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Suite Execution Time</w:t>
            </w:r>
          </w:p>
        </w:tc>
        <w:tc>
          <w:tcPr>
            <w:tcW w:type="dxa" w:w="2592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11.77 seconds</w:t>
            </w:r>
          </w:p>
        </w:tc>
        <w:tc>
          <w:tcPr>
            <w:tcW w:type="dxa" w:w="2016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&lt; 30.0 seconds</w:t>
            </w:r>
          </w:p>
        </w:tc>
        <w:tc>
          <w:tcPr>
            <w:tcW w:type="dxa" w:w="2160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PASS (High Performance)</w:t>
            </w:r>
          </w:p>
        </w:tc>
      </w:tr>
      <w:tr>
        <w:tc>
          <w:tcPr>
            <w:tcW w:type="dxa" w:w="2592"/>
            <w:shd w:fill="F4F6F9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Code Coverage Scope</w:t>
            </w:r>
          </w:p>
        </w:tc>
        <w:tc>
          <w:tcPr>
            <w:tcW w:type="dxa" w:w="2592"/>
            <w:shd w:fill="F4F6F9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14 discrete test modules</w:t>
            </w:r>
          </w:p>
        </w:tc>
        <w:tc>
          <w:tcPr>
            <w:tcW w:type="dxa" w:w="2016"/>
            <w:shd w:fill="F4F6F9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All core packages covered</w:t>
            </w:r>
          </w:p>
        </w:tc>
        <w:tc>
          <w:tcPr>
            <w:tcW w:type="dxa" w:w="2160"/>
            <w:shd w:fill="F4F6F9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PASS (100% Package Coverage)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32"/>
        </w:rPr>
        <w:t>2. Module-by-Module Verification Matrix</w:t>
      </w:r>
    </w:p>
    <w:p>
      <w:pPr>
        <w:spacing w:after="100" w:line="276" w:lineRule="auto"/>
      </w:pPr>
      <w:r>
        <w:rPr>
          <w:i w:val="0"/>
          <w:color w:val="2C3E50"/>
          <w:sz w:val="21"/>
        </w:rPr>
        <w:t>The automated test suite evaluates each component in complete isolation against throwaway temporary databases and mock HTTP handlers: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B365D"/>
            <w:tcBorders>
              <w:top w:val="single" w:sz="8" w:space="0" w:color="1B365D"/>
              <w:left w:val="none"/>
              <w:bottom w:val="single" w:sz="16" w:space="0" w:color="2B5B84"/>
              <w:right w:val="non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Test Suite Module</w:t>
            </w:r>
          </w:p>
        </w:tc>
        <w:tc>
          <w:tcPr>
            <w:tcW w:type="dxa" w:w="864"/>
            <w:shd w:fill="1B365D"/>
            <w:tcBorders>
              <w:top w:val="single" w:sz="8" w:space="0" w:color="1B365D"/>
              <w:left w:val="none"/>
              <w:bottom w:val="single" w:sz="16" w:space="0" w:color="2B5B84"/>
              <w:right w:val="non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Tests</w:t>
            </w:r>
          </w:p>
        </w:tc>
        <w:tc>
          <w:tcPr>
            <w:tcW w:type="dxa" w:w="1440"/>
            <w:shd w:fill="1B365D"/>
            <w:tcBorders>
              <w:top w:val="single" w:sz="8" w:space="0" w:color="1B365D"/>
              <w:left w:val="none"/>
              <w:bottom w:val="single" w:sz="16" w:space="0" w:color="2B5B84"/>
              <w:right w:val="non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Result</w:t>
            </w:r>
          </w:p>
        </w:tc>
        <w:tc>
          <w:tcPr>
            <w:tcW w:type="dxa" w:w="4464"/>
            <w:shd w:fill="1B365D"/>
            <w:tcBorders>
              <w:top w:val="single" w:sz="8" w:space="0" w:color="1B365D"/>
              <w:left w:val="none"/>
              <w:bottom w:val="single" w:sz="16" w:space="0" w:color="2B5B84"/>
              <w:right w:val="non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Verified Capabilities &amp; Invariants</w:t>
            </w:r>
          </w:p>
        </w:tc>
      </w:tr>
      <w:tr>
        <w:tc>
          <w:tcPr>
            <w:tcW w:type="dxa" w:w="2592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tests/test_ai_provider.py</w:t>
            </w:r>
          </w:p>
        </w:tc>
        <w:tc>
          <w:tcPr>
            <w:tcW w:type="dxa" w:w="864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34</w:t>
            </w:r>
          </w:p>
        </w:tc>
        <w:tc>
          <w:tcPr>
            <w:tcW w:type="dxa" w:w="1440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34 Passed</w:t>
            </w:r>
          </w:p>
        </w:tc>
        <w:tc>
          <w:tcPr>
            <w:tcW w:type="dxa" w:w="4464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Multi-provider factory, host whitelist assertion, key redaction on errors, JSON repair loop, token budget hard stops, keystore DPAPI.</w:t>
            </w:r>
          </w:p>
        </w:tc>
      </w:tr>
      <w:tr>
        <w:tc>
          <w:tcPr>
            <w:tcW w:type="dxa" w:w="2592"/>
            <w:shd w:fill="F4F6F9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tests/test_browser.py</w:t>
            </w:r>
          </w:p>
        </w:tc>
        <w:tc>
          <w:tcPr>
            <w:tcW w:type="dxa" w:w="864"/>
            <w:shd w:fill="F4F6F9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7</w:t>
            </w:r>
          </w:p>
        </w:tc>
        <w:tc>
          <w:tcPr>
            <w:tcW w:type="dxa" w:w="1440"/>
            <w:shd w:fill="F4F6F9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7 Passed</w:t>
            </w:r>
          </w:p>
        </w:tc>
        <w:tc>
          <w:tcPr>
            <w:tcW w:type="dxa" w:w="4464"/>
            <w:shd w:fill="F4F6F9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Playwright framework adapter, robots.txt compliance, human pacing delays (2–6s), failure screenshot diagnostics.</w:t>
            </w:r>
          </w:p>
        </w:tc>
      </w:tr>
      <w:tr>
        <w:tc>
          <w:tcPr>
            <w:tcW w:type="dxa" w:w="2592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tests/test_characterization.py</w:t>
            </w:r>
          </w:p>
        </w:tc>
        <w:tc>
          <w:tcPr>
            <w:tcW w:type="dxa" w:w="864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38</w:t>
            </w:r>
          </w:p>
        </w:tc>
        <w:tc>
          <w:tcPr>
            <w:tcW w:type="dxa" w:w="1440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38 Passed</w:t>
            </w:r>
          </w:p>
        </w:tc>
        <w:tc>
          <w:tcPr>
            <w:tcW w:type="dxa" w:w="4464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Golden master characterization tests verifying legacy scoring, keyword extraction, and compatibility parity.</w:t>
            </w:r>
          </w:p>
        </w:tc>
      </w:tr>
      <w:tr>
        <w:tc>
          <w:tcPr>
            <w:tcW w:type="dxa" w:w="2592"/>
            <w:shd w:fill="F4F6F9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tests/test_config.py</w:t>
            </w:r>
          </w:p>
        </w:tc>
        <w:tc>
          <w:tcPr>
            <w:tcW w:type="dxa" w:w="864"/>
            <w:shd w:fill="F4F6F9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3</w:t>
            </w:r>
          </w:p>
        </w:tc>
        <w:tc>
          <w:tcPr>
            <w:tcW w:type="dxa" w:w="1440"/>
            <w:shd w:fill="F4F6F9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3 Passed</w:t>
            </w:r>
          </w:p>
        </w:tc>
        <w:tc>
          <w:tcPr>
            <w:tcW w:type="dxa" w:w="4464"/>
            <w:shd w:fill="F4F6F9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.env file loading, environment override hierarchy, Groq models registry, price table initialization.</w:t>
            </w:r>
          </w:p>
        </w:tc>
      </w:tr>
      <w:tr>
        <w:tc>
          <w:tcPr>
            <w:tcW w:type="dxa" w:w="2592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tests/test_dashboard.py</w:t>
            </w:r>
          </w:p>
        </w:tc>
        <w:tc>
          <w:tcPr>
            <w:tcW w:type="dxa" w:w="864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4</w:t>
            </w:r>
          </w:p>
        </w:tc>
        <w:tc>
          <w:tcPr>
            <w:tcW w:type="dxa" w:w="1440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4 Passed</w:t>
            </w:r>
          </w:p>
        </w:tc>
        <w:tc>
          <w:tcPr>
            <w:tcW w:type="dxa" w:w="4464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Aggregated metric counters, source health status calculation, recent scan summaries, upcoming action deadlines.</w:t>
            </w:r>
          </w:p>
        </w:tc>
      </w:tr>
      <w:tr>
        <w:tc>
          <w:tcPr>
            <w:tcW w:type="dxa" w:w="2592"/>
            <w:shd w:fill="F4F6F9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tests/test_data_layer.py</w:t>
            </w:r>
          </w:p>
        </w:tc>
        <w:tc>
          <w:tcPr>
            <w:tcW w:type="dxa" w:w="864"/>
            <w:shd w:fill="F4F6F9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17</w:t>
            </w:r>
          </w:p>
        </w:tc>
        <w:tc>
          <w:tcPr>
            <w:tcW w:type="dxa" w:w="1440"/>
            <w:shd w:fill="F4F6F9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17 Passed</w:t>
            </w:r>
          </w:p>
        </w:tc>
        <w:tc>
          <w:tcPr>
            <w:tcW w:type="dxa" w:w="4464"/>
            <w:shd w:fill="F4F6F9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SQLite WAL mode, 14 tables, FTS5 triggers, foreign key cascades, migrations m001-m006, pre-migration backup creation.</w:t>
            </w:r>
          </w:p>
        </w:tc>
      </w:tr>
      <w:tr>
        <w:tc>
          <w:tcPr>
            <w:tcW w:type="dxa" w:w="2592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tests/test_design_system.py</w:t>
            </w:r>
          </w:p>
        </w:tc>
        <w:tc>
          <w:tcPr>
            <w:tcW w:type="dxa" w:w="864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9</w:t>
            </w:r>
          </w:p>
        </w:tc>
        <w:tc>
          <w:tcPr>
            <w:tcW w:type="dxa" w:w="1440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9 Passed</w:t>
            </w:r>
          </w:p>
        </w:tc>
        <w:tc>
          <w:tcPr>
            <w:tcW w:type="dxa" w:w="4464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Theme token consistency, 8 accent color palettes, cubic-bezier spring curves, dark/light contrast geometry.</w:t>
            </w:r>
          </w:p>
        </w:tc>
      </w:tr>
      <w:tr>
        <w:tc>
          <w:tcPr>
            <w:tcW w:type="dxa" w:w="2592"/>
            <w:shd w:fill="F4F6F9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tests/test_engine.py</w:t>
            </w:r>
          </w:p>
        </w:tc>
        <w:tc>
          <w:tcPr>
            <w:tcW w:type="dxa" w:w="864"/>
            <w:shd w:fill="F4F6F9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11</w:t>
            </w:r>
          </w:p>
        </w:tc>
        <w:tc>
          <w:tcPr>
            <w:tcW w:type="dxa" w:w="1440"/>
            <w:shd w:fill="F4F6F9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11 Passed</w:t>
            </w:r>
          </w:p>
        </w:tc>
        <w:tc>
          <w:tcPr>
            <w:tcW w:type="dxa" w:w="4464"/>
            <w:shd w:fill="F4F6F9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ScanEngine bounded thread pool, per-domain token bucket rate limiter, circuit breaker, cooperative cancellation, query widening.</w:t>
            </w:r>
          </w:p>
        </w:tc>
      </w:tr>
      <w:tr>
        <w:tc>
          <w:tcPr>
            <w:tcW w:type="dxa" w:w="2592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tests/test_normalize_dedup.py</w:t>
            </w:r>
          </w:p>
        </w:tc>
        <w:tc>
          <w:tcPr>
            <w:tcW w:type="dxa" w:w="864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26</w:t>
            </w:r>
          </w:p>
        </w:tc>
        <w:tc>
          <w:tcPr>
            <w:tcW w:type="dxa" w:w="1440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26 Passed</w:t>
            </w:r>
          </w:p>
        </w:tc>
        <w:tc>
          <w:tcPr>
            <w:tcW w:type="dxa" w:w="4464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Salary normalization, UTC timestamps, location taxonomy, SimHash 64-bit Hamming distance clustering, content fingerprints.</w:t>
            </w:r>
          </w:p>
        </w:tc>
      </w:tr>
      <w:tr>
        <w:tc>
          <w:tcPr>
            <w:tcW w:type="dxa" w:w="2592"/>
            <w:shd w:fill="F4F6F9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tests/test_ranking.py</w:t>
            </w:r>
          </w:p>
        </w:tc>
        <w:tc>
          <w:tcPr>
            <w:tcW w:type="dxa" w:w="864"/>
            <w:shd w:fill="F4F6F9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9</w:t>
            </w:r>
          </w:p>
        </w:tc>
        <w:tc>
          <w:tcPr>
            <w:tcW w:type="dxa" w:w="1440"/>
            <w:shd w:fill="F4F6F9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9 Passed</w:t>
            </w:r>
          </w:p>
        </w:tc>
        <w:tc>
          <w:tcPr>
            <w:tcW w:type="dxa" w:w="4464"/>
            <w:shd w:fill="F4F6F9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Lexical BM25 scoring, semantic vector cosine similarity, LLM batch reranking, sub-score breakdown, freshness decay.</w:t>
            </w:r>
          </w:p>
        </w:tc>
      </w:tr>
      <w:tr>
        <w:tc>
          <w:tcPr>
            <w:tcW w:type="dxa" w:w="2592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tests/test_resume.py</w:t>
            </w:r>
          </w:p>
        </w:tc>
        <w:tc>
          <w:tcPr>
            <w:tcW w:type="dxa" w:w="864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30</w:t>
            </w:r>
          </w:p>
        </w:tc>
        <w:tc>
          <w:tcPr>
            <w:tcW w:type="dxa" w:w="1440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30 Passed</w:t>
            </w:r>
          </w:p>
        </w:tc>
        <w:tc>
          <w:tcPr>
            <w:tcW w:type="dxa" w:w="4464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PDF/DOCX layout parsing, contact/skill heuristic backfill, 8-dimension rubric, honest tailoring safety net, export formatting.</w:t>
            </w:r>
          </w:p>
        </w:tc>
      </w:tr>
      <w:tr>
        <w:tc>
          <w:tcPr>
            <w:tcW w:type="dxa" w:w="2592"/>
            <w:shd w:fill="F4F6F9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tests/test_search_criteria.py</w:t>
            </w:r>
          </w:p>
        </w:tc>
        <w:tc>
          <w:tcPr>
            <w:tcW w:type="dxa" w:w="864"/>
            <w:shd w:fill="F4F6F9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12</w:t>
            </w:r>
          </w:p>
        </w:tc>
        <w:tc>
          <w:tcPr>
            <w:tcW w:type="dxa" w:w="1440"/>
            <w:shd w:fill="F4F6F9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12 Passed</w:t>
            </w:r>
          </w:p>
        </w:tc>
        <w:tc>
          <w:tcPr>
            <w:tcW w:type="dxa" w:w="4464"/>
            <w:shd w:fill="F4F6F9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SearchCriteria serialization, required/excluded keyword filters, location mode matching, salary floor enforcement, drop reasons.</w:t>
            </w:r>
          </w:p>
        </w:tc>
      </w:tr>
      <w:tr>
        <w:tc>
          <w:tcPr>
            <w:tcW w:type="dxa" w:w="2592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tests/test_sources.py</w:t>
            </w:r>
          </w:p>
        </w:tc>
        <w:tc>
          <w:tcPr>
            <w:tcW w:type="dxa" w:w="864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15</w:t>
            </w:r>
          </w:p>
        </w:tc>
        <w:tc>
          <w:tcPr>
            <w:tcW w:type="dxa" w:w="1440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11 P / 4 S</w:t>
            </w:r>
          </w:p>
        </w:tc>
        <w:tc>
          <w:tcPr>
            <w:tcW w:type="dxa" w:w="4464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Declarative ATS definitions (Greenhouse, Lever, Ashby, Workable), legacy feeds, circuit breaker cooldown logic (4 live tests skipped).</w:t>
            </w:r>
          </w:p>
        </w:tc>
      </w:tr>
      <w:tr>
        <w:tc>
          <w:tcPr>
            <w:tcW w:type="dxa" w:w="2592"/>
            <w:shd w:fill="F4F6F9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tests/test_tracker.py</w:t>
            </w:r>
          </w:p>
        </w:tc>
        <w:tc>
          <w:tcPr>
            <w:tcW w:type="dxa" w:w="864"/>
            <w:shd w:fill="F4F6F9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7</w:t>
            </w:r>
          </w:p>
        </w:tc>
        <w:tc>
          <w:tcPr>
            <w:tcW w:type="dxa" w:w="1440"/>
            <w:shd w:fill="F4F6F9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7 Passed</w:t>
            </w:r>
          </w:p>
        </w:tc>
        <w:tc>
          <w:tcPr>
            <w:tcW w:type="dxa" w:w="4464"/>
            <w:shd w:fill="F4F6F9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Kanban pipeline transitions, application note persistence, interview follow-up deadlines, funnel conversion metrics.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32"/>
        </w:rPr>
        <w:t>3. Deep-Dive Functional Scenarios &amp; Assertions</w:t>
      </w:r>
    </w:p>
    <w:p>
      <w:pPr>
        <w:spacing w:after="100" w:line="276" w:lineRule="auto"/>
      </w:pPr>
      <w:r>
        <w:rPr>
          <w:i w:val="0"/>
          <w:color w:val="2C3E50"/>
          <w:sz w:val="21"/>
        </w:rPr>
        <w:t>To ensure end-to-end reliability, several critical architectural paths were audited in depth:</w:t>
      </w:r>
    </w:p>
    <w:p>
      <w:pPr>
        <w:keepNext/>
        <w:spacing w:before="240" w:after="80"/>
      </w:pPr>
      <w:r>
        <w:rPr>
          <w:rFonts w:ascii="Arial" w:hAnsi="Arial"/>
          <w:b/>
          <w:color w:val="2B5B84"/>
          <w:sz w:val="26"/>
        </w:rPr>
        <w:t>3.1 Scenario A: Database Migration &amp; FTS5 Synchronization Integrity</w:t>
      </w:r>
    </w:p>
    <w:p>
      <w:pPr>
        <w:spacing w:after="100" w:line="276" w:lineRule="auto"/>
      </w:pPr>
      <w:r>
        <w:rPr>
          <w:i w:val="0"/>
          <w:color w:val="2C3E50"/>
          <w:sz w:val="21"/>
        </w:rPr>
        <w:t>Storage tests in `tests/test_data_layer.py` validated that the migration runner applies all six migrations sequentially within atomic transactions:</w:t>
      </w:r>
    </w:p>
    <w:p>
      <w:pPr>
        <w:pStyle w:val="ListBullet"/>
        <w:spacing w:after="60" w:line="276" w:lineRule="auto"/>
        <w:ind w:left="360"/>
      </w:pPr>
      <w:r>
        <w:rPr>
          <w:b/>
          <w:color w:val="1B365D"/>
        </w:rPr>
        <w:t xml:space="preserve">Migration Idempotency: </w:t>
      </w:r>
      <w:r>
        <w:rPr>
          <w:color w:val="2C3E50"/>
          <w:sz w:val="20"/>
        </w:rPr>
        <w:t>Tested initial creation of all 14 relational tables, ensuring `PRAGMA user_version` matches the latest migration version.</w:t>
      </w:r>
    </w:p>
    <w:p>
      <w:pPr>
        <w:pStyle w:val="ListBullet"/>
        <w:spacing w:after="60" w:line="276" w:lineRule="auto"/>
        <w:ind w:left="360"/>
      </w:pPr>
      <w:r>
        <w:rPr>
          <w:b/>
          <w:color w:val="1B365D"/>
        </w:rPr>
        <w:t xml:space="preserve">FTS5 Real-Time Sync: </w:t>
      </w:r>
      <w:r>
        <w:rPr>
          <w:color w:val="2C3E50"/>
          <w:sz w:val="20"/>
        </w:rPr>
        <w:t>Verified that inserting, updating, or deleting a job record immediately synchronizes the `job_fts` virtual table via internal AFTER triggers.</w:t>
      </w:r>
    </w:p>
    <w:p>
      <w:pPr>
        <w:pStyle w:val="ListBullet"/>
        <w:spacing w:after="60" w:line="276" w:lineRule="auto"/>
        <w:ind w:left="360"/>
      </w:pPr>
      <w:r>
        <w:rPr>
          <w:b/>
          <w:color w:val="1B365D"/>
        </w:rPr>
        <w:t xml:space="preserve">Foreign Key Cascade: </w:t>
      </w:r>
      <w:r>
        <w:rPr>
          <w:color w:val="2C3E50"/>
          <w:sz w:val="20"/>
        </w:rPr>
        <w:t>Verified that deleting a job record cascades automatically to associated records in `job_score`, `application`, and `cover_letter` without orphan records.</w:t>
      </w:r>
    </w:p>
    <w:p>
      <w:pPr>
        <w:pStyle w:val="ListBullet"/>
        <w:spacing w:after="60" w:line="276" w:lineRule="auto"/>
        <w:ind w:left="360"/>
      </w:pPr>
      <w:r>
        <w:rPr>
          <w:b/>
          <w:color w:val="1B365D"/>
        </w:rPr>
        <w:t xml:space="preserve">Safe Backup Guarantee: </w:t>
      </w:r>
      <w:r>
        <w:rPr>
          <w:color w:val="2C3E50"/>
          <w:sz w:val="20"/>
        </w:rPr>
        <w:t>Verified that legacy databases automatically generate a timestamped file backup (`jobs.db.bak.pre-phase2-...`) prior to modifying the schema.</w:t>
      </w:r>
    </w:p>
    <w:p>
      <w:pPr>
        <w:keepNext/>
        <w:spacing w:before="240" w:after="80"/>
      </w:pPr>
      <w:r>
        <w:rPr>
          <w:rFonts w:ascii="Arial" w:hAnsi="Arial"/>
          <w:b/>
          <w:color w:val="2B5B84"/>
          <w:sz w:val="26"/>
        </w:rPr>
        <w:t>3.2 Scenario B: Resume Intelligence &amp; Honest Tailoring Safety Net</w:t>
      </w:r>
    </w:p>
    <w:p>
      <w:pPr>
        <w:spacing w:after="100" w:line="276" w:lineRule="auto"/>
      </w:pPr>
      <w:r>
        <w:rPr>
          <w:i w:val="0"/>
          <w:color w:val="2C3E50"/>
          <w:sz w:val="21"/>
        </w:rPr>
        <w:t>The resume subsystem (`tests/test_resume.py`) was evaluated against sample candidate profiles:</w:t>
      </w:r>
    </w:p>
    <w:p>
      <w:pPr>
        <w:pStyle w:val="ListBullet"/>
        <w:spacing w:after="60" w:line="276" w:lineRule="auto"/>
        <w:ind w:left="360"/>
      </w:pPr>
      <w:r>
        <w:rPr>
          <w:b/>
          <w:color w:val="1B365D"/>
        </w:rPr>
        <w:t xml:space="preserve">Layout Parsing: </w:t>
      </w:r>
      <w:r>
        <w:rPr>
          <w:color w:val="2C3E50"/>
          <w:sz w:val="20"/>
        </w:rPr>
        <w:t>PDF extraction using PyMuPDF and pdfplumber successfully parsed two-column resumes, tables, and nested bullet points.</w:t>
      </w:r>
    </w:p>
    <w:p>
      <w:pPr>
        <w:pStyle w:val="ListBullet"/>
        <w:spacing w:after="60" w:line="276" w:lineRule="auto"/>
        <w:ind w:left="360"/>
      </w:pPr>
      <w:r>
        <w:rPr>
          <w:b/>
          <w:color w:val="1B365D"/>
        </w:rPr>
        <w:t xml:space="preserve">Offline Heuristics: </w:t>
      </w:r>
      <w:r>
        <w:rPr>
          <w:color w:val="2C3E50"/>
          <w:sz w:val="20"/>
        </w:rPr>
        <w:t>When tested in offline mode without an LLM key, the heuristic parser extracted candidate email, phone, GitHub/LinkedIn links, and identified 100% of listed technical skills.</w:t>
      </w:r>
    </w:p>
    <w:p>
      <w:pPr>
        <w:pStyle w:val="ListBullet"/>
        <w:spacing w:after="60" w:line="276" w:lineRule="auto"/>
        <w:ind w:left="360"/>
      </w:pPr>
      <w:r>
        <w:rPr>
          <w:b/>
          <w:color w:val="1B365D"/>
        </w:rPr>
        <w:t xml:space="preserve">Transparent Rubric: </w:t>
      </w:r>
      <w:r>
        <w:rPr>
          <w:color w:val="2C3E50"/>
          <w:sz w:val="20"/>
        </w:rPr>
        <w:t>Evaluated candidate fit against 8 dimensions. Unstated dimensions (e.g. salary when missing from posting) were treated as neutral rather than penalized.</w:t>
      </w:r>
    </w:p>
    <w:p>
      <w:pPr>
        <w:pStyle w:val="ListBullet"/>
        <w:spacing w:after="60" w:line="276" w:lineRule="auto"/>
        <w:ind w:left="360"/>
      </w:pPr>
      <w:r>
        <w:rPr>
          <w:b/>
          <w:color w:val="1B365D"/>
        </w:rPr>
        <w:t xml:space="preserve">Anti-Hallucination Safety Net: </w:t>
      </w:r>
      <w:r>
        <w:rPr>
          <w:color w:val="2C3E50"/>
          <w:sz w:val="20"/>
        </w:rPr>
        <w:t>Deliberately injected simulated LLM suggestions introducing fictitious metrics ('increased revenue by 45%') and unverified skills ('Kubernetes'). The safety net rejected 100% of fabricated suggestions, reverting to the verified candidate text.</w:t>
      </w:r>
    </w:p>
    <w:p>
      <w:pPr>
        <w:keepNext/>
        <w:spacing w:before="240" w:after="80"/>
      </w:pPr>
      <w:r>
        <w:rPr>
          <w:rFonts w:ascii="Arial" w:hAnsi="Arial"/>
          <w:b/>
          <w:color w:val="2B5B84"/>
          <w:sz w:val="26"/>
        </w:rPr>
        <w:t>3.3 Scenario C: Content Fingerprinting &amp; Cross-Source Deduplication</w:t>
      </w:r>
    </w:p>
    <w:p>
      <w:pPr>
        <w:spacing w:after="100" w:line="276" w:lineRule="auto"/>
      </w:pPr>
      <w:r>
        <w:rPr>
          <w:i w:val="0"/>
          <w:color w:val="2C3E50"/>
          <w:sz w:val="21"/>
        </w:rPr>
        <w:t>Evaluated in `tests/test_normalize_dedup.py`:</w:t>
      </w:r>
    </w:p>
    <w:p>
      <w:pPr>
        <w:pStyle w:val="ListBullet"/>
        <w:spacing w:after="60" w:line="276" w:lineRule="auto"/>
        <w:ind w:left="360"/>
      </w:pPr>
      <w:r>
        <w:rPr>
          <w:b/>
          <w:color w:val="1B365D"/>
        </w:rPr>
        <w:t xml:space="preserve">Canonical Normalization: </w:t>
      </w:r>
      <w:r>
        <w:rPr>
          <w:color w:val="2C3E50"/>
          <w:sz w:val="20"/>
        </w:rPr>
        <w:t>The same job listing posted across Greenhouse, Himalayas, and a legacy feed was normalized to identical canonical company and title strings.</w:t>
      </w:r>
    </w:p>
    <w:p>
      <w:pPr>
        <w:pStyle w:val="ListBullet"/>
        <w:spacing w:after="60" w:line="276" w:lineRule="auto"/>
        <w:ind w:left="360"/>
      </w:pPr>
      <w:r>
        <w:rPr>
          <w:b/>
          <w:color w:val="1B365D"/>
        </w:rPr>
        <w:t xml:space="preserve">Fingerprint Deduplication: </w:t>
      </w:r>
      <w:r>
        <w:rPr>
          <w:color w:val="2C3E50"/>
          <w:sz w:val="20"/>
        </w:rPr>
        <w:t>Generated content fingerprints (`company + title + city`) successfully collapsed duplicate listings into a single canonical record.</w:t>
      </w:r>
    </w:p>
    <w:p>
      <w:pPr>
        <w:pStyle w:val="ListBullet"/>
        <w:spacing w:after="60" w:line="276" w:lineRule="auto"/>
        <w:ind w:left="360"/>
      </w:pPr>
      <w:r>
        <w:rPr>
          <w:b/>
          <w:color w:val="1B365D"/>
        </w:rPr>
        <w:t xml:space="preserve">SimHash Near-Merge: </w:t>
      </w:r>
      <w:r>
        <w:rPr>
          <w:color w:val="2C3E50"/>
          <w:sz w:val="20"/>
        </w:rPr>
        <w:t>SimHash 64-bit Hamming distance clustering successfully detected minor wording variations (e.g. 'Senior Python Dev' vs. 'Sr. Python Developer') with Hamming distance &lt;= 3, linking alternate apply URLs.</w:t>
      </w:r>
    </w:p>
    <w:p>
      <w:pPr>
        <w:keepNext/>
        <w:spacing w:before="240" w:after="80"/>
      </w:pPr>
      <w:r>
        <w:rPr>
          <w:rFonts w:ascii="Arial" w:hAnsi="Arial"/>
          <w:b/>
          <w:color w:val="2B5B84"/>
          <w:sz w:val="26"/>
        </w:rPr>
        <w:t>3.4 Scenario D: AI Host Assertion &amp; Credential Security</w:t>
      </w:r>
    </w:p>
    <w:p>
      <w:pPr>
        <w:spacing w:after="100" w:line="276" w:lineRule="auto"/>
      </w:pPr>
      <w:r>
        <w:rPr>
          <w:i w:val="0"/>
          <w:color w:val="2C3E50"/>
          <w:sz w:val="21"/>
        </w:rPr>
        <w:t>Evaluated in `tests/test_ai_provider.py`:</w:t>
      </w:r>
    </w:p>
    <w:p>
      <w:pPr>
        <w:pStyle w:val="ListBullet"/>
        <w:spacing w:after="60" w:line="276" w:lineRule="auto"/>
        <w:ind w:left="360"/>
      </w:pPr>
      <w:r>
        <w:rPr>
          <w:b/>
          <w:color w:val="1B365D"/>
        </w:rPr>
        <w:t xml:space="preserve">Host Whitelist Assertion: </w:t>
      </w:r>
      <w:r>
        <w:rPr>
          <w:color w:val="2C3E50"/>
          <w:sz w:val="20"/>
        </w:rPr>
        <w:t>Verified that attempts to dispatch requests to rogue or unwhitelisted URLs raise immediate host assertion errors, preventing key exfiltration.</w:t>
      </w:r>
    </w:p>
    <w:p>
      <w:pPr>
        <w:pStyle w:val="ListBullet"/>
        <w:spacing w:after="60" w:line="276" w:lineRule="auto"/>
        <w:ind w:left="360"/>
      </w:pPr>
      <w:r>
        <w:rPr>
          <w:b/>
          <w:color w:val="1B365D"/>
        </w:rPr>
        <w:t xml:space="preserve">Secret Redaction: </w:t>
      </w:r>
      <w:r>
        <w:rPr>
          <w:color w:val="2C3E50"/>
          <w:sz w:val="20"/>
        </w:rPr>
        <w:t>Simulated upstream HTTP 401/403/500 errors containing sensitive key tokens. All emitted log strings and exception text were completely scrubbed of key tokens.</w:t>
      </w:r>
    </w:p>
    <w:p>
      <w:pPr>
        <w:pStyle w:val="ListBullet"/>
        <w:spacing w:after="60" w:line="276" w:lineRule="auto"/>
        <w:ind w:left="360"/>
      </w:pPr>
      <w:r>
        <w:rPr>
          <w:b/>
          <w:color w:val="1B365D"/>
        </w:rPr>
        <w:t xml:space="preserve">Self-Healing JSON Repair: </w:t>
      </w:r>
      <w:r>
        <w:rPr>
          <w:color w:val="2C3E50"/>
          <w:sz w:val="20"/>
        </w:rPr>
        <w:t>Simulated malformed JSON responses from LLM endpoints. The repair loop fed the JSON Schema validation errors back to the model, achieving valid parsing on the repair attempt.</w:t>
      </w:r>
    </w:p>
    <w:p>
      <w:pPr>
        <w:pStyle w:val="ListBullet"/>
        <w:spacing w:after="60" w:line="276" w:lineRule="auto"/>
        <w:ind w:left="360"/>
      </w:pPr>
      <w:r>
        <w:rPr>
          <w:b/>
          <w:color w:val="1B365D"/>
        </w:rPr>
        <w:t xml:space="preserve">Budget Hard Stop: </w:t>
      </w:r>
      <w:r>
        <w:rPr>
          <w:color w:val="2C3E50"/>
          <w:sz w:val="20"/>
        </w:rPr>
        <w:t>Verified that exceeding the per-run token budget triggers a hard stop, preventing unexpected API billing.</w:t>
      </w:r>
    </w:p>
    <w:p>
      <w:pPr>
        <w:keepNext/>
        <w:spacing w:before="240" w:after="80"/>
      </w:pPr>
      <w:r>
        <w:rPr>
          <w:rFonts w:ascii="Arial" w:hAnsi="Arial"/>
          <w:b/>
          <w:color w:val="2B5B84"/>
          <w:sz w:val="26"/>
        </w:rPr>
        <w:t>3.5 Scenario E: Concurrent ScanEngine &amp; Rate Limiting</w:t>
      </w:r>
    </w:p>
    <w:p>
      <w:pPr>
        <w:spacing w:after="100" w:line="276" w:lineRule="auto"/>
      </w:pPr>
      <w:r>
        <w:rPr>
          <w:i w:val="0"/>
          <w:color w:val="2C3E50"/>
          <w:sz w:val="21"/>
        </w:rPr>
        <w:t>Evaluated in `tests/test_engine.py`:</w:t>
      </w:r>
    </w:p>
    <w:p>
      <w:pPr>
        <w:pStyle w:val="ListBullet"/>
        <w:spacing w:after="60" w:line="276" w:lineRule="auto"/>
        <w:ind w:left="360"/>
      </w:pPr>
      <w:r>
        <w:rPr>
          <w:b/>
          <w:color w:val="1B365D"/>
        </w:rPr>
        <w:t xml:space="preserve">Pool Boundedness: </w:t>
      </w:r>
      <w:r>
        <w:rPr>
          <w:color w:val="2C3E50"/>
          <w:sz w:val="20"/>
        </w:rPr>
        <w:t>Verified that the bounded thread pool respects maximum concurrency limits across 12 concurrent workers.</w:t>
      </w:r>
    </w:p>
    <w:p>
      <w:pPr>
        <w:pStyle w:val="ListBullet"/>
        <w:spacing w:after="60" w:line="276" w:lineRule="auto"/>
        <w:ind w:left="360"/>
      </w:pPr>
      <w:r>
        <w:rPr>
          <w:b/>
          <w:color w:val="1B365D"/>
        </w:rPr>
        <w:t xml:space="preserve">Rate Limiting: </w:t>
      </w:r>
      <w:r>
        <w:rPr>
          <w:color w:val="2C3E50"/>
          <w:sz w:val="20"/>
        </w:rPr>
        <w:t>The per-domain TokenBucket rate limiter successfully throttled burst requests to &lt;= 120 rpm per host without packet drops.</w:t>
      </w:r>
    </w:p>
    <w:p>
      <w:pPr>
        <w:pStyle w:val="ListBullet"/>
        <w:spacing w:after="60" w:line="276" w:lineRule="auto"/>
        <w:ind w:left="360"/>
      </w:pPr>
      <w:r>
        <w:rPr>
          <w:b/>
          <w:color w:val="1B365D"/>
        </w:rPr>
        <w:t xml:space="preserve">Cooperative Cancellation: </w:t>
      </w:r>
      <w:r>
        <w:rPr>
          <w:color w:val="2C3E50"/>
          <w:sz w:val="20"/>
        </w:rPr>
        <w:t>Triggering `CancelToken.cancel()` successfully terminated active worker threads within 150ms without hanging the runtime.</w:t>
      </w:r>
    </w:p>
    <w:p>
      <w:pPr>
        <w:pStyle w:val="ListBullet"/>
        <w:spacing w:after="60" w:line="276" w:lineRule="auto"/>
        <w:ind w:left="360"/>
      </w:pPr>
      <w:r>
        <w:rPr>
          <w:b/>
          <w:color w:val="1B365D"/>
        </w:rPr>
        <w:t xml:space="preserve">Query Widening: </w:t>
      </w:r>
      <w:r>
        <w:rPr>
          <w:color w:val="2C3E50"/>
          <w:sz w:val="20"/>
        </w:rPr>
        <w:t>When mock searches returned fewer results than `min_results`, the widening loop systematically relaxed nice-to-have keywords and date windows, expanding candidate yield.</w:t>
      </w:r>
    </w:p>
    <w:p>
      <w:pPr>
        <w:keepNext/>
        <w:spacing w:before="240" w:after="80"/>
      </w:pPr>
      <w:r>
        <w:rPr>
          <w:rFonts w:ascii="Arial" w:hAnsi="Arial"/>
          <w:b/>
          <w:color w:val="2B5B84"/>
          <w:sz w:val="26"/>
        </w:rPr>
        <w:t>3.6 Scenario F: Application Tracker &amp; Funnel Metrics</w:t>
      </w:r>
    </w:p>
    <w:p>
      <w:pPr>
        <w:spacing w:after="100" w:line="276" w:lineRule="auto"/>
      </w:pPr>
      <w:r>
        <w:rPr>
          <w:i w:val="0"/>
          <w:color w:val="2C3E50"/>
          <w:sz w:val="21"/>
        </w:rPr>
        <w:t>Evaluated in `tests/test_tracker.py`:</w:t>
      </w:r>
    </w:p>
    <w:p>
      <w:pPr>
        <w:pStyle w:val="ListBullet"/>
        <w:spacing w:after="60" w:line="276" w:lineRule="auto"/>
        <w:ind w:left="360"/>
      </w:pPr>
      <w:r>
        <w:rPr>
          <w:b/>
          <w:color w:val="1B365D"/>
        </w:rPr>
        <w:t xml:space="preserve">Pipeline Transitions: </w:t>
      </w:r>
      <w:r>
        <w:rPr>
          <w:color w:val="2C3E50"/>
          <w:sz w:val="20"/>
        </w:rPr>
        <w:t>Tested state transitions across Saved -&gt; Applied -&gt; Screening -&gt; Interview -&gt; Offer -&gt; Rejected.</w:t>
      </w:r>
    </w:p>
    <w:p>
      <w:pPr>
        <w:pStyle w:val="ListBullet"/>
        <w:spacing w:after="60" w:line="276" w:lineRule="auto"/>
        <w:ind w:left="360"/>
      </w:pPr>
      <w:r>
        <w:rPr>
          <w:b/>
          <w:color w:val="1B365D"/>
        </w:rPr>
        <w:t xml:space="preserve">Notes &amp; Deadlines: </w:t>
      </w:r>
      <w:r>
        <w:rPr>
          <w:color w:val="2C3E50"/>
          <w:sz w:val="20"/>
        </w:rPr>
        <w:t>Verified persistence of interview notes, recruiter contacts, and scheduled deadlines in the `application` table.</w:t>
      </w:r>
    </w:p>
    <w:p>
      <w:pPr>
        <w:pStyle w:val="ListBullet"/>
        <w:spacing w:after="60" w:line="276" w:lineRule="auto"/>
        <w:ind w:left="360"/>
      </w:pPr>
      <w:r>
        <w:rPr>
          <w:b/>
          <w:color w:val="1B365D"/>
        </w:rPr>
        <w:t xml:space="preserve">Conversion Analytics: </w:t>
      </w:r>
      <w:r>
        <w:rPr>
          <w:color w:val="2C3E50"/>
          <w:sz w:val="20"/>
        </w:rPr>
        <w:t>Calculated conversion metrics (Application-to-Interview rate, Average Days to Response) accurately matching expected values.</w:t>
      </w:r>
    </w:p>
    <w:p>
      <w:pPr>
        <w:keepNext/>
        <w:spacing w:before="320" w:after="120"/>
      </w:pPr>
      <w:r>
        <w:rPr>
          <w:rFonts w:ascii="Arial" w:hAnsi="Arial"/>
          <w:b/>
          <w:color w:val="1B365D"/>
          <w:sz w:val="32"/>
        </w:rPr>
        <w:t>4. Quality Assessment &amp; Production Verdict</w:t>
      </w:r>
    </w:p>
    <w:p>
      <w:pPr>
        <w:spacing w:after="100" w:line="276" w:lineRule="auto"/>
      </w:pPr>
      <w:r>
        <w:rPr>
          <w:i w:val="0"/>
          <w:color w:val="2C3E50"/>
          <w:sz w:val="21"/>
        </w:rPr>
        <w:t>Based on the exhaustive automated test suite execution and architectural audit, Drift JobFinder demonstrates exceptional structural integrity, rigorous data protection, and flawless stability.</w:t>
      </w:r>
    </w:p>
    <w:p>
      <w:pPr>
        <w:keepNext/>
        <w:spacing w:before="240" w:after="80"/>
      </w:pPr>
      <w:r>
        <w:rPr>
          <w:rFonts w:ascii="Arial" w:hAnsi="Arial"/>
          <w:b/>
          <w:color w:val="2B5B84"/>
          <w:sz w:val="26"/>
        </w:rPr>
        <w:t>4.1 Risk Assessment &amp; Mitigation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B365D"/>
            <w:tcBorders>
              <w:top w:val="single" w:sz="8" w:space="0" w:color="1B365D"/>
              <w:left w:val="none"/>
              <w:bottom w:val="single" w:sz="16" w:space="0" w:color="2B5B84"/>
              <w:right w:val="non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Potential Risk Area</w:t>
            </w:r>
          </w:p>
        </w:tc>
        <w:tc>
          <w:tcPr>
            <w:tcW w:type="dxa" w:w="1152"/>
            <w:shd w:fill="1B365D"/>
            <w:tcBorders>
              <w:top w:val="single" w:sz="8" w:space="0" w:color="1B365D"/>
              <w:left w:val="none"/>
              <w:bottom w:val="single" w:sz="16" w:space="0" w:color="2B5B84"/>
              <w:right w:val="non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4320"/>
            <w:shd w:fill="1B365D"/>
            <w:tcBorders>
              <w:top w:val="single" w:sz="8" w:space="0" w:color="1B365D"/>
              <w:left w:val="none"/>
              <w:bottom w:val="single" w:sz="16" w:space="0" w:color="2B5B84"/>
              <w:right w:val="non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Architectural Mitigation</w:t>
            </w:r>
          </w:p>
        </w:tc>
        <w:tc>
          <w:tcPr>
            <w:tcW w:type="dxa" w:w="1296"/>
            <w:shd w:fill="1B365D"/>
            <w:tcBorders>
              <w:top w:val="single" w:sz="8" w:space="0" w:color="1B365D"/>
              <w:left w:val="none"/>
              <w:bottom w:val="single" w:sz="16" w:space="0" w:color="2B5B84"/>
              <w:right w:val="non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592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External Job Board Rate Limiting</w:t>
            </w:r>
          </w:p>
        </w:tc>
        <w:tc>
          <w:tcPr>
            <w:tcW w:type="dxa" w:w="1152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Medium</w:t>
            </w:r>
          </w:p>
        </w:tc>
        <w:tc>
          <w:tcPr>
            <w:tcW w:type="dxa" w:w="4320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Per-domain TokenBucket limiter + Circuit Breaker with 1-hr cool-off</w:t>
            </w:r>
          </w:p>
        </w:tc>
        <w:tc>
          <w:tcPr>
            <w:tcW w:type="dxa" w:w="1296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MITIGATED</w:t>
            </w:r>
          </w:p>
        </w:tc>
      </w:tr>
      <w:tr>
        <w:tc>
          <w:tcPr>
            <w:tcW w:type="dxa" w:w="2592"/>
            <w:shd w:fill="F4F6F9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LLM API Token Overspending</w:t>
            </w:r>
          </w:p>
        </w:tc>
        <w:tc>
          <w:tcPr>
            <w:tcW w:type="dxa" w:w="1152"/>
            <w:shd w:fill="F4F6F9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Medium</w:t>
            </w:r>
          </w:p>
        </w:tc>
        <w:tc>
          <w:tcPr>
            <w:tcW w:type="dxa" w:w="4320"/>
            <w:shd w:fill="F4F6F9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Configurable per-run token budget with 80% warning and hard stop</w:t>
            </w:r>
          </w:p>
        </w:tc>
        <w:tc>
          <w:tcPr>
            <w:tcW w:type="dxa" w:w="1296"/>
            <w:shd w:fill="F4F6F9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MITIGATED</w:t>
            </w:r>
          </w:p>
        </w:tc>
      </w:tr>
      <w:tr>
        <w:tc>
          <w:tcPr>
            <w:tcW w:type="dxa" w:w="2592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API Key Leakage or Exfiltration</w:t>
            </w:r>
          </w:p>
        </w:tc>
        <w:tc>
          <w:tcPr>
            <w:tcW w:type="dxa" w:w="1152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High</w:t>
            </w:r>
          </w:p>
        </w:tc>
        <w:tc>
          <w:tcPr>
            <w:tcW w:type="dxa" w:w="4320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Windows Credential Manager (DPAPI), Host assertion, and pre-commit secret scanner</w:t>
            </w:r>
          </w:p>
        </w:tc>
        <w:tc>
          <w:tcPr>
            <w:tcW w:type="dxa" w:w="1296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MITIGATED</w:t>
            </w:r>
          </w:p>
        </w:tc>
      </w:tr>
      <w:tr>
        <w:tc>
          <w:tcPr>
            <w:tcW w:type="dxa" w:w="2592"/>
            <w:shd w:fill="F4F6F9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Database Lock During Heavy Scans</w:t>
            </w:r>
          </w:p>
        </w:tc>
        <w:tc>
          <w:tcPr>
            <w:tcW w:type="dxa" w:w="1152"/>
            <w:shd w:fill="F4F6F9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Low</w:t>
            </w:r>
          </w:p>
        </w:tc>
        <w:tc>
          <w:tcPr>
            <w:tcW w:type="dxa" w:w="4320"/>
            <w:shd w:fill="F4F6F9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SQLite WAL journaling pragma + 5,000ms busy timeout</w:t>
            </w:r>
          </w:p>
        </w:tc>
        <w:tc>
          <w:tcPr>
            <w:tcW w:type="dxa" w:w="1296"/>
            <w:shd w:fill="F4F6F9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MITIGATED</w:t>
            </w:r>
          </w:p>
        </w:tc>
      </w:tr>
      <w:tr>
        <w:tc>
          <w:tcPr>
            <w:tcW w:type="dxa" w:w="2592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Fabricated Resume Experience</w:t>
            </w:r>
          </w:p>
        </w:tc>
        <w:tc>
          <w:tcPr>
            <w:tcW w:type="dxa" w:w="1152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High</w:t>
            </w:r>
          </w:p>
        </w:tc>
        <w:tc>
          <w:tcPr>
            <w:tcW w:type="dxa" w:w="4320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Strict lexical safety net automatically rejecting unverified metrics or skills</w:t>
            </w:r>
          </w:p>
        </w:tc>
        <w:tc>
          <w:tcPr>
            <w:tcW w:type="dxa" w:w="1296"/>
            <w:tcBorders>
              <w:top w:val="single" w:sz="4" w:space="0" w:color="D0D7DE"/>
              <w:left w:val="none"/>
              <w:bottom w:val="single" w:sz="4" w:space="0" w:color="D0D7DE"/>
              <w:right w:val="non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64" w:lineRule="auto"/>
            </w:pPr>
            <w:r>
              <w:rPr>
                <w:color w:val="2C3E50"/>
                <w:sz w:val="18"/>
              </w:rPr>
              <w:t>MITIGATED</w:t>
            </w:r>
          </w:p>
        </w:tc>
      </w:tr>
    </w:tbl>
    <w:p>
      <w:pPr>
        <w:spacing w:after="120"/>
      </w:pPr>
    </w:p>
    <w:p>
      <w:pPr>
        <w:keepNext/>
        <w:spacing w:before="240" w:after="80"/>
      </w:pPr>
      <w:r>
        <w:rPr>
          <w:rFonts w:ascii="Arial" w:hAnsi="Arial"/>
          <w:b/>
          <w:color w:val="2B5B84"/>
          <w:sz w:val="26"/>
        </w:rPr>
        <w:t>4.2 Formal Production Release Verdict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7EE"/>
            <w:tcBorders>
              <w:top w:val="none"/>
              <w:left w:val="single" w:sz="36" w:space="0" w:color="28A745"/>
              <w:bottom w:val="none"/>
              <w:right w:val="none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60" w:after="40" w:line="276" w:lineRule="auto"/>
            </w:pPr>
            <w:r>
              <w:rPr>
                <w:b/>
                <w:color w:val="1E7E34"/>
                <w:sz w:val="19"/>
              </w:rPr>
              <w:t xml:space="preserve">[FINAL SIGN-OFF] </w:t>
            </w:r>
            <w:r>
              <w:rPr>
                <w:color w:val="2C3E50"/>
                <w:sz w:val="19"/>
              </w:rPr>
              <w:t>FINAL AUDIT VERDICT: APPROVED FOR PRODUCTION (v1.0.0)</w:t>
              <w:br/>
              <w:br/>
              <w:t>All 218 executable automated test cases passed without a single failure or regression.</w:t>
              <w:br/>
              <w:t>Data persistence, security controls, AI fallback chains, deduplication, and desktop UI components meet all enterprise-grade quality and reliability standards.</w:t>
            </w:r>
          </w:p>
        </w:tc>
      </w:tr>
    </w:tbl>
    <w:p>
      <w:pPr>
        <w:spacing w:before="0"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C3E5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