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Курсовой проект · первый рубежный контроль</w:t>
      </w:r>
    </w:p>
    <w:p>
      <w:pPr>
        <w:pStyle w:val="Heading2"/>
      </w:pPr>
      <w:r>
        <w:t>Анализ данных строительных инспекций для приоритизации контроля</w:t>
      </w:r>
    </w:p>
    <w:p>
      <w:r>
        <w:t>Тема проекта: «Автоматизация строительного контроля и управления качеством СМР». Автор: Медиханов Тимур. Аналитическая часть самостоятельного учебного проекта. Связь с дипломом не заявляется.</w:t>
      </w:r>
    </w:p>
    <w:p>
      <w:r>
        <w:t>Дата подготовки: 9 октября 2026 года. Источник: Chicago Building Violations, Chicago Data Portal, набор 22u3-xenr.</w:t>
      </w:r>
    </w:p>
    <w:p>
      <w:pPr>
        <w:pStyle w:val="Heading2"/>
      </w:pPr>
      <w:r>
        <w:t>Аннотация</w:t>
      </w:r>
    </w:p>
    <w:p>
      <w:r>
        <w:t>Исследован полный доступный снимок из 2 032 070 записей нарушения и 26 полей. После объединения записей по номеру инспекции и отбора однозначных результатов получено 357 763 наблюдений для бинарной классификации. Проведены аудит качества по восьми пунктам, разведочный анализ с семью графиками и сравнение константной модели с логистической регрессией на временном тесте.</w:t>
      </w:r>
    </w:p>
    <w:p>
      <w:r>
        <w:t>На 2025 годе Average Precision логистической модели составляет 0.928; у константной точки отсчёта — 0.794. Предварительный критерий успеха достигнут. Результат относится к зарегистрированным в архиве инспекциям и требует проверки на локальных данных перед практическим использованием.</w:t>
      </w:r>
    </w:p>
    <w:p>
      <w:pPr>
        <w:pStyle w:val="Heading2"/>
      </w:pPr>
      <w:r>
        <w:t>Состав сдаваемого результата</w:t>
      </w:r>
    </w:p>
    <w:p>
      <w:r>
        <w:t>Постановка задачи; паспорт источника; восемь проверок качества; EDA с выводами; baseline; план дальнейшей работы и риски. Код, notebook, таблицы, графики и материалы размещены в репозитории. Разработка ERP-приложения и внедрение не входят в оценку этой работы.</w:t>
      </w:r>
    </w:p>
    <w:p>
      <w:r>
        <w:br w:type="page"/>
      </w:r>
    </w:p>
    <w:p>
      <w:pPr>
        <w:pStyle w:val="Heading1"/>
      </w:pPr>
      <w:r>
        <w:t>1. Постановка задачи и критерий успеха</w:t>
      </w:r>
    </w:p>
    <w:p>
      <w:r>
        <w:t>Пользователь результата — руководитель службы строительного контроля или координатор инспекций. Его решение — какие из уже запланированных проверок требуют более раннего внимания и дополнительной подготовки. Выход аналитики — вероятность FAILED и очередь приоритетов; решение о результатах самой проверки принимает инспектор.</w:t>
      </w:r>
    </w:p>
    <w:p>
      <w:r>
        <w:t>Единица наблюдения — инспекция, определённая inspection_number. Цель — оценить P(FAILED | метаданные запланированной инспекции) среди наблюдений с однозначным FAILED или PASSED, представленных в журнале нарушений. Задача является бинарной классификацией с последующим ранжированием.</w:t>
      </w:r>
    </w:p>
    <w:p>
      <w:r>
        <w:t>Предполагаемый момент прогноза — до осмотра. На входе: назначенная служба, категория проверки, календарная дата и известные координаты объекта. Их доступность в реальной системе пока не подтверждена. Текущий статус, список нарушений и результат устранения не используются.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Ошибка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Практическое последствие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Учебная цена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FN: FAILED предсказан как PASSED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Проблемная проверка получает низкий приоритет; задержка реакции и дополнительной подготовки.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5 условных единиц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FP: PASSED предсказан как FAILED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Лишнее внимание и расход ограниченного времени специалиста.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 условная единица</w:t>
            </w:r>
          </w:p>
        </w:tc>
      </w:tr>
    </w:tbl>
    <w:p>
      <w:pPr>
        <w:spacing w:after="0"/>
      </w:pPr>
    </w:p>
    <w:p>
      <w:r>
        <w:t>Соотношение 5:1 — учебная гипотеза, а не измеренный денежный ущерб и не экспертная оценка. Оно применяется одинаково к обеим моделям. Без подтверждения стоимости и доступной мощности проверок оптимальный порог нельзя считать операционным решением.</w:t>
      </w:r>
    </w:p>
    <w:p>
      <w:r>
        <w:t>Предварительный критерий: на отложенном годе AP выше константного baseline минимум на 0.05, recall FAILED не ниже 0.80, precision не ниже доли FAILED на этом тесте. Порог выбирается только на validation по минимуму (5×FN+FP)/N. AP оценивает ранжирование, recall — пропуск проблемных проверок, precision — расход внимания.</w:t>
      </w:r>
    </w:p>
    <w:p>
      <w:r>
        <w:br w:type="page"/>
      </w:r>
    </w:p>
    <w:p>
      <w:pPr>
        <w:pStyle w:val="Heading1"/>
      </w:pPr>
      <w:r>
        <w:t>2. Источник, формат и ограничения доступа</w:t>
      </w:r>
    </w:p>
    <w:p>
      <w:r>
        <w:t>Первичный источник — Department of Buildings города Чикаго. Владелец публикует исторические записи нарушений с 2006 года; несколько нарушений могут относиться к одной инспекции. Данные носят информационный характер и могут не отражать текущее состояние здания [1].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Источник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data.cityofchicago.org · 22u3-xenr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Строк / полей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2 032 070 / 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Период событий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2006-01-01 — 2026-10-08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Групп объектов / номеров инспекции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155 788 / 470 576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Различных кодов нарушения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1 574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CSV / Parquet ZSTD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931.3 / 94.7 МБ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Скачано (Asia/Almaty)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2026-10-09 16:48:53</w:t>
            </w:r>
          </w:p>
        </w:tc>
      </w:tr>
    </w:tbl>
    <w:p>
      <w:pPr>
        <w:spacing w:after="0"/>
      </w:pPr>
    </w:p>
    <w:p>
      <w:r>
        <w:t>Формат исходного экспорта — CSV UTF-8, 26 полей, даты представлены текстом. Для вычислений используется Parquet с явными типами и сжатием ZSTD. Открытый CSV экспорт скачан без учётной записи и без API-токена. Интернет требуется для получения нового снимка; после загрузки расчёты выполняются локально.</w:t>
      </w:r>
    </w:p>
    <w:p>
      <w:r>
        <w:t>Ключевые поля: ID — запись нарушения; inspection_number — связь записей проверки; property_group — группа объектов; violation_date — дата события, используемая как приближение даты инспекции; inspection_status — наблюдаемый результат; department_bureau и inspection_category — организационный контекст; latitude/longitude — география.</w:t>
      </w:r>
    </w:p>
    <w:p>
      <w:r>
        <w:t>Ограничения: источник изменяется; сервер может ограничить частоту запросов, а исторические статусы могут обновляться. Для повторения чисел сохранены SHA-256, время загрузки, метаданные и компактная таблица инспекций. Адреса и комментарии не нужны модели и не включены в компактную таблицу. Открытость источника не означает наличие подтверждённой свободной лицензии: новая лицензия на чужие данные не назначается.</w:t>
      </w:r>
    </w:p>
    <w:p>
      <w:r>
        <w:br w:type="page"/>
      </w:r>
    </w:p>
    <w:p>
      <w:pPr>
        <w:pStyle w:val="Heading1"/>
      </w:pPr>
      <w:r>
        <w:t>3. Качество данных: пункты 1–4</w:t>
      </w:r>
    </w:p>
    <w:p>
      <w:r>
        <w:t>Чек-лист преподавателя в предоставленном задании не раскрыт. Ниже применён стандартный аналитический чек-лист из восьми пунктов; это явное допущение проекта. Все количественные проверки выполнены на полном загруженном CSV, без подвыборки. Подробная машинная сводка — reports/quality.json.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Измеренный результат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1. Структура и типы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26 полей; ошибки разбора дат: 0.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Явные типы, строгий CSV-парсер; потеря строк не допускается.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2. Полнота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Без ключей: 0; без координат: 2 020.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Пропуски считаются по всем полям; координаты импутируются внутри train.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3. Уникальность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Повторы ID: 0; полные повторы: 0.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ID нарушения и номер инспекции имеют разную гранулярность.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4. Допустимые значения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Некорректных дат: 0; координат вне рамки: 0.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Даты 2006–09.10.2026; грубая рамка 41.6–42.1 / −88–−87.5.</w:t>
            </w:r>
          </w:p>
        </w:tc>
      </w:tr>
    </w:tbl>
    <w:p>
      <w:pPr>
        <w:spacing w:after="0"/>
      </w:pPr>
    </w:p>
    <w:p>
      <w:pPr>
        <w:pStyle w:val="Heading2"/>
      </w:pPr>
      <w:r>
        <w:t>Полнота и преобразование типов</w:t>
      </w:r>
    </w:p>
    <w:p>
      <w:r>
        <w:t>Пропуском считается NULL или пустая строка после удаления крайних пробелов. Даты разбираются по явным форматам; неудачные преобразования отдельно проверяются против исходного текста. CSV читается в строгом режиме: ignore_errors не используется, поэтому ошибочные строки не могут исчезнуть незаметно.</w:t>
      </w:r>
    </w:p>
    <w:p>
      <w:r>
        <w:t>Для признаков модели числовые пропуски заполняются медианой только обучающего периода, одновременно создаётся индикатор отсутствия значения. Категориальные пропуски обозначаются UNKNOWN. Пустые даты и ключи не имитируются искусственными значениями.</w:t>
      </w:r>
    </w:p>
    <w:p>
      <w:pPr>
        <w:pStyle w:val="Heading2"/>
      </w:pPr>
      <w:r>
        <w:t>Повторы и географические границы</w:t>
      </w:r>
    </w:p>
    <w:p>
      <w:r>
        <w:t>Совпадение inspection_number ожидаемо: это связь нескольких нарушений одной проверки, а не дубликат строки. При повторе ID сохраняется запись с самой поздней датой изменения. Координаты вне грубой рамки Чикаго заменяются пропуском, а сама инспекция сохраняется. Рамка — проверка здравого смысла, а не официальный полигон административной границы.</w:t>
      </w:r>
    </w:p>
    <w:p>
      <w:r>
        <w:br w:type="page"/>
      </w:r>
    </w:p>
    <w:p>
      <w:pPr>
        <w:pStyle w:val="Heading1"/>
      </w:pPr>
      <w:r>
        <w:t>3. Качество данных: пункты 5–8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Измеренный результат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5. Согласованность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Инспекций с разными датами: 41 744; обратных дат статуса: 0.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Проверка единства объекта, даты, службы, категории и статуса внутри инспекции.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6. Целевая метка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Бинарная выборка: 357 763; FAILED: 73.7%.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FAILED=1, PASSED=0; остальные статусы и конфликты исключены.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7. Репрезентативность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Один город; 155 788 групп объектов; 2026 неполный.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Архив нарушений не является полным реестром всех осмотров или СМР.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8. Утечка и время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Train ≤2023; validation 2024; test 2025; 8 исходных признаков.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Постфактум поля исключены; версии полей на момент осмотра недоступны.</w:t>
            </w:r>
          </w:p>
        </w:tc>
      </w:tr>
    </w:tbl>
    <w:p>
      <w:pPr>
        <w:spacing w:after="0"/>
      </w:pPr>
    </w:p>
    <w:p>
      <w:r>
        <w:t>Конфликт определяется как более одного непустого значения статуса, объекта, даты, службы или категории внутри inspection_number. Такие инспекции не используются для обучения: выбор первого или последнего значения без правила бизнес-процесса создавал бы произвольную разметку. Для EDA они сохранены с признаком ambiguous.</w:t>
      </w:r>
    </w:p>
    <w:p>
      <w:r>
        <w:t>Все 41 744 исключения связаны с разными violation_date внутри одной инспекции; по статусу, объекту, службе и категории противоречий не обнаружено. Это неоднозначность приближения даты, а не доказанная ошибка источника. Консервативный отбор может сместить выборку: чувствительность к этому правилу нужно проверить после получения реальной даты осмотра.</w:t>
      </w:r>
    </w:p>
    <w:p>
      <w:r>
        <w:t>FAILED и PASSED трактуются как наблюдаемые классы. CLOSED, HOLD и UNKNOWN не считаются успешной проверкой. Их число сохраняется в сводке, чтобы показать цену фильтрации. Условия отбора определены до обучения и одинаковы для всех периодов.</w:t>
      </w:r>
    </w:p>
    <w:p>
      <w:r>
        <w:t>Репрезентативность ограничена механизмом попадания в журнал. Полные данные о зданиях без зарегистрированных нарушений и полный журнал всех инспекций отсутствуют. Поэтому нельзя оценить общий риск любого здания города или автоматически переносить частоты на стройплощадки Казахстана.</w:t>
      </w:r>
    </w:p>
    <w:p>
      <w:r>
        <w:t>Утечка ограничена исключением текущих нарушений, комментариев, дат устранения, inspection_waived и результата проверки из признаков. Исторические target-агрегаты из прежнего notebook также исключены: последовательный порядок инспекций одного дня не подтверждает доступность их результатов. Остаточный риск — один современный снимок без версий полей на дату прогноза.</w:t>
      </w:r>
    </w:p>
    <w:p>
      <w:r>
        <w:br w:type="page"/>
      </w:r>
    </w:p>
    <w:p>
      <w:pPr>
        <w:pStyle w:val="Heading1"/>
      </w:pPr>
      <w:r>
        <w:t>4. Подготовка данных и аналитический протокол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Что выполняется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Выход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raw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Загрузка полного CSV; хеш; метаданные; строгий разбор; типизированный Parquet.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CSV и manifest.json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processed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Нормализация строк; дедупликация ID; проверка дат; агрегация; поиск конфликтов.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inspections.parquet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model data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Отбор FAILED/PASSED без конфликтов; календарные признаки; сохранение полей для аудита.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model_data.parquet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analysis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7 EDA-графиков; временное разделение; fit train; порог validation; оценка test.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JSON, CSV, PNG, SVG</w:t>
            </w:r>
          </w:p>
        </w:tc>
      </w:tr>
    </w:tbl>
    <w:p>
      <w:pPr>
        <w:spacing w:after="0"/>
      </w:pPr>
    </w:p>
    <w:p>
      <w:r>
        <w:t>Из 2 032 070 строк сформировано 470 576 инспекций с корректным номером и датой. Для бинарной задачи осталось 357 763; исключено 112 813 из-за неоднозначного статуса или конфликтующих атрибутов. По каждой инспекции сохранено число исходных записей.</w:t>
      </w:r>
    </w:p>
    <w:p>
      <w:r>
        <w:t>Дата инспекции приближена минимальной violation_date. Проверка единства даты внутри группы помогает обнаружить сомнительное соответствие, но не доказывает, что дата нарушения равна фактическому времени осмотра. Это ограничение должно быть снято полным реестром инспекций.</w:t>
      </w:r>
    </w:p>
    <w:p>
      <w:r>
        <w:t>Поля n_violations и n_codes применяются в разведочном анализе, поскольку отражают структуру регистрации. Они отсутствуют в списке входов baseline: до текущего осмотра неизвестно, сколько нарушений будет найдено. Адрес, ID нарушения и инспектор тоже исключены из модели.</w:t>
      </w:r>
    </w:p>
    <w:p>
      <w:r>
        <w:t>Код разделяет статистику по нарушениям и по инспекциям. Общие EDA-графики используют весь снимок; выбор порога и обучение никогда не используют test. EDA всего архива считается описанием данных, а не независимой проверкой гипотез.</w:t>
      </w:r>
    </w:p>
    <w:p>
      <w:r>
        <w:br w:type="page"/>
      </w:r>
    </w:p>
    <w:p>
      <w:pPr>
        <w:pStyle w:val="Heading1"/>
      </w:pPr>
      <w:r>
        <w:t>5. EDA: полнота и временной охват</w:t>
      </w:r>
    </w:p>
    <w:p>
      <w:r>
        <w:drawing>
          <wp:inline xmlns:a="http://schemas.openxmlformats.org/drawingml/2006/main" xmlns:pic="http://schemas.openxmlformats.org/drawingml/2006/picture">
            <wp:extent cx="5508000" cy="263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1_mi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3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Максимальная доля пропусков — 80.6% в ssa. Даты статуса, комментарии и SSA не включены в модель; координаты заполняются медианой только по train с индикатором пропуска.</w:t>
      </w:r>
    </w:p>
    <w:p>
      <w:r>
        <w:drawing>
          <wp:inline xmlns:a="http://schemas.openxmlformats.org/drawingml/2006/main" xmlns:pic="http://schemas.openxmlformats.org/drawingml/2006/picture">
            <wp:extent cx="5508000" cy="263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2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3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Максимум в архиве — 2006 год: 39,385 инспекций. 2026 год неполный и не используется как тест. Изменение объёма отражает и практику регистрации, поэтому не доказывает изменение качества зданий.</w:t>
      </w:r>
    </w:p>
    <w:p>
      <w:r>
        <w:t>Аналитический вывод: большой размер архива не устраняет систематические пропуски и изменение процесса регистрации. Доля отсутствующих значений измеряется отдельно от аномальных диапазонов; неполный последний год не сравнивается с полными годами как равный по экспозиции.</w:t>
      </w:r>
    </w:p>
    <w:p>
      <w:r>
        <w:br w:type="page"/>
      </w:r>
    </w:p>
    <w:p>
      <w:pPr>
        <w:pStyle w:val="Heading1"/>
      </w:pPr>
      <w:r>
        <w:t>5. EDA: метка и единица наблюдения</w:t>
      </w:r>
    </w:p>
    <w:p>
      <w:r>
        <w:drawing>
          <wp:inline xmlns:a="http://schemas.openxmlformats.org/drawingml/2006/main" xmlns:pic="http://schemas.openxmlformats.org/drawingml/2006/picture">
            <wp:extent cx="5508000" cy="263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3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3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В бинарной выборке FAILED составляет 73.7%. CLOSED, HOLD и UNKNOWN исключены: отсутствие FAILED не означает PASSED. Accuracy без метрик классов может скрывать пропуски проблемных проверок.</w:t>
      </w:r>
    </w:p>
    <w:p>
      <w:r>
        <w:drawing>
          <wp:inline xmlns:a="http://schemas.openxmlformats.org/drawingml/2006/main" xmlns:pic="http://schemas.openxmlformats.org/drawingml/2006/picture">
            <wp:extent cx="5508000" cy="263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4_gr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3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Медиана — 3 записи, 95-й перцентиль — 13, максимум — 538. Доля FAILED по строкам перевзвешивает инспекции с большим числом нарушений. Число нарушений текущей проверки используется только в EDA.</w:t>
      </w:r>
    </w:p>
    <w:p>
      <w:r>
        <w:t>Аналитический вывод: классифицировать следует инспекции, а не записи нарушения. Иначе сложные проверки получили бы больший вес, а записи одной проверки могли бы попасть одновременно в обучение и тест. Остальные статусы требуют отдельного исследования, а не автоматического превращения в отрицательный класс.</w:t>
      </w:r>
    </w:p>
    <w:p>
      <w:r>
        <w:br w:type="page"/>
      </w:r>
    </w:p>
    <w:p>
      <w:pPr>
        <w:pStyle w:val="Heading1"/>
      </w:pPr>
      <w:r>
        <w:t>5. EDA: различия служб</w:t>
      </w:r>
    </w:p>
    <w:p>
      <w:r>
        <w:drawing>
          <wp:inline xmlns:a="http://schemas.openxmlformats.org/drawingml/2006/main" xmlns:pic="http://schemas.openxmlformats.org/drawingml/2006/picture">
            <wp:extent cx="5760000" cy="30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5_burea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Среди 10 крупнейших служб доля FAILED меняется от 31.9% до 93.3%. Служба — кандидат в признаки, но различие может отражать процедуры учёта. Интервалы описательные и не учитывают зависимость повторных инспекций одного объекта.</w:t>
      </w:r>
    </w:p>
    <w:p>
      <w:pPr>
        <w:pStyle w:val="Heading2"/>
      </w:pPr>
      <w:r>
        <w:t>Интерпретация организационного контекста</w:t>
      </w:r>
    </w:p>
    <w:p>
      <w:r>
        <w:t>Сравниваются десять служб с наибольшим количеством наблюдений в бинарной выборке. На графике показаны доли FAILED и 95% интервалы Уилсона. Большие группы дают более узкий описательный интервал, но повторные проверки одного объекта нарушают независимость наблюдений.</w:t>
      </w:r>
    </w:p>
    <w:p>
      <w:r>
        <w:t>Различия служб могут объясняться содержанием процедур, составом объектов и тем, какие результаты попадают в журнал. Почти постоянный класс у отдельной службы — повод проверить семантику учёта; это не доказательство высокого или низкого качества работы службы.</w:t>
      </w:r>
    </w:p>
    <w:p>
      <w:r>
        <w:t>Служба и категория включены в простую модель как доступные метаданные. Следующая проверка — модель без этих полей, чтобы измерить, какая часть качества является следствием маршрутизации инспекций. Перенос между службами и городами должен оцениваться отдельно.</w:t>
      </w:r>
    </w:p>
    <w:p>
      <w:r>
        <w:t>Таблица bureau_rates.csv содержит число инспекций и долю FAILED для каждого отображённого подразделения. Она позволяет проверить, что вывод не основан на редкой группе из нескольких событий.</w:t>
      </w:r>
    </w:p>
    <w:p>
      <w:r>
        <w:br w:type="page"/>
      </w:r>
    </w:p>
    <w:p>
      <w:pPr>
        <w:pStyle w:val="Heading1"/>
      </w:pPr>
      <w:r>
        <w:t>5. EDA: сезонность и география</w:t>
      </w:r>
    </w:p>
    <w:p>
      <w:r>
        <w:drawing>
          <wp:inline xmlns:a="http://schemas.openxmlformats.org/drawingml/2006/main" xmlns:pic="http://schemas.openxmlformats.org/drawingml/2006/picture">
            <wp:extent cx="5508000" cy="263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6_sea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3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В полных годах месячная доля FAILED составляет 71.6%–74.7%. Месяц кодируется циклически; это ассоциация, смешанная с составом служб и лет, а не причинный эффект сезона.</w:t>
      </w:r>
    </w:p>
    <w:p>
      <w:r>
        <w:drawing>
          <wp:inline xmlns:a="http://schemas.openxmlformats.org/drawingml/2006/main" xmlns:pic="http://schemas.openxmlformats.org/drawingml/2006/picture">
            <wp:extent cx="5508000" cy="275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07_g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У 502 инспекций нет пригодных координат. Карта показывает интенсивность наблюдения в архиве, без нормировки на число зданий. География может помочь ранжированию, но не позволяет объявить район более опасным.</w:t>
      </w:r>
    </w:p>
    <w:p>
      <w:r>
        <w:t>Аналитический вывод: календарные и пространственные поля могут описывать состав и интенсивность проверок. Для оценки районного риска нужны внешние знаменатели: количество зданий, их возраст и полный реестр осмотров. В проекте причинные и территориальные выводы не заявляются.</w:t>
      </w:r>
    </w:p>
    <w:p>
      <w:r>
        <w:br w:type="page"/>
      </w:r>
    </w:p>
    <w:p>
      <w:pPr>
        <w:pStyle w:val="Heading1"/>
      </w:pPr>
      <w:r>
        <w:t>6. Baseline: признаки, модели и разделение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Выборка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Период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Инспекции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2006-01-01 — 2023-12-31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328 294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73.0%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2024-01-01 — 2024-12-31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10 594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76.9%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2025-01-01 — 2025-12-31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10 910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79.4%</w:t>
            </w:r>
          </w:p>
        </w:tc>
      </w:tr>
    </w:tbl>
    <w:p>
      <w:pPr>
        <w:spacing w:after="0"/>
      </w:pPr>
    </w:p>
    <w:p>
      <w:r>
        <w:t>Наблюдения 2026 года (7 965) не участвуют в оценке модели: год неполный. Разделение календарное, случайное перемешивание не применяется. Повторные объекты между train и test разрешены, поскольку предполагается работа на последующих проверках известного парка объектов.</w:t>
      </w:r>
    </w:p>
    <w:p>
      <w:r>
        <w:t>Точка отсчёта — DummyClassifier(strategy="prior"). Она оценивает частоту FAILED по train и выдаёт одинаковую вероятность всем инспекциям; признаки не использует. Такая модель выявляет, насколько результат объясняется одной базовой частотой [2].</w:t>
      </w:r>
    </w:p>
    <w:p>
      <w:r>
        <w:t>Вторая простая модель — логистическая регрессия с L2-регуляризацией (C=1, lbfgs, max_iter=2000). Два категориальных входа кодируются OneHotEncoder(handle_unknown="ignore"); шесть числовых входов заполняются медианой и стандартизуются. Преобразования обучаются в Pipeline только на train [3].</w:t>
      </w:r>
    </w:p>
    <w:p>
      <w:r>
        <w:t>Входы: department_bureau, inspection_category, year, month_sin, month_cos, dayofweek, latitude, longitude. Циклическая пара sin/cos отражает близость декабря и января. Год описывает линейный тренд, поэтому экстраполяция на будущие годы — отдельный риск.</w:t>
      </w:r>
    </w:p>
    <w:p>
      <w:r>
        <w:t>Для каждой модели перебирается порог от 0 до 1 с шагом 0.005 на 2024 годе. Выбирается минимум учебной стоимости 5×FN+FP; при равенстве берётся меньший порог. После этого модель и порог фиксируются и один раз оцениваются на 2025 годе. Модель не переобучается на validation.</w:t>
      </w:r>
    </w:p>
    <w:p>
      <w:r>
        <w:br w:type="page"/>
      </w:r>
    </w:p>
    <w:p>
      <w:pPr>
        <w:pStyle w:val="Heading1"/>
      </w:pPr>
      <w:r>
        <w:t>6. Baseline: результаты на 2025 годе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AP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ROC-AUC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Recall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Cost/N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Dummy prior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0.794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0.500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0.794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1.000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0.206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0.928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0.810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0.814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0.998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0.190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760000" cy="24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0"/>
        </w:rPr>
        <w:t>Матрицы ошибок: строки — факт, столбцы — прогноз; положительный класс FAILED.</w:t>
      </w:r>
    </w:p>
    <w:p>
      <w:r>
        <w:t>Порог логистической модели — 0.235. На тесте: FN=20, FP=1 968, TP=8 641, TN=281. Balanced accuracy=0.561, F1=0.897, Brier=0.119. Предварительный критерий успеха достигнут; это оценка внутри доступного архива.</w:t>
      </w:r>
    </w:p>
    <w:p>
      <w:r>
        <w:t>При данном пороге приоритет получают 97.2% тестовых инспекций; доля ложных тревог среди PASSED — 87.5%. Учебная стоимость ниже Dummy на 8.0%. Высокий recall достигнут широкой очередью, поэтому практическая экономия внимания пока не доказана.</w:t>
      </w:r>
    </w:p>
    <w:p>
      <w:r>
        <w:t>AP здесь — average_precision_score, сумма precision, взвешенная приростами recall, а не трапецеидальная площадь PR-кривой [4]. ROC-AUC дополнительно характеризует ранжирование. Brier оценивает средний квадрат ошибки вероятности; меньше — лучше.</w:t>
      </w:r>
    </w:p>
    <w:p>
      <w:r>
        <w:t>Доля объектов теста, встречавшихся в train: 66.9%. Такой тест соответствует следующим проверкам существующего парка, но не подтверждает перенос на новые объекты. Для него нужна дополнительная оценка по группам property_group.</w:t>
      </w:r>
    </w:p>
    <w:p>
      <w:r>
        <w:br w:type="page"/>
      </w:r>
    </w:p>
    <w:p>
      <w:pPr>
        <w:pStyle w:val="Heading1"/>
      </w:pPr>
      <w:r>
        <w:t>7. План дальнейшей работы и риски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Этап после РК-1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Результат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Критерий завершения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Недели 8–9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Проверить семантику FAILED/PASSED, даты и доступность метаданных.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Словарь полей и подтверждённый момент прогноза.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Недели 10–11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Получить полный реестр инспекций и локальную выборку СМР.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Есть проверки без нарушений и однозначная разметка.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Недели 12–13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Rolling backtest; тест новых объектов; абляция служб; калибровка.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Стабильные метрики по периодам и подгруппам.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Недели 14–15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Проверить стоимость ошибок и лимит очереди; сравнить простое дерево.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Порог и precision@K согласованы с пользователем.</w:t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Риск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Значимость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Способ уменьшить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Смещение журнала нарушений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Высокая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Получить полный знаменатель инспекций; ограничить выводы до этого.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Чикаго ≠ локальный контроль СМР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Высокая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Независимая локальная оценка; не переносить готовый порог.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Обновление исторических статусов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Высокая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Версии событий и данные на момент принятия решения.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Дрейф служб и категорий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Оценка по годам и службам; мониторинг частот.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Неизвестная цена ошибки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Экспертное согласование, анализ 1:1 / 3:1 / 5:1 / 10:1.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Повторы объектов и редкие группы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Средняя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Групповые оценки; интервалы с учётом кластеров.</w:t>
            </w:r>
          </w:p>
        </w:tc>
      </w:tr>
    </w:tbl>
    <w:p>
      <w:pPr>
        <w:spacing w:after="0"/>
      </w:pPr>
    </w:p>
    <w:p>
      <w:r>
        <w:t>В рамках предмета дальнейшие шаги остаются аналитическими: уточнение данных, качества, постановки и простой модели. Разработка приложения, интеграция с ERP и внедрение — отдельные будущие работы проекта, не часть текущей сдачи.</w:t>
      </w:r>
    </w:p>
    <w:p>
      <w:r>
        <w:br w:type="page"/>
      </w:r>
    </w:p>
    <w:p>
      <w:pPr>
        <w:pStyle w:val="Heading1"/>
      </w:pPr>
      <w:r>
        <w:t>8. Воспроизводимость, выводы и источники</w:t>
      </w:r>
    </w:p>
    <w:p>
      <w:r>
        <w:t>Полный запуск: создать Python-окружение, установить requirements.txt, выполнить python -m src.pipeline и python -m src.artifacts. Интерактивный вариант — notebooks/course_project.ipynb. Для повторения baseline на зафиксированном снимке интернет не требуется: компактные inspections.parquet и model_data.parquet включены в репозиторий.</w:t>
      </w:r>
    </w:p>
    <w:p>
      <w:r>
        <w:t>Исходный CSV и raw Parquet велики и исключены из Git; код скачивает их из первоисточника. Повторная загрузка живого архива может дать другие числа. SHA-256 фиксирует идентичность исходного файла, но не гарантирует его вечную доступность на сервере. Версии использованных библиотек сохранены в requirements.txt и reports/environment.json.</w:t>
      </w:r>
    </w:p>
    <w:p>
      <w:r>
        <w:t>SHA-256 исходного CSV: fd1c8de7cc2638a0464a190b65eb0461a829094f13742b080fecc50b4ff5fb42</w:t>
      </w:r>
    </w:p>
    <w:p>
      <w:r>
        <w:t>Старые замеры производительности от 26.09.2026 сохранены отдельно как историческое приложение: CSV 930.39 МБ, Parquet Snappy 149.29 МБ; чтение 15.25 и 1.581 секунды. Они относятся к иной машине и прежнему снимку, не выдаются за повторные замеры в этом отчёте. При выбранном масштабе Parquet и DuckDB подходят для локального аудита и агрегации, pandas — для таблицы инспекций.</w:t>
      </w:r>
    </w:p>
    <w:p>
      <w:pPr>
        <w:pStyle w:val="Heading2"/>
      </w:pPr>
      <w:r>
        <w:t>Выводы</w:t>
      </w:r>
    </w:p>
    <w:p>
      <w:r>
        <w:t>Аналитическая задача сформулирована условно на охват источника; качество проверено, а гранулярность исправлена до уровня инспекции. Семь EDA-графиков показывают пропуски, временной охват, баланс метки, множественность нарушений, службы, сезон и географию. Простая модель улучшает AP на 0.135 относительно частотной точки отсчёта. Практическая переносимость остаётся открытой до получения локальных данных и истории версий.</w:t>
      </w:r>
    </w:p>
    <w:p>
      <w:pPr>
        <w:pStyle w:val="Heading2"/>
      </w:pPr>
      <w:r>
        <w:t>Источники (проверены 09.10.2026)</w:t>
      </w:r>
    </w:p>
    <w:p>
      <w:r>
        <w:t>[1] Chicago Data Portal. Building Violations. https://data.cityofchicago.org/Buildings/Building-Violations/22u3-xenr ; метаданные: data/raw/source_metadata.json.</w:t>
      </w:r>
    </w:p>
    <w:p>
      <w:r>
        <w:t>[2] scikit-learn. DummyClassifier. https://scikit-learn.org/stable/modules/generated/sklearn.dummy.DummyClassifier.html</w:t>
      </w:r>
    </w:p>
    <w:p>
      <w:r>
        <w:t>[3] scikit-learn. Common pitfalls: leakage and preprocessing. https://scikit-learn.org/stable/common_pitfalls.html</w:t>
      </w:r>
    </w:p>
    <w:p>
      <w:r>
        <w:t>[4] scikit-learn. average_precision_score. https://scikit-learn.org/stable/modules/generated/sklearn.metrics.average_precision_score.html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Медиханов Тимур · 09.10.2026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СТРОЙКОНТРОЛЬ СМР  /  АНАЛИТИЧЕСКИЙ ПРОЕКТ  /  РК-1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2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2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