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아더에러 정품 인증·리셀 상품 상담 안내</w:t>
      </w:r>
    </w:p>
    <w:p>
      <w:r>
        <w:t>문서번호: ADR-CS-007 (Rev.1)</w:t>
      </w:r>
    </w:p>
    <w:p>
      <w:r>
        <w:t>시행일: 2026-03-02</w:t>
      </w:r>
    </w:p>
    <w:p>
      <w:r>
        <w:t>관리부서: CS운영팀 / 브랜드보호 담당</w:t>
      </w:r>
    </w:p>
    <w:p>
      <w:pPr>
        <w:pStyle w:val="Heading2"/>
      </w:pPr>
      <w:r>
        <w:t>1. 안내 원칙</w:t>
      </w:r>
    </w:p>
    <w:p>
      <w:r>
        <w:t>당사는 개별 상품에 대한 정품 감정 서비스를 제공하지 않는다 (ADR-CS-004 §3.4 참조). 상담원은 사진·설명만으로 정품 여부를 판정하거나 "정품이 맞다/아니다"라는 단정적 답변을 하지 않으며, 고객이 스스로 확인할 수 있는 정품 인증 요소만을 안내한다. 정품 보증은 공식 온라인몰과 공식 매장 구매 건에 한한다.</w:t>
      </w:r>
    </w:p>
    <w:p>
      <w:pPr>
        <w:pStyle w:val="Heading2"/>
      </w:pPr>
      <w:r>
        <w:t>2. 정품 인증 요소 안내</w:t>
      </w:r>
    </w:p>
    <w:p>
      <w:pPr>
        <w:pStyle w:val="Heading3"/>
      </w:pPr>
      <w:r>
        <w:t>2.1 정품 인증 라벨</w:t>
      </w:r>
    </w:p>
    <w:p>
      <w:r>
        <w:t>전 상품의 내측 케어라벨 상단에 홀로그램 인증 라벨이 부착된다. 인증 라벨에는 시즌 코드와 상품별 일련번호가 인쇄되어 있으며, 각도에 따라 브랜드 로고 홀로그램이 변화한다. 인증 라벨이 없거나 일련번호가 인쇄가 아닌 스티커 부착 형태인 경우 위조 의심 요소로 안내할 수 있으나, 이를 근거로 판정을 단정하지 않는다.</w:t>
      </w:r>
    </w:p>
    <w:p>
      <w:pPr>
        <w:pStyle w:val="Heading3"/>
      </w:pPr>
      <w:r>
        <w:t>2.2 QR 인증</w:t>
      </w:r>
    </w:p>
    <w:p>
      <w:r>
        <w:t>인증 QR 코드가 부착된 상품은 스캔 시 공식 인증 페이지로 연결되어 상품명·시즌 정보를 확인할 수 있다. QR이 공식 도메인이 아닌 외부 페이지로 연결되는 경우 위조 의심 요소로 안내한다. 상담원이 고객 대신 QR 스캔 결과의 진위를 판정하지 않는다.</w:t>
      </w:r>
    </w:p>
    <w:p>
      <w:pPr>
        <w:pStyle w:val="Heading3"/>
      </w:pPr>
      <w:r>
        <w:t>2.3 상담 시 금지 사항</w:t>
      </w:r>
    </w:p>
    <w:p>
      <w:pPr>
        <w:pStyle w:val="ListBullet"/>
      </w:pPr>
      <w:r>
        <w:t>사진 검토 후 정·가품 판정 회신</w:t>
      </w:r>
    </w:p>
    <w:p>
      <w:pPr>
        <w:pStyle w:val="ListBullet"/>
      </w:pPr>
      <w:r>
        <w:t>특정 리셀 플랫폼의 검수 결과에 대한 보증 또는 반박</w:t>
      </w:r>
    </w:p>
    <w:p>
      <w:pPr>
        <w:pStyle w:val="ListBullet"/>
      </w:pPr>
      <w:r>
        <w:t>인증 요소 세부 식별 방법(위조 방지 기술 상세)의 안내</w:t>
      </w:r>
    </w:p>
    <w:p>
      <w:pPr>
        <w:pStyle w:val="Heading2"/>
      </w:pPr>
      <w:r>
        <w:t>3. 리셀(개인 간 거래) 구매 상품 처리 범위</w:t>
      </w:r>
    </w:p>
    <w:p>
      <w:pPr>
        <w:pStyle w:val="Heading3"/>
      </w:pPr>
      <w:r>
        <w:t>3.1 불가 업무</w:t>
      </w:r>
    </w:p>
    <w:p>
      <w:r>
        <w:t>리셀 플랫폼 등 개인 간 거래로 취득한 상품은 구매 이력 확인이 불가하므로 교환·환불·불량 접수 대상에서 제외한다 (ADR-CS-004 §3.4). 영수증·거래 캡처를 제시하더라도 당사 구매 이력으로 인정하지 않는다.</w:t>
      </w:r>
    </w:p>
    <w:p>
      <w:pPr>
        <w:pStyle w:val="Heading3"/>
      </w:pPr>
      <w:r>
        <w:t>3.2 가능 업무</w:t>
      </w:r>
    </w:p>
    <w:p>
      <w:pPr>
        <w:pStyle w:val="ListBullet"/>
      </w:pPr>
      <w:r>
        <w:t>유상 수선 접수: 인증 라벨과 일련번호가 확인되는 상품에 한하여 접수할 수 있으며, 수선비와 왕복 배송비는 고객이 부담한다.</w:t>
      </w:r>
    </w:p>
    <w:p>
      <w:pPr>
        <w:pStyle w:val="ListBullet"/>
      </w:pPr>
      <w:r>
        <w:t>세탁·케어 안내: 소재별 케어 안내는 구매처와 무관하게 제공한다 (ADR-CS-005 준용).</w:t>
      </w:r>
    </w:p>
    <w:p>
      <w:pPr>
        <w:pStyle w:val="Heading3"/>
      </w:pPr>
      <w:r>
        <w:t>3.3 안내 화법</w:t>
      </w:r>
    </w:p>
    <w:p>
      <w:r>
        <w:t>"공식 온라인몰·공식 매장 구매 건이 아니어서 교환·환불·불량 접수는 어렵고, 유상 수선과 케어 안내는 도와드릴 수 있다"는 순서로 가능 범위를 먼저 제시한다.</w:t>
      </w:r>
    </w:p>
    <w:p>
      <w:pPr>
        <w:pStyle w:val="Heading2"/>
      </w:pPr>
      <w:r>
        <w:t>4. 위조품 신고 대응</w:t>
      </w:r>
    </w:p>
    <w:p>
      <w:pPr>
        <w:pStyle w:val="Heading3"/>
      </w:pPr>
      <w:r>
        <w:t>4.1 신고 접수</w:t>
      </w:r>
    </w:p>
    <w:p>
      <w:r>
        <w:t>고객이 위조품 판매를 신고하는 경우 판매처명, 판매 페이지 URL, 상품 사진, 구매 여부를 확인하여 브랜드보호 담당으로 이관한다. 상담원은 접수 단계에서 위조 여부를 판정하거나 판매처에 대한 평가를 하지 않는다.</w:t>
      </w:r>
    </w:p>
    <w:p>
      <w:pPr>
        <w:pStyle w:val="Heading3"/>
      </w:pPr>
      <w:r>
        <w:t>4.2 신고 접수 시 유의사항</w:t>
      </w:r>
    </w:p>
    <w:p>
      <w:r>
        <w:t>동일 판매처에 대한 신고가 반복 접수되는 경우 기존 접수 건과 병합하여 이관하고, 고객에게는 개별 조치 결과를 회신하지 않음을 사전 고지한다. 신고 처리 진행 상황, 법적 대응 여부 등 내부 조치 내용은 고객에게 안내하지 않는다.</w:t>
      </w:r>
    </w:p>
    <w:p>
      <w:pPr>
        <w:pStyle w:val="Heading3"/>
      </w:pPr>
      <w:r>
        <w:t>4.3 위조품 구매 피해 고객 안내</w:t>
      </w:r>
    </w:p>
    <w:p>
      <w:r>
        <w:t>개인 간 거래·외부 판매처에서 위조품을 구매한 피해는 당사 보상 대상이 아니다. 결제 취소·환불은 해당 판매 플랫폼의 분쟁 절차 또는 결제 수단(카드사) 이의 제기 절차를 이용하도록 안내하고, 필요 시 신고 정보 제공에 협조한다.</w:t>
      </w:r>
    </w:p>
    <w:p>
      <w:pPr>
        <w:pStyle w:val="Heading2"/>
      </w:pPr>
      <w:r>
        <w:t>5. 에스컬레이션</w:t>
      </w:r>
    </w:p>
    <w:p>
      <w:r>
        <w:t>정품 판정 회신을 지속 요구하는 강성 민원, 언론·법적 대응을 언급하는 신고 건은 상담 이력 기록 후 브랜드보호 담당과 CS 팀장에게 동시 이관한다.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