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해외아동결연 운영 규정 (GP-CS-004)</w:t>
      </w:r>
    </w:p>
    <w:p>
      <w:r>
        <w:t>문서번호: GP-CS-004 | 개정일: 2026-01-05 | 적용 대상: 후원자 상담 전 채널</w:t>
      </w:r>
    </w:p>
    <w:p>
      <w:pPr>
        <w:pStyle w:val="Heading2"/>
      </w:pPr>
      <w:r>
        <w:t>1. 목적 및 적용 범위</w:t>
      </w:r>
    </w:p>
    <w:p>
      <w:r>
        <w:t>본 규정은 해외아동결연 후원의 신청·배정 절차, 후원금 운영, 편지 및 선물 교류, 결연 아동 변경·종료, 성장보고서 제공 기준을 정한다. 결연 후원금의 출금·변경·해지 등 결제 관련 처리는 GP-CS-002를 따른다.</w:t>
      </w:r>
    </w:p>
    <w:p>
      <w:pPr>
        <w:pStyle w:val="Heading2"/>
      </w:pPr>
      <w:r>
        <w:t>2. 결연 신청 및 아동 배정</w:t>
      </w:r>
    </w:p>
    <w:p>
      <w:pPr>
        <w:pStyle w:val="Heading3"/>
      </w:pPr>
      <w:r>
        <w:t>2.1 후원 금액</w:t>
      </w:r>
    </w:p>
    <w:p>
      <w:r>
        <w:t>결연 후원금은 아동 1명당 월 45,000원 정액으로 한다. 후원금은 결연 아동 개인에게 현금으로 전달하지 않으며, 아동이 속한 지역사회의 교육·보건·식수·아동보호 사업에 통합 사용하는 것을 원칙으로 한다. 상담원은 이 통합 사용 원칙을 신청 시점에 반드시 안내한다.</w:t>
      </w:r>
    </w:p>
    <w:p>
      <w:pPr>
        <w:pStyle w:val="Heading3"/>
      </w:pPr>
      <w:r>
        <w:t>2.2 신청 및 배정 절차</w:t>
      </w:r>
    </w:p>
    <w:p>
      <w:pPr>
        <w:pStyle w:val="ListNumber"/>
      </w:pPr>
      <w:r>
        <w:t>결연 신청 접수(홈페이지·전화·앱) 및 결제 정보 등록</w:t>
      </w:r>
    </w:p>
    <w:p>
      <w:pPr>
        <w:pStyle w:val="ListNumber"/>
      </w:pPr>
      <w:r>
        <w:t>아동 배정: 신청일로부터 7영업일 이내에 결연 아동을 배정한다. 후원자는 국가와 성별에 한하여 희망 사항을 제시할 수 있으며, 특정 아동 지정은 불가하다.</w:t>
      </w:r>
    </w:p>
    <w:p>
      <w:pPr>
        <w:pStyle w:val="ListNumber"/>
      </w:pPr>
      <w:r>
        <w:t>결연 확정 안내: 배정 완료 후 아동 소개 자료(사진, 생년, 가족·지역 정보)를 우편 또는 전자 문서로 발송한다.</w:t>
      </w:r>
    </w:p>
    <w:p>
      <w:pPr>
        <w:pStyle w:val="ListNumber"/>
      </w:pPr>
      <w:r>
        <w:t>최초 출금: GP-CS-002 §2.3의 기준을 따른다.</w:t>
      </w:r>
    </w:p>
    <w:p>
      <w:pPr>
        <w:pStyle w:val="Heading3"/>
      </w:pPr>
      <w:r>
        <w:t>2.3 복수 결연</w:t>
      </w:r>
    </w:p>
    <w:p>
      <w:r>
        <w:t>한 후원자가 여러 명의 아동과 결연할 수 있으며, 아동별로 결연 건이 개별 관리된다. 해지·변경도 결연 건 단위로 처리한다. 복수 결연 후원자의 출금은 결연 건별 합산 1회 출금을 기본으로 하되, 후원자가 요청하면 건별 분리 출금으로 설정할 수 있다.</w:t>
      </w:r>
    </w:p>
    <w:p>
      <w:pPr>
        <w:pStyle w:val="Heading3"/>
      </w:pPr>
      <w:r>
        <w:t>2.4 후원금 사용 내역 안내</w:t>
      </w:r>
    </w:p>
    <w:p>
      <w:r>
        <w:t>결연 후원금의 사용 내역 문의는 아동이 속한 지역 사업장의 연간 사업 보고 기준으로 안내한다. 후원금이 특정 아동에게 개별 지급되지 않는다는 원칙(§2.1)을 재안내하고, 세부 사업 내역은 성장보고서 및 연차보고서 발송 시점에 확인 가능함을 안내한다.</w:t>
      </w:r>
    </w:p>
    <w:p>
      <w:pPr>
        <w:pStyle w:val="Heading2"/>
      </w:pPr>
      <w:r>
        <w:t>3. 편지 교류</w:t>
      </w:r>
    </w:p>
    <w:p>
      <w:pPr>
        <w:pStyle w:val="Heading3"/>
      </w:pPr>
      <w:r>
        <w:t>3.1 편지 발송</w:t>
      </w:r>
    </w:p>
    <w:p>
      <w:r>
        <w:t>후원자는 연중 횟수 제한 없이 결연 아동에게 편지를 보낼 수 있다. 편지는 본부 접수 후 현지 언어로 번역하여 전달하며, 접수부터 아동 전달까지 통상 4~6주가 소요됨을 안내한다.</w:t>
      </w:r>
    </w:p>
    <w:p>
      <w:pPr>
        <w:pStyle w:val="Heading3"/>
      </w:pPr>
      <w:r>
        <w:t>3.2 편지 작성 제한</w:t>
      </w:r>
    </w:p>
    <w:p>
      <w:r>
        <w:t>다음 내용이 포함된 편지는 발송이 보류되며, 후원자에게 수정을 요청한다.</w:t>
      </w:r>
    </w:p>
    <w:p>
      <w:pPr>
        <w:pStyle w:val="ListBullet"/>
      </w:pPr>
      <w:r>
        <w:t>후원자의 상세 주소, 전화번호, 이메일 등 직접 연락이 가능한 개인 연락처</w:t>
      </w:r>
    </w:p>
    <w:p>
      <w:pPr>
        <w:pStyle w:val="ListBullet"/>
      </w:pPr>
      <w:r>
        <w:t>방문 약속, 금전·물품 직접 전달 약속</w:t>
      </w:r>
    </w:p>
    <w:p>
      <w:pPr>
        <w:pStyle w:val="ListBullet"/>
      </w:pPr>
      <w:r>
        <w:t>특정 종교·정치 활동 권유 등 현지 규정에 저촉될 수 있는 내용</w:t>
      </w:r>
    </w:p>
    <w:p>
      <w:pPr>
        <w:pStyle w:val="Heading3"/>
      </w:pPr>
      <w:r>
        <w:t>3.3 아동 답장</w:t>
      </w:r>
    </w:p>
    <w:p>
      <w:r>
        <w:t>아동 답장은 연 1회 이상 제공을 원칙으로 하되, 지역 사정에 따라 지연될 수 있다. 답장 미수신 문의 접수 시 발송 이력을 확인하고, 확인 결과는 5영업일 이내에 회신한다. 답장은 원문과 한국어 번역본을 함께 제공하며, 전자 수신 동의 후원자에게는 스캔본으로 발송한다.</w:t>
      </w:r>
    </w:p>
    <w:p>
      <w:pPr>
        <w:pStyle w:val="Heading2"/>
      </w:pPr>
      <w:r>
        <w:t>4. 선물 규정</w:t>
      </w:r>
    </w:p>
    <w:p>
      <w:pPr>
        <w:pStyle w:val="Heading3"/>
      </w:pPr>
      <w:r>
        <w:t>4.1 선물 전달 원칙</w:t>
      </w:r>
    </w:p>
    <w:p>
      <w:r>
        <w:t>개인 소포 형태의 물품 선물은 통관·형평성 문제로 받지 않는 것을 원칙으로 한다. 후원자가 선물을 원하는 경우 선물 지원금 제도를 안내한다.</w:t>
      </w:r>
    </w:p>
    <w:p>
      <w:pPr>
        <w:pStyle w:val="Heading3"/>
      </w:pPr>
      <w:r>
        <w:t>4.2 선물 지원금</w:t>
      </w:r>
    </w:p>
    <w:p>
      <w:pPr>
        <w:pStyle w:val="ListBullet"/>
      </w:pPr>
      <w:r>
        <w:t>1회 20,000원 이상 200,000원 이하로 신청할 수 있으며, 연 2회까지 가능하다.</w:t>
      </w:r>
    </w:p>
    <w:p>
      <w:pPr>
        <w:pStyle w:val="ListBullet"/>
      </w:pPr>
      <w:r>
        <w:t>지원금은 현지 사무소가 아동 가정에 필요한 물품(학용품, 의류, 생활용품, 가축 등)으로 구매하여 전달하고, 전달 결과(사진 포함)를 3개월 이내에 후원자에게 회신한다.</w:t>
      </w:r>
    </w:p>
    <w:p>
      <w:pPr>
        <w:pStyle w:val="Heading3"/>
      </w:pPr>
      <w:r>
        <w:t>4.3 금지 품목</w:t>
      </w:r>
    </w:p>
    <w:p>
      <w:r>
        <w:t>지원금 사용 및 예외적 물품 전달 시 다음 품목은 금지한다.</w:t>
      </w:r>
    </w:p>
    <w:p>
      <w:pPr>
        <w:pStyle w:val="ListBullet"/>
      </w:pPr>
      <w:r>
        <w:t>현금 및 상품권 직접 전달</w:t>
      </w:r>
    </w:p>
    <w:p>
      <w:pPr>
        <w:pStyle w:val="ListBullet"/>
      </w:pPr>
      <w:r>
        <w:t>의약품·건강보조식품</w:t>
      </w:r>
    </w:p>
    <w:p>
      <w:pPr>
        <w:pStyle w:val="ListBullet"/>
      </w:pPr>
      <w:r>
        <w:t>전자기기(휴대폰, 태블릿 등)</w:t>
      </w:r>
    </w:p>
    <w:p>
      <w:pPr>
        <w:pStyle w:val="ListBullet"/>
      </w:pPr>
      <w:r>
        <w:t>부패 우려가 있는 식품</w:t>
      </w:r>
    </w:p>
    <w:p>
      <w:pPr>
        <w:pStyle w:val="ListBullet"/>
      </w:pPr>
      <w:r>
        <w:t>종교·정치적 선전물, 무기류·위험 물품</w:t>
      </w:r>
    </w:p>
    <w:p>
      <w:pPr>
        <w:pStyle w:val="Heading2"/>
      </w:pPr>
      <w:r>
        <w:t>5. 성장보고서</w:t>
      </w:r>
    </w:p>
    <w:p>
      <w:pPr>
        <w:pStyle w:val="Heading3"/>
      </w:pPr>
      <w:r>
        <w:t>5.1 제공 주기</w:t>
      </w:r>
    </w:p>
    <w:p>
      <w:r>
        <w:t>결연 아동의 성장보고서(사진, 건강·학업 근황, 지역 사업 성과 포함)는 연 1회 제공하는 것을 원칙으로 한다. 발송은 매년 결연 개시월 기준으로 하며, 전자 문서 수신 동의 후원자에게는 이메일로, 그 외에는 우편으로 발송한다.</w:t>
      </w:r>
    </w:p>
    <w:p>
      <w:pPr>
        <w:pStyle w:val="Heading3"/>
      </w:pPr>
      <w:r>
        <w:t>5.2 미수신 문의</w:t>
      </w:r>
    </w:p>
    <w:p>
      <w:r>
        <w:t>성장보고서 미수신 문의는 발송 이력 확인 후 재발송 처리하며, 전자 발송은 즉시, 우편 재발송은 7일 이내를 기준으로 한다.</w:t>
      </w:r>
    </w:p>
    <w:p>
      <w:pPr>
        <w:pStyle w:val="Heading2"/>
      </w:pPr>
      <w:r>
        <w:t>6. 결연 아동 변경 및 종료</w:t>
      </w:r>
    </w:p>
    <w:p>
      <w:pPr>
        <w:pStyle w:val="Heading3"/>
      </w:pPr>
      <w:r>
        <w:t>6.1 기관 사유에 의한 변경·종료</w:t>
      </w:r>
    </w:p>
    <w:p>
      <w:r>
        <w:t>다음의 경우 결연이 기관 사유로 종료되며, 후원자에게 사유 발생 확인 후 30일 이내에 서면(우편 또는 전자 문서)으로 안내한다.</w:t>
      </w:r>
    </w:p>
    <w:p>
      <w:pPr>
        <w:pStyle w:val="ListBullet"/>
      </w:pPr>
      <w:r>
        <w:t>아동 가정의 타 지역 이주로 사업장 관리 범위를 벗어난 경우</w:t>
      </w:r>
    </w:p>
    <w:p>
      <w:pPr>
        <w:pStyle w:val="ListBullet"/>
      </w:pPr>
      <w:r>
        <w:t>아동이 만 19세에 도달하여 결연 대상 연령을 초과한 경우</w:t>
      </w:r>
    </w:p>
    <w:p>
      <w:pPr>
        <w:pStyle w:val="ListBullet"/>
      </w:pPr>
      <w:r>
        <w:t>아동 가정의 자립으로 지원 필요가 해소된 경우</w:t>
      </w:r>
    </w:p>
    <w:p>
      <w:pPr>
        <w:pStyle w:val="ListBullet"/>
      </w:pPr>
      <w:r>
        <w:t>해당 지역 사업장이 철수·종료된 경우</w:t>
      </w:r>
    </w:p>
    <w:p>
      <w:pPr>
        <w:pStyle w:val="Heading3"/>
      </w:pPr>
      <w:r>
        <w:t>6.2 종료 시 후원자 선택지</w:t>
      </w:r>
    </w:p>
    <w:p>
      <w:r>
        <w:t>기관 사유 종료 시 후원자는 다음 중 하나를 선택하며, 안내일로부터 30일 이내에 의사 표시가 없으면 신규 아동 재결연으로 자동 전환됨을 안내 서면에 명시한다.</w:t>
      </w:r>
    </w:p>
    <w:p>
      <w:pPr>
        <w:pStyle w:val="ListBullet"/>
      </w:pPr>
      <w:r>
        <w:t>신규 아동 재결연(동일 조건, 월 45,000원 유지)</w:t>
      </w:r>
    </w:p>
    <w:p>
      <w:pPr>
        <w:pStyle w:val="ListBullet"/>
      </w:pPr>
      <w:r>
        <w:t>일반 정기후원으로 전환(금액 변경 가능, GP-CS-002 §3.1 적용)</w:t>
      </w:r>
    </w:p>
    <w:p>
      <w:pPr>
        <w:pStyle w:val="ListBullet"/>
      </w:pPr>
      <w:r>
        <w:t>후원 해지(GP-CS-002 §5 절차 적용)</w:t>
      </w:r>
    </w:p>
    <w:p>
      <w:pPr>
        <w:pStyle w:val="Heading3"/>
      </w:pPr>
      <w:r>
        <w:t>6.3 아동 신상 급변 시 처리</w:t>
      </w:r>
    </w:p>
    <w:p>
      <w:r>
        <w:t>결연 아동에게 중대한 신상 변화(질병, 사고, 실종 등)가 발생한 경우, 현지 사무소 보고 접수 후 15일 이내에 후원자에게 개별 안내한다. 안내 수위는 아동 보호 원칙에 따라 본부 국제사업팀이 정하며, 상담원은 확인되지 않은 현지 상황을 추정하여 안내하지 않는다. 결연 지속이 불가한 것으로 확정되면 §6.2의 선택지 절차를 적용한다.</w:t>
      </w:r>
    </w:p>
    <w:p>
      <w:pPr>
        <w:pStyle w:val="Heading3"/>
      </w:pPr>
      <w:r>
        <w:t>6.4 후원자 사유에 의한 변경</w:t>
      </w:r>
    </w:p>
    <w:p>
      <w:r>
        <w:t>후원자 요청에 의한 결연 아동 변경은 원칙적으로 허용하지 않는다. 다만 후원자가 해지 의사를 밝히면서 다른 아동 결연을 희망하는 경우, 기존 결연 종료 후 신규 결연 절차(§2.2)로 처리한다.</w:t>
      </w:r>
    </w:p>
    <w:p>
      <w:pPr>
        <w:pStyle w:val="Heading3"/>
      </w:pPr>
      <w:r>
        <w:t>6.5 해지 시 출금 기준</w:t>
      </w:r>
    </w:p>
    <w:p>
      <w:r>
        <w:t>결연 해지의 당월 출금 여부는 GP-CS-002 §5.2의 기준(출금일 3영업일 전)을 동일하게 적용한다. 해지 시 미납 회차가 있는 경우 소급 출금하지 않으며, 해지 확정 후 발송 예정이던 성장보고서·아동 답장은 해지 시점까지 접수된 분에 한하여 전달한다.</w:t>
      </w:r>
    </w:p>
    <w:p>
      <w:pPr>
        <w:pStyle w:val="Heading2"/>
      </w:pPr>
      <w:r>
        <w:t>7. 결연 지역 방문</w:t>
      </w:r>
    </w:p>
    <w:p>
      <w:pPr>
        <w:pStyle w:val="Heading3"/>
      </w:pPr>
      <w:r>
        <w:t>7.1 방문 프로그램</w:t>
      </w:r>
    </w:p>
    <w:p>
      <w:r>
        <w:t>결연 아동 거주 지역 방문은 본부 국제사업팀이 운영하는 공식 방문 프로그램을 통해서만 가능하며, 후원자 개별 방문은 아동 보호 정책상 허용하지 않는다. 방문 프로그램은 연 1~2회 운영하며, 참가 신청은 출발일 90일 전까지 접수한다.</w:t>
      </w:r>
    </w:p>
    <w:p>
      <w:pPr>
        <w:pStyle w:val="Heading3"/>
      </w:pPr>
      <w:r>
        <w:t>7.2 방문 시 준수 사항</w:t>
      </w:r>
    </w:p>
    <w:p>
      <w:r>
        <w:t>방문 참가자는 아동 보호 서약서에 서명하여야 하며, 아동과의 개별 연락처 교환, 현금·물품 직접 전달은 금지된다. 위반 시 프로그램 참여가 중단될 수 있음을 사전 안내한다.</w:t>
      </w:r>
    </w:p>
    <w:p>
      <w:pPr>
        <w:pStyle w:val="Heading2"/>
      </w:pPr>
      <w:r>
        <w:t>8. 상담 처리 유의사항</w:t>
      </w:r>
    </w:p>
    <w:p>
      <w:r>
        <w:t>결연 아동의 사진·근황 자료는 후원자 본인 확인 후에만 제공한다. 아동의 구체적 신상 정보(정확한 거주지, 가족 연락처 등)는 어떠한 경우에도 제공하지 않는다. 결연 지역 방문 희망 문의는 §7의 공식 방문 프로그램으로 이관하고, 개별 방문 불가 원칙을 함께 안내한다.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