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품질 인증·안전 관리 안내 규정 (HR-CS-007)</w:t>
      </w:r>
    </w:p>
    <w:p>
      <w:r>
        <w:t>문서번호: HR-CS-007 (Rev.1)</w:t>
      </w:r>
    </w:p>
    <w:p>
      <w:r>
        <w:t>적용대상: 하림 직영몰 판매 전 품목군</w:t>
      </w:r>
    </w:p>
    <w:p>
      <w:r>
        <w:t>시행일: 2026-01-02</w:t>
      </w:r>
    </w:p>
    <w:p>
      <w:pPr>
        <w:pStyle w:val="Heading2"/>
      </w:pPr>
      <w:r>
        <w:t>1. 인증 안내 기준</w:t>
      </w:r>
    </w:p>
    <w:p>
      <w:pPr>
        <w:pStyle w:val="Heading3"/>
      </w:pPr>
      <w:r>
        <w:t>1.1 HACCP 인증</w:t>
      </w:r>
    </w:p>
    <w:p>
      <w:r>
        <w:t>직영몰 판매 육류 및 가공품은 HACCP(식품안전관리인증) 인증 사업장에서 생산됨을 원칙으로 한다.</w:t>
      </w:r>
    </w:p>
    <w:p>
      <w:pPr>
        <w:pStyle w:val="ListBullet"/>
      </w:pPr>
      <w:r>
        <w:t>인증 여부는 상품 포장의 HACCP 마크로 확인할 수 있으며, 상담원은 고객 문의 시 포장 표시면 확인을 안내한다.</w:t>
      </w:r>
    </w:p>
    <w:p>
      <w:pPr>
        <w:pStyle w:val="ListBullet"/>
      </w:pPr>
      <w:r>
        <w:t>고객이 인증서 사본을 요청하는 경우 직영몰 상품 상세 페이지의 인증 정보 게시 위치를 안내하고, 게시되지 않은 품목은 품질보증팀에 확인 후 회신한다.</w:t>
      </w:r>
    </w:p>
    <w:p>
      <w:pPr>
        <w:pStyle w:val="ListBullet"/>
      </w:pPr>
      <w:r>
        <w:t>HACCP 인증은 사업장(공장) 단위 인증이므로 "전 상품 무항생제"와 같은 다른 인증과 혼동하여 안내하지 않는다.</w:t>
      </w:r>
    </w:p>
    <w:p>
      <w:pPr>
        <w:pStyle w:val="Heading3"/>
      </w:pPr>
      <w:r>
        <w:t>1.2 무항생제 인증</w:t>
      </w:r>
    </w:p>
    <w:p>
      <w:pPr>
        <w:pStyle w:val="ListBullet"/>
      </w:pPr>
      <w:r>
        <w:t>무항생제 인증은 해당 표시가 있는 품목에 한하여 적용되며, 전 품목 대상이 아니다.</w:t>
      </w:r>
    </w:p>
    <w:p>
      <w:pPr>
        <w:pStyle w:val="ListBullet"/>
      </w:pPr>
      <w:r>
        <w:t>인증 품목은 포장에 무항생제 인증 마크와 인증번호가 표기된다. 상담원은 품목별 인증 여부를 상품 상세 페이지 기준으로 확인하여 안내한다.</w:t>
      </w:r>
    </w:p>
    <w:p>
      <w:pPr>
        <w:pStyle w:val="ListBullet"/>
      </w:pPr>
      <w:r>
        <w:t>무항생제 여부를 확답하기 어려운 품목은 임의로 안내하지 않고 품질보증팀 확인 후 회신한다.</w:t>
      </w:r>
    </w:p>
    <w:p>
      <w:pPr>
        <w:pStyle w:val="Heading2"/>
      </w:pPr>
      <w:r>
        <w:t>2. 이력추적번호 조회 응대</w:t>
      </w:r>
    </w:p>
    <w:p>
      <w:pPr>
        <w:pStyle w:val="Heading3"/>
      </w:pPr>
      <w:r>
        <w:t>2.1 이력번호 표기</w:t>
      </w:r>
    </w:p>
    <w:p>
      <w:r>
        <w:t>닭고기 상품에는 포장에 이력추적번호(12자리)가 표기된다. 이력번호로 사육 농장, 도계 일자, 도계장 정보를 조회할 수 있다.</w:t>
      </w:r>
    </w:p>
    <w:p>
      <w:pPr>
        <w:pStyle w:val="Heading3"/>
      </w:pPr>
      <w:r>
        <w:t>2.2 조회 문의 응대 순서</w:t>
      </w:r>
    </w:p>
    <w:p>
      <w:pPr>
        <w:pStyle w:val="ListNumber"/>
      </w:pPr>
      <w:r>
        <w:t>포장 표시면의 이력번호 위치를 안내한다(유통기한 표시 인근).</w:t>
      </w:r>
    </w:p>
    <w:p>
      <w:pPr>
        <w:pStyle w:val="ListNumber"/>
      </w:pPr>
      <w:r>
        <w:t>축산물 이력 조회 사이트 또는 직영몰 상품 페이지의 이력 조회 메뉴 이용 방법을 안내한다.</w:t>
      </w:r>
    </w:p>
    <w:p>
      <w:pPr>
        <w:pStyle w:val="ListNumber"/>
      </w:pPr>
      <w:r>
        <w:t>조회 결과가 표시 내용과 다르다는 문의(농장·일자 불일치 등)는 상담원이 판단하지 않고 이력번호와 함께 품질보증팀으로 이관한다.</w:t>
      </w:r>
    </w:p>
    <w:p>
      <w:pPr>
        <w:pStyle w:val="ListNumber"/>
      </w:pPr>
      <w:r>
        <w:t>포장 훼손으로 이력번호 확인이 불가한 경우, 주문번호 기준으로 출고 로트를 조회하여 회신할 수 있음을 안내하고 품질보증팀에 조회를 의뢰한다.</w:t>
      </w:r>
    </w:p>
    <w:p>
      <w:pPr>
        <w:pStyle w:val="Heading2"/>
      </w:pPr>
      <w:r>
        <w:t>3. 원산지 표시 기준</w:t>
      </w:r>
    </w:p>
    <w:p>
      <w:pPr>
        <w:pStyle w:val="Heading3"/>
      </w:pPr>
      <w:r>
        <w:t>3.1 표시 원칙</w:t>
      </w:r>
    </w:p>
    <w:p>
      <w:pPr>
        <w:pStyle w:val="ListBullet"/>
      </w:pPr>
      <w:r>
        <w:t>닭고기 원료육은 국내산 사용을 원칙으로 하며, 포장 및 상품 페이지에 원산지를 표시한다.</w:t>
      </w:r>
    </w:p>
    <w:p>
      <w:pPr>
        <w:pStyle w:val="ListBullet"/>
      </w:pPr>
      <w:r>
        <w:t>가공품은 주원료(닭고기) 원산지를 표시하며, 부원료 원산지는 상품 상세 페이지의 표시 사항을 기준으로 안내한다.</w:t>
      </w:r>
    </w:p>
    <w:p>
      <w:pPr>
        <w:pStyle w:val="ListBullet"/>
      </w:pPr>
      <w:r>
        <w:t>개별 상품의 표시 사항이 본 규정 안내와 다른 경우 상품 포장의 표시 사항을 우선한다(HR-CS-004 §1.1과 동일 원칙).</w:t>
      </w:r>
    </w:p>
    <w:p>
      <w:pPr>
        <w:pStyle w:val="Heading3"/>
      </w:pPr>
      <w:r>
        <w:t>3.2 원산지 관련 문의 응대</w:t>
      </w:r>
    </w:p>
    <w:p>
      <w:pPr>
        <w:pStyle w:val="ListBullet"/>
      </w:pPr>
      <w:r>
        <w:t>"원산지가 표시와 다른 것 같다"는 문의는 근거(포장 사진)를 접수하고 품질보증팀으로 이관하며, 상담원 선에서 표시 오류 여부를 확답하지 않는다.</w:t>
      </w:r>
    </w:p>
    <w:p>
      <w:pPr>
        <w:pStyle w:val="ListBullet"/>
      </w:pPr>
      <w:r>
        <w:t>원산지 관련 불만이 품질 이상 주장(변질 등)과 함께 접수되는 경우 품질 이상 건은 수령 후 24시간 이내 신고 원칙(HR-CS-003 §1.1)에 따라 별도 접수한다.</w:t>
      </w:r>
    </w:p>
    <w:p>
      <w:pPr>
        <w:pStyle w:val="Heading2"/>
      </w:pPr>
      <w:r>
        <w:t>4. 상담원 응대 지침</w:t>
      </w:r>
    </w:p>
    <w:p>
      <w:pPr>
        <w:pStyle w:val="Heading3"/>
      </w:pPr>
      <w:r>
        <w:t>4.1 안내 범위</w:t>
      </w:r>
    </w:p>
    <w:p>
      <w:pPr>
        <w:pStyle w:val="ListBullet"/>
      </w:pPr>
      <w:r>
        <w:t>상담원이 직접 안내 가능한 범위: 인증 마크·이력번호·원산지 표시의 확인 위치, 조회 방법</w:t>
      </w:r>
    </w:p>
    <w:p>
      <w:pPr>
        <w:pStyle w:val="ListBullet"/>
      </w:pPr>
      <w:r>
        <w:t>품질보증팀 이관 대상: 인증 유효성 판단, 이력 조회 결과 불일치, 원산지 표시 오류 주장</w:t>
      </w:r>
    </w:p>
    <w:p>
      <w:pPr>
        <w:pStyle w:val="Heading3"/>
      </w:pPr>
      <w:r>
        <w:t>4.2 기록</w:t>
      </w:r>
    </w:p>
    <w:p>
      <w:r>
        <w:t>인증·이력·원산지 관련 문의는 상담 시스템에 "인증/이력" 카테고리로 기록하고, 확인된 이력번호 또는 로트번호를 함께 기재한다(HR-CS-003 §5.4의 기록 의무와 동일 기준).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