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rPr>
          <w:sz w:val="32"/>
          <w:szCs w:val="32"/>
        </w:rPr>
      </w:pPr>
      <w:bookmarkStart w:colFirst="0" w:colLast="0" w:name="_byig5bhrwqn" w:id="0"/>
      <w:bookmarkEnd w:id="0"/>
      <w:r w:rsidDel="00000000" w:rsidR="00000000" w:rsidRPr="00000000">
        <w:rPr>
          <w:sz w:val="22"/>
          <w:szCs w:val="22"/>
        </w:rPr>
        <w:drawing>
          <wp:inline distB="0" distT="0" distL="0" distR="0">
            <wp:extent cx="1576161" cy="277813"/>
            <wp:effectExtent b="0" l="0" r="0" t="0"/>
            <wp:docPr descr="Image result for nestready logo" id="7" name="image13.png"/>
            <a:graphic>
              <a:graphicData uri="http://schemas.openxmlformats.org/drawingml/2006/picture">
                <pic:pic>
                  <pic:nvPicPr>
                    <pic:cNvPr descr="Image result for nestready logo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161" cy="27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before="200" w:lineRule="auto"/>
        <w:jc w:val="both"/>
        <w:rPr>
          <w:rFonts w:ascii="Montserrat" w:cs="Montserrat" w:eastAsia="Montserrat" w:hAnsi="Montserrat"/>
          <w:color w:val="4f4f52"/>
          <w:sz w:val="24"/>
          <w:szCs w:val="24"/>
        </w:rPr>
      </w:pPr>
      <w:bookmarkStart w:colFirst="0" w:colLast="0" w:name="_4ko6f4vavcwo" w:id="1"/>
      <w:bookmarkEnd w:id="1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From discovery to refinancing and beyond, NestReady helps lenders integrate mortgage and real estate to provide the seamless digital homebuying experience consumers are looking for.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58000" cy="2781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center"/>
        <w:tblLayout w:type="fixed"/>
        <w:tblLook w:val="0600"/>
      </w:tblPr>
      <w:tblGrid>
        <w:gridCol w:w="3600"/>
        <w:gridCol w:w="3600"/>
        <w:gridCol w:w="3600"/>
        <w:tblGridChange w:id="0">
          <w:tblGrid>
            <w:gridCol w:w="3600"/>
            <w:gridCol w:w="3600"/>
            <w:gridCol w:w="36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Overpass" w:cs="Overpass" w:eastAsia="Overpass" w:hAnsi="Overpass"/>
                <w:color w:val="4599d4"/>
                <w:sz w:val="60"/>
                <w:szCs w:val="60"/>
              </w:rPr>
            </w:pPr>
            <w:r w:rsidDel="00000000" w:rsidR="00000000" w:rsidRPr="00000000">
              <w:rPr>
                <w:rFonts w:ascii="Overpass" w:cs="Overpass" w:eastAsia="Overpass" w:hAnsi="Overpass"/>
                <w:b w:val="1"/>
                <w:color w:val="4599d4"/>
                <w:sz w:val="60"/>
                <w:szCs w:val="60"/>
                <w:rtl w:val="0"/>
              </w:rPr>
              <w:t xml:space="preserve">97%</w:t>
            </w:r>
            <w:r w:rsidDel="00000000" w:rsidR="00000000" w:rsidRPr="00000000">
              <w:rPr>
                <w:rFonts w:ascii="Overpass" w:cs="Overpass" w:eastAsia="Overpass" w:hAnsi="Overpass"/>
                <w:color w:val="4599d4"/>
                <w:sz w:val="60"/>
                <w:szCs w:val="6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9">
            <w:pPr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of U.S homeowners say they find </w:t>
            </w:r>
            <w:r w:rsidDel="00000000" w:rsidR="00000000" w:rsidRPr="00000000">
              <w:rPr>
                <w:rFonts w:ascii="Overpass" w:cs="Overpass" w:eastAsia="Overpass" w:hAnsi="Overpass"/>
                <w:b w:val="1"/>
                <w:rtl w:val="0"/>
              </w:rPr>
              <w:t xml:space="preserve">working with multiple vendors</w:t>
            </w: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 during the homeownership experience frustrating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Overpass" w:cs="Overpass" w:eastAsia="Overpass" w:hAnsi="Overpass"/>
                <w:color w:val="4599d4"/>
                <w:sz w:val="60"/>
                <w:szCs w:val="60"/>
              </w:rPr>
            </w:pPr>
            <w:r w:rsidDel="00000000" w:rsidR="00000000" w:rsidRPr="00000000">
              <w:rPr>
                <w:rFonts w:ascii="Overpass" w:cs="Overpass" w:eastAsia="Overpass" w:hAnsi="Overpass"/>
                <w:b w:val="1"/>
                <w:color w:val="4599d4"/>
                <w:sz w:val="60"/>
                <w:szCs w:val="60"/>
                <w:rtl w:val="0"/>
              </w:rPr>
              <w:t xml:space="preserve">85</w:t>
            </w:r>
            <w:r w:rsidDel="00000000" w:rsidR="00000000" w:rsidRPr="00000000">
              <w:rPr>
                <w:rFonts w:ascii="Overpass" w:cs="Overpass" w:eastAsia="Overpass" w:hAnsi="Overpass"/>
                <w:b w:val="1"/>
                <w:color w:val="4599d4"/>
                <w:sz w:val="60"/>
                <w:szCs w:val="60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    </w:t>
            </w: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of homebuyers search for   </w:t>
            </w:r>
          </w:p>
          <w:p w:rsidR="00000000" w:rsidDel="00000000" w:rsidP="00000000" w:rsidRDefault="00000000" w:rsidRPr="00000000" w14:paraId="0000000C">
            <w:pPr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    mortgage before looking for a</w:t>
            </w:r>
          </w:p>
          <w:p w:rsidR="00000000" w:rsidDel="00000000" w:rsidP="00000000" w:rsidRDefault="00000000" w:rsidRPr="00000000" w14:paraId="0000000D">
            <w:pPr>
              <w:rPr>
                <w:rFonts w:ascii="Overpass" w:cs="Overpass" w:eastAsia="Overpass" w:hAnsi="Overpass"/>
                <w:b w:val="1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    home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Overpass" w:cs="Overpass" w:eastAsia="Overpass" w:hAnsi="Overpass"/>
                <w:color w:val="4599d4"/>
                <w:sz w:val="60"/>
                <w:szCs w:val="60"/>
              </w:rPr>
            </w:pPr>
            <w:r w:rsidDel="00000000" w:rsidR="00000000" w:rsidRPr="00000000">
              <w:rPr>
                <w:rFonts w:ascii="Overpass" w:cs="Overpass" w:eastAsia="Overpass" w:hAnsi="Overpass"/>
                <w:b w:val="1"/>
                <w:color w:val="4599d4"/>
                <w:sz w:val="60"/>
                <w:szCs w:val="60"/>
                <w:rtl w:val="0"/>
              </w:rPr>
              <w:t xml:space="preserve">27%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of consumers say end-to-end customer service would convince them to apply for a mortgage with their current bank, </w:t>
            </w:r>
            <w:r w:rsidDel="00000000" w:rsidR="00000000" w:rsidRPr="00000000">
              <w:rPr>
                <w:rFonts w:ascii="Overpass" w:cs="Overpass" w:eastAsia="Overpass" w:hAnsi="Overpass"/>
                <w:b w:val="1"/>
                <w:rtl w:val="0"/>
              </w:rPr>
              <w:t xml:space="preserve">even if it did not offer the best rates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b w:val="1"/>
          <w:color w:val="4f4f52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b w:val="1"/>
          <w:color w:val="4f4f52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f4f52"/>
          <w:sz w:val="32"/>
          <w:szCs w:val="32"/>
          <w:rtl w:val="0"/>
        </w:rPr>
        <w:t xml:space="preserve">Trusted By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Montserrat" w:cs="Montserrat" w:eastAsia="Montserrat" w:hAnsi="Montserrat"/>
          <w:b w:val="1"/>
          <w:color w:val="4f4f52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2824163</wp:posOffset>
            </wp:positionH>
            <wp:positionV relativeFrom="paragraph">
              <wp:posOffset>38100</wp:posOffset>
            </wp:positionV>
            <wp:extent cx="1066260" cy="814388"/>
            <wp:effectExtent b="0" l="0" r="0" t="0"/>
            <wp:wrapSquare wrapText="bothSides" distB="0" distT="0" distL="0" distR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260" cy="814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1419225</wp:posOffset>
            </wp:positionH>
            <wp:positionV relativeFrom="paragraph">
              <wp:posOffset>76200</wp:posOffset>
            </wp:positionV>
            <wp:extent cx="1213842" cy="318110"/>
            <wp:effectExtent b="0" l="0" r="0" t="0"/>
            <wp:wrapSquare wrapText="bothSides" distB="0" distT="0" distL="0" distR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3842" cy="318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4086225</wp:posOffset>
            </wp:positionH>
            <wp:positionV relativeFrom="paragraph">
              <wp:posOffset>14288</wp:posOffset>
            </wp:positionV>
            <wp:extent cx="1242378" cy="433388"/>
            <wp:effectExtent b="0" l="0" r="0" t="0"/>
            <wp:wrapSquare wrapText="bothSides" distB="0" distT="0" distL="0" distR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19277" l="0" r="0" t="26506"/>
                    <a:stretch>
                      <a:fillRect/>
                    </a:stretch>
                  </pic:blipFill>
                  <pic:spPr>
                    <a:xfrm>
                      <a:off x="0" y="0"/>
                      <a:ext cx="1242378" cy="433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</wp:posOffset>
            </wp:positionH>
            <wp:positionV relativeFrom="paragraph">
              <wp:posOffset>76200</wp:posOffset>
            </wp:positionV>
            <wp:extent cx="1209559" cy="423863"/>
            <wp:effectExtent b="0" l="0" r="0" t="0"/>
            <wp:wrapSquare wrapText="bothSides" distB="0" distT="0" distL="0" distR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559" cy="423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5514975</wp:posOffset>
            </wp:positionH>
            <wp:positionV relativeFrom="paragraph">
              <wp:posOffset>47625</wp:posOffset>
            </wp:positionV>
            <wp:extent cx="1300163" cy="366713"/>
            <wp:effectExtent b="0" l="0" r="0" t="0"/>
            <wp:wrapSquare wrapText="bothSides" distB="0" distT="0" distL="0" distR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366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Montserrat" w:cs="Montserrat" w:eastAsia="Montserrat" w:hAnsi="Montserrat"/>
          <w:b w:val="1"/>
          <w:color w:val="4f4f52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Montserrat" w:cs="Montserrat" w:eastAsia="Montserrat" w:hAnsi="Montserrat"/>
          <w:b w:val="1"/>
          <w:color w:val="4f4f5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f4f52"/>
          <w:sz w:val="32"/>
          <w:szCs w:val="32"/>
          <w:rtl w:val="0"/>
        </w:rPr>
        <w:t xml:space="preserve">Offerings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Ind w:w="0.0" w:type="pct"/>
        <w:tblLayout w:type="fixed"/>
        <w:tblLook w:val="0600"/>
      </w:tblPr>
      <w:tblGrid>
        <w:gridCol w:w="5040"/>
        <w:gridCol w:w="660"/>
        <w:gridCol w:w="5100"/>
        <w:tblGridChange w:id="0">
          <w:tblGrid>
            <w:gridCol w:w="5040"/>
            <w:gridCol w:w="660"/>
            <w:gridCol w:w="5100"/>
          </w:tblGrid>
        </w:tblGridChange>
      </w:tblGrid>
      <w:t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Fonts w:ascii="Overpass" w:cs="Overpass" w:eastAsia="Overpass" w:hAnsi="Overpass"/>
              </w:rPr>
              <w:drawing>
                <wp:inline distB="114300" distT="114300" distL="114300" distR="114300">
                  <wp:extent cx="1412802" cy="1062038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802" cy="1062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E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1486597" cy="1128713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597" cy="1128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  <w:rtl w:val="0"/>
              </w:rPr>
              <w:t xml:space="preserve">Loan Officer Platform</w:t>
            </w:r>
          </w:p>
          <w:p w:rsidR="00000000" w:rsidDel="00000000" w:rsidP="00000000" w:rsidRDefault="00000000" w:rsidRPr="00000000" w14:paraId="00000020">
            <w:pPr>
              <w:ind w:left="360" w:firstLine="0"/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Attract top talent and empower every loan </w:t>
            </w:r>
          </w:p>
          <w:p w:rsidR="00000000" w:rsidDel="00000000" w:rsidP="00000000" w:rsidRDefault="00000000" w:rsidRPr="00000000" w14:paraId="00000021">
            <w:pPr>
              <w:ind w:left="360" w:firstLine="0"/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originator in your organization with a state-of-the-art platform for nurturing leads and supporting clients throughout the homebuying process.</w:t>
            </w:r>
          </w:p>
          <w:p w:rsidR="00000000" w:rsidDel="00000000" w:rsidP="00000000" w:rsidRDefault="00000000" w:rsidRPr="00000000" w14:paraId="00000022">
            <w:pPr>
              <w:ind w:left="360" w:firstLine="0"/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ind w:left="360" w:firstLine="0"/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  <w:rtl w:val="0"/>
              </w:rPr>
              <w:t xml:space="preserve">Realtor Platform</w:t>
            </w:r>
          </w:p>
          <w:p w:rsidR="00000000" w:rsidDel="00000000" w:rsidP="00000000" w:rsidRDefault="00000000" w:rsidRPr="00000000" w14:paraId="00000026">
            <w:pPr>
              <w:ind w:left="360" w:firstLine="0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Generate referrals from our realtor network, promote listings, and build relationships with local real estate professionals.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  <w:drawing>
                <wp:inline distB="114300" distT="114300" distL="114300" distR="114300">
                  <wp:extent cx="1505255" cy="1133475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255" cy="113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8">
            <w:pPr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9">
            <w:pPr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962025</wp:posOffset>
                  </wp:positionH>
                  <wp:positionV relativeFrom="paragraph">
                    <wp:posOffset>111954</wp:posOffset>
                  </wp:positionV>
                  <wp:extent cx="1347788" cy="1040571"/>
                  <wp:effectExtent b="0" l="0" r="0" t="0"/>
                  <wp:wrapSquare wrapText="bothSides" distB="0" distT="0" distL="0" distR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788" cy="10405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A">
            <w:pPr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  <w:rtl w:val="0"/>
              </w:rPr>
              <w:t xml:space="preserve">NestFinder</w:t>
            </w:r>
          </w:p>
          <w:p w:rsidR="00000000" w:rsidDel="00000000" w:rsidP="00000000" w:rsidRDefault="00000000" w:rsidRPr="00000000" w14:paraId="0000002F">
            <w:pPr>
              <w:ind w:left="360" w:firstLine="0"/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Integrate every step of the homebuyer’s journey into your digital presence with a white-label platform that offers the seamless homebuying experience your clients expect.</w:t>
            </w:r>
          </w:p>
          <w:p w:rsidR="00000000" w:rsidDel="00000000" w:rsidP="00000000" w:rsidRDefault="00000000" w:rsidRPr="00000000" w14:paraId="00000030">
            <w:pPr>
              <w:ind w:left="360" w:firstLine="0"/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  <w:rtl w:val="0"/>
              </w:rPr>
              <w:t xml:space="preserve">NestEngage</w:t>
            </w:r>
          </w:p>
          <w:p w:rsidR="00000000" w:rsidDel="00000000" w:rsidP="00000000" w:rsidRDefault="00000000" w:rsidRPr="00000000" w14:paraId="00000033">
            <w:pPr>
              <w:ind w:left="360" w:firstLine="0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Extend your relationships with clients by providing home profile pages featuring market trends, a refinancing calculator, and other homeowner tools.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1166813</wp:posOffset>
                  </wp:positionH>
                  <wp:positionV relativeFrom="paragraph">
                    <wp:posOffset>323850</wp:posOffset>
                  </wp:positionV>
                  <wp:extent cx="923925" cy="923925"/>
                  <wp:effectExtent b="0" l="0" r="0" t="0"/>
                  <wp:wrapSquare wrapText="bothSides" distB="114300" distT="114300" distL="114300" distR="11430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5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Overpass" w:cs="Overpass" w:eastAsia="Overpass" w:hAnsi="Overpas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Overpass" w:cs="Overpass" w:eastAsia="Overpass" w:hAnsi="Overpass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Overpass" w:cs="Overpass" w:eastAsia="Overpass" w:hAnsi="Overpas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Overpass" w:cs="Overpass" w:eastAsia="Overpass" w:hAnsi="Overpass"/>
                <w:b w:val="1"/>
                <w:sz w:val="28"/>
                <w:szCs w:val="28"/>
                <w:rtl w:val="0"/>
              </w:rPr>
              <w:t xml:space="preserve">     Get up to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left"/>
              <w:rPr>
                <w:rFonts w:ascii="Overpass" w:cs="Overpass" w:eastAsia="Overpass" w:hAnsi="Overpass"/>
                <w:sz w:val="72"/>
                <w:szCs w:val="72"/>
              </w:rPr>
            </w:pPr>
            <w:r w:rsidDel="00000000" w:rsidR="00000000" w:rsidRPr="00000000">
              <w:rPr>
                <w:rFonts w:ascii="Overpass" w:cs="Overpass" w:eastAsia="Overpass" w:hAnsi="Overpass"/>
                <w:b w:val="1"/>
                <w:color w:val="4599d4"/>
                <w:sz w:val="72"/>
                <w:szCs w:val="72"/>
                <w:rtl w:val="0"/>
              </w:rPr>
              <w:t xml:space="preserve">    90%</w:t>
            </w:r>
            <w:r w:rsidDel="00000000" w:rsidR="00000000" w:rsidRPr="00000000">
              <w:rPr>
                <w:rFonts w:ascii="Overpass" w:cs="Overpass" w:eastAsia="Overpass" w:hAnsi="Overpass"/>
                <w:sz w:val="72"/>
                <w:szCs w:val="72"/>
                <w:rtl w:val="0"/>
              </w:rPr>
              <w:t xml:space="preserve">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857250</wp:posOffset>
                  </wp:positionH>
                  <wp:positionV relativeFrom="paragraph">
                    <wp:posOffset>114300</wp:posOffset>
                  </wp:positionV>
                  <wp:extent cx="338138" cy="338138"/>
                  <wp:effectExtent b="0" l="0" r="0" t="0"/>
                  <wp:wrapSquare wrapText="bothSides" distB="114300" distT="114300" distL="114300" distR="11430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8" cy="338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Fonts w:ascii="Overpass" w:cs="Overpass" w:eastAsia="Overpass" w:hAnsi="Overpass"/>
                <w:b w:val="1"/>
                <w:sz w:val="28"/>
                <w:szCs w:val="28"/>
                <w:rtl w:val="0"/>
              </w:rPr>
              <w:t xml:space="preserve">        more leads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Montserrat" w:cs="Montserrat" w:eastAsia="Montserrat" w:hAnsi="Montserrat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  <w:rtl w:val="0"/>
              </w:rPr>
              <w:t xml:space="preserve">NestGrowth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ind w:left="450" w:firstLine="0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Deliver a personalized message, at the right time, to the right lead or client with an advanced nurturing system powered by artificial intelligence.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Montserrat" w:cs="Montserrat" w:eastAsia="Montserrat" w:hAnsi="Montserrat"/>
                <w:b w:val="1"/>
                <w:color w:val="4599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</w:tcPr>
          <w:p w:rsidR="00000000" w:rsidDel="00000000" w:rsidP="00000000" w:rsidRDefault="00000000" w:rsidRPr="00000000" w14:paraId="00000040">
            <w:pPr>
              <w:ind w:left="270" w:firstLine="0"/>
              <w:rPr>
                <w:rFonts w:ascii="Overpass" w:cs="Overpass" w:eastAsia="Overpass" w:hAnsi="Overpass"/>
              </w:rPr>
            </w:pPr>
            <w:r w:rsidDel="00000000" w:rsidR="00000000" w:rsidRPr="00000000">
              <w:rPr>
                <w:rFonts w:ascii="Overpass" w:cs="Overpass" w:eastAsia="Overpass" w:hAnsi="Overpass"/>
                <w:rtl w:val="0"/>
              </w:rPr>
              <w:t xml:space="preserve">Generate your own qualified prospects and become the trusted brand for your clients’ homebuying needs. NestReady customers generate up to 90% more leads on their platforms.</w:t>
            </w:r>
          </w:p>
        </w:tc>
      </w:tr>
    </w:tbl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  <w:b w:val="1"/>
          <w:color w:val="4f4f52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verpas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3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Overpass-regular.ttf"/><Relationship Id="rId6" Type="http://schemas.openxmlformats.org/officeDocument/2006/relationships/font" Target="fonts/Overpass-bold.ttf"/><Relationship Id="rId7" Type="http://schemas.openxmlformats.org/officeDocument/2006/relationships/font" Target="fonts/Overpass-italic.ttf"/><Relationship Id="rId8" Type="http://schemas.openxmlformats.org/officeDocument/2006/relationships/font" Target="fonts/Overpas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