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mwennjtvk8dg" w:id="0"/>
      <w:bookmarkEnd w:id="0"/>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Formatted Analysis: Specificity Index</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Core Concept &amp; Underlying Principle: The "Specificity Index" is a conceptual metric used to evaluate the informational richness, clarity, and unambiguous nature of a creative prompt. The underlying principle is that the quality, uniqueness, and intentionality of an AI-generated output are directly proportional to the specificity of the input prompt. Vague prompts (e.g., "a sad scene") lead to generic, clichéd outputs based on the most common tropes in the AI's training data. A high-specificity prompt constrains the AI's probabilistic field, forcing it to synthesize a unique combination of elements that aligns with the creator's specific vision. This shifts the AI's role from a creative partner to a highly skilled technical executor, ensuring human intentionality is the driving force.</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The Anatomy of a High-Specificity Prompt (Key Components): A high-specificity prompt is a structured set of interdependent components that provide a comprehensive blueprint for the AI.</w:t>
        <w:br w:type="textWrapping"/>
        <w:t xml:space="preserve"> A. Subject &amp; Action: Moves from a generic subject to a detailed one with a clear action. Low Specificity: "A man." High Specificity: "A weary, old fisherman with a weathered, sun-tanned face and a thick, salt-and-pepper beard, meticulously mending his tangled, sun-bleached nets at dawn."</w:t>
        <w:br w:type="textWrapping"/>
        <w:t xml:space="preserve"> B. Setting &amp; Environment: Transforms a nondescript location into a tangible environment. Low Specificity: "In a forest." High Specificity: "In a dense, misty redwood forest... where towering ancient trees create a dark canopy, allowing only sharp, dramatic sunbeams to pierce the gloom..."</w:t>
        <w:br w:type="textWrapping"/>
        <w:t xml:space="preserve"> C. Composition &amp; Framing: Dictates the virtual "camera shot," angle, and perspective. Low Specificity: "A photo of a car." High Specificity: "Extreme close-up shot focusing on the chrome grille of a vintage 1969 muscle car, captured from a low-angle view, reflecting a neon-lit, rain-slicked city street at night."</w:t>
        <w:br w:type="textWrapping"/>
        <w:t xml:space="preserve"> D. Lighting &amp; Atmosphere: Sculpts the emotional tone and mood through descriptions of light. Low Specificity: "A sad scene." High Specificity: "A lone figure silhouetted against a large, rain-streaked window. Cinematic volumetric lighting from the cold, blue streetlights outside... The mood is melancholic, quiet, and introspective."</w:t>
        <w:br w:type="textWrapping"/>
        <w:t xml:space="preserve"> E. Stylistic &amp; Technical Details: Defines the artistic medium, specific style, and technical parameters. Low Specificity: "A drawing of a woman." High Specificity: "An Art Nouveau illustration of a woman with flowing, sinuous hair... style of Alphonse Mucha and Aubrey Beardsley. 8K, hyper-detailed, sharp focus."</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Strategic Applications &amp; Benefits:Controlling the AI's Output: The primary benefit is gaining fine-grained creative control and reducing the random nature of generative models. This is non-negotiable in professional contexts where the output must align with a specific brand identity or art direction.</w:t>
        <w:br w:type="textWrapping"/>
        <w:t xml:space="preserve"> Improving Efficiency: A specific prompt dramatically increases the probability of achieving the desired result on the first try, saving time and computational resources (credits) by reducing the number of "re-rolls" needed.</w:t>
        <w:br w:type="textWrapping"/>
        <w:t xml:space="preserve"> Achieving a Unique Aesthetic: Layering highly specific and often unconventional combinations of styles and details is the key to breaking away from the AI's default "generic look" and developing a signature visual language.</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rtl w:val="0"/>
        </w:rPr>
        <w:t xml:space="preserve">Practical Application (Full Prompt Comparison): A side-by-side comparison for the core idea of a "futuristic city" illustrates the power of specificity.</w:t>
        <w:br w:type="textWrapping"/>
        <w:t xml:space="preserve"> Low-Specificity Prompt: "A futuristic city with flying cars, cinematic." This will likely default to a generic, dystopian cyberpunk aesthetic based on the most dominant representation in the training data.</w:t>
        <w:br w:type="textWrapping"/>
        <w:t xml:space="preserve"> High-Specificity Prompt: "Epic wide shot of a futuristic 'Solarpunk' city at sunset. Gleaming white towers with integrated rooftop gardens and translucent sky-bridges are bathed in the warm, golden hour light... The atmosphere is optimistic, clean, and hopeful. Style of Hayao Miyazaki. 8K, hyper-detailed." This prompt rejects the default by specifying a sub-genre (Solarpunk), a time of day, a mood, specific architectural details, and a unique artistic style, leading to a much more intentional and unique output.</w:t>
      </w:r>
    </w:p>
    <w:p w:rsidR="00000000" w:rsidDel="00000000" w:rsidP="00000000" w:rsidRDefault="00000000" w:rsidRPr="00000000" w14:paraId="00000007">
      <w:pPr>
        <w:spacing w:after="240" w:before="240" w:lineRule="auto"/>
        <w:rPr/>
      </w:pPr>
      <w:r w:rsidDel="00000000" w:rsidR="00000000" w:rsidRPr="00000000">
        <w:rPr>
          <w:rtl w:val="0"/>
        </w:rPr>
        <w:t xml:space="preserve">Formatted Analysis: Creativity Score</w:t>
      </w:r>
    </w:p>
    <w:p w:rsidR="00000000" w:rsidDel="00000000" w:rsidP="00000000" w:rsidRDefault="00000000" w:rsidRPr="00000000" w14:paraId="00000008">
      <w:pPr>
        <w:numPr>
          <w:ilvl w:val="0"/>
          <w:numId w:val="4"/>
        </w:numPr>
        <w:spacing w:after="0" w:afterAutospacing="0" w:before="240" w:lineRule="auto"/>
        <w:ind w:left="720" w:hanging="360"/>
      </w:pPr>
      <w:r w:rsidDel="00000000" w:rsidR="00000000" w:rsidRPr="00000000">
        <w:rPr>
          <w:rtl w:val="0"/>
        </w:rPr>
        <w:t xml:space="preserve">Core Concept &amp; Underlying Principle: The "Creativity Score" is a conceptual metric for evaluating a prompt's potential to elicit novel, surprising, and original outputs from a generative AI model. Its underlying principle is that while the Specificity Index controls for precision and detail, the Creativity Score controls for originality. The goal is to guide the AI away from clichés and towards generating genuinely new ideas by creating a state of "bounded chaos"—where intentional conceptual friction is framed by specific constraints.</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The Anatomy of a High-Creativity Prompt (Key Components): A high Creativity Score emerges from the synergistic application of several techniques designed to guide the AI away from statistical averages.</w:t>
        <w:br w:type="textWrapping"/>
        <w:t xml:space="preserve"> A. Conceptual Blending (Juxtaposition): This is the most powerful technique, involving the combination of two or more disparate or unexpected concepts to create a new, emergent idea that is more than the sum of its parts (e.g., "Steampunk" + "Jellyfish," "A library made of chocolate").</w:t>
        <w:br w:type="textWrapping"/>
        <w:t xml:space="preserve"> B. Metaphorical &amp; Abstract Language: This method uses figurative language instead of literal descriptions to compel the AI to find non-obvious connections within its latent space (e.g., "architecture that feels like frozen music," "a building that embodies the feeling of a forgotten memory").</w:t>
        <w:br w:type="textWrapping"/>
        <w:t xml:space="preserve"> C. Trope Subversion: This involves explicitly instructing the AI to avoid common clichés associated with a topic, often using negative prompts. This forces the model to find a novel representation (e.g., "A powerful wizard. Negative prompt: no beard, no hat, no staff, no robes ").</w:t>
        <w:br w:type="textWrapping"/>
        <w:t xml:space="preserve"> D. Cross-Domain Stylistic Fusion: This is the deliberate combination of artistic styles, mediums, or aesthetics from completely different disciplines or eras (e.g., "A hyper-realistic photograph... in the dramatic chiaroscuro lighting of a Rembrandt painting," "A 3D render of a spaceship, in the style of a delicate watercolor painting").</w:t>
      </w:r>
    </w:p>
    <w:p w:rsidR="00000000" w:rsidDel="00000000" w:rsidP="00000000" w:rsidRDefault="00000000" w:rsidRPr="00000000" w14:paraId="0000000A">
      <w:pPr>
        <w:numPr>
          <w:ilvl w:val="0"/>
          <w:numId w:val="4"/>
        </w:numPr>
        <w:spacing w:after="0" w:afterAutospacing="0" w:before="0" w:beforeAutospacing="0" w:lineRule="auto"/>
        <w:ind w:left="720" w:hanging="360"/>
      </w:pPr>
      <w:r w:rsidDel="00000000" w:rsidR="00000000" w:rsidRPr="00000000">
        <w:rPr>
          <w:rtl w:val="0"/>
        </w:rPr>
        <w:t xml:space="preserve">Strategic Applications &amp; Benefits:Breaking Creative Blocks: Using the AI as an unconventional brainstorming partner to generate unexpected starting points that a human team might never consider, thus overcoming "design fixation".</w:t>
        <w:br w:type="textWrapping"/>
        <w:t xml:space="preserve"> Developing a Unique Brand World: Constructing an "Aesthetic Moat" by consistently applying a specific, high-creativity conceptual blend across all brand assets. This creates a distinctive and defensible brand identity that cannot be easily replicated with generic prompts.</w:t>
        <w:br w:type="textWrapping"/>
        <w:t xml:space="preserve"> Generating Viral "WTF" Content: High-creativity prompts are often the source of viral AI art that captures attention due to its sheer novelty and unexpectedness (e.g., the Pope in a puffer jacket). This content is highly shareable because its novelty acts as "social currency".</w:t>
      </w:r>
    </w:p>
    <w:p w:rsidR="00000000" w:rsidDel="00000000" w:rsidP="00000000" w:rsidRDefault="00000000" w:rsidRPr="00000000" w14:paraId="0000000B">
      <w:pPr>
        <w:numPr>
          <w:ilvl w:val="0"/>
          <w:numId w:val="4"/>
        </w:numPr>
        <w:spacing w:after="240" w:before="0" w:beforeAutospacing="0" w:lineRule="auto"/>
        <w:ind w:left="720" w:hanging="360"/>
      </w:pPr>
      <w:r w:rsidDel="00000000" w:rsidR="00000000" w:rsidRPr="00000000">
        <w:rPr>
          <w:rtl w:val="0"/>
        </w:rPr>
        <w:t xml:space="preserve">Practical Application (Full Prompt Comparison): A side-by-side comparison for the core idea of a "knight" illustrates the difference.</w:t>
        <w:br w:type="textWrapping"/>
        <w:t xml:space="preserve"> Low-Creativity Prompt: "A heroic knight in shining armor, holding a sword, fantasy art, cinematic lighting." This prompt reinforces every cliché and will result in a generic, predictable image.</w:t>
        <w:br w:type="textWrapping"/>
        <w:t xml:space="preserve"> High-Creativity Prompt: "A Biopunk knight whose armor is a living, symbiotic biomechanical exoskeleton made of iridescent chitin and glowing mycelium. Instead of a sword, he wields a whip-like vine that crackles with bio-electricity. The mood is dark, mysterious, and organic. Style of H.R. Giger and Zdzisław Beksiński." This prompt uses strong conceptual blending, trope subversion (no sword), and sophisticated stylistic fusion, forcing the AI to solve a complex creative problem and generate a highly original output.</w:t>
      </w:r>
    </w:p>
    <w:p w:rsidR="00000000" w:rsidDel="00000000" w:rsidP="00000000" w:rsidRDefault="00000000" w:rsidRPr="00000000" w14:paraId="0000000C">
      <w:pPr>
        <w:spacing w:after="240" w:before="240" w:lineRule="auto"/>
        <w:rPr/>
      </w:pPr>
      <w:r w:rsidDel="00000000" w:rsidR="00000000" w:rsidRPr="00000000">
        <w:rPr>
          <w:rtl w:val="0"/>
        </w:rPr>
        <w:t xml:space="preserve">Technical Accuracy</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Core Concept &amp; Underlying Principle: "Technical Accuracy" is a metric that evaluates how factually correct, precise, and contextually appropriate an AI's output is. It comprises three dimensions: Correctness (factually true vs. ground truth), Faithfulness (adhering strictly to a provided context), and Precision (specific and unambiguous). The underlying challenge is that LLMs are "coherency engines," not databases; they are optimized to generate plausible-sounding text, which can lead to confident but factually incorrect statements known as "hallucinations."</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The Anatomy of a High-Accuracy Prompt (Key Levers):A. Providing Grounding Context (RAG): This is the most effective technique. It involves providing the LLM with an authoritative source document and instructing it to base its answer only on that text, reframing the task from open-ended recall to closed-domain synthesis.</w:t>
        <w:br w:type="textWrapping"/>
        <w:t xml:space="preserve"> B. Zero-Shot Chain-of-Thought (CoT): Appending "Let's think step by step" to a prompt forces the model to generate its reasoning process. This makes the logic transparent and auditable, reducing the chance of the model making an erroneous inferential leap.</w:t>
        <w:br w:type="textWrapping"/>
        <w:t xml:space="preserve"> C. Explicitly Asking for Citations: Instructing the model to provide direct quotes or references from the provided grounding context to support its claims. This creates a verifiable link between the claim and the source evidence.</w:t>
        <w:br w:type="textWrapping"/>
        <w:t xml:space="preserve"> D. Persona Priming: Assigning an expert role (e.g., "You are a PhD-level physicist") can prime the model to activate and draw from more accurate and domain-specific knowledge clusters in its training data.</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Strategic Applications &amp; Benefits:Factual Content Generation: Essential for journalism, reports, and summaries where factual correctness is non-negotiable.</w:t>
        <w:br w:type="textWrapping"/>
        <w:t xml:space="preserve"> Educational Tools: Ensuring that AI-generated explanations for students are accurate and reliable.</w:t>
        <w:br w:type="textWrapping"/>
        <w:t xml:space="preserve"> Enterprise &amp; Technical Use Cases: Critical for tasks like summarizing legal documents, analyzing financial reports, or generating technical documentation. In all high-stakes domains, mandatory human oversight by a qualified expert is the ultimate backstop.</w:t>
      </w:r>
    </w:p>
    <w:p w:rsidR="00000000" w:rsidDel="00000000" w:rsidP="00000000" w:rsidRDefault="00000000" w:rsidRPr="00000000" w14:paraId="00000010">
      <w:pPr>
        <w:numPr>
          <w:ilvl w:val="0"/>
          <w:numId w:val="2"/>
        </w:numPr>
        <w:spacing w:after="240" w:before="0" w:beforeAutospacing="0" w:lineRule="auto"/>
        <w:ind w:left="720" w:hanging="360"/>
      </w:pPr>
      <w:r w:rsidDel="00000000" w:rsidR="00000000" w:rsidRPr="00000000">
        <w:rPr>
          <w:rtl w:val="0"/>
        </w:rPr>
        <w:t xml:space="preserve">Practical Application (Full Prompt Comparison): For the task "Explain the significance of the Turing Test":</w:t>
        <w:br w:type="textWrapping"/>
        <w:t xml:space="preserve"> Low-Accuracy Prompt: "What is the Turing Test?" This is open-ended and highly vulnerable to oversimplification and hallucination.</w:t>
        <w:br w:type="textWrapping"/>
        <w:t xml:space="preserve"> High-Accuracy Prompt: "You are a university professor specializing in the history of artificial intelligence. Using ONLY the provided academic paper... explain the original purpose... its primary philosophical implications... and two common modern criticisms... Provide a direct quote from the paper to support each point. Let's think step by step." This prompt layers Persona Priming, RAG (Grounding), Structured Output Instruction, Explicit Citation, and CoT to maximize accuracy and reliability.</w:t>
      </w:r>
    </w:p>
    <w:p w:rsidR="00000000" w:rsidDel="00000000" w:rsidP="00000000" w:rsidRDefault="00000000" w:rsidRPr="00000000" w14:paraId="00000011">
      <w:pPr>
        <w:spacing w:after="240" w:before="240" w:lineRule="auto"/>
        <w:rPr/>
      </w:pPr>
      <w:r w:rsidDel="00000000" w:rsidR="00000000" w:rsidRPr="00000000">
        <w:rPr>
          <w:rtl w:val="0"/>
        </w:rPr>
        <w:t xml:space="preserve">Emotional Resonance</w:t>
      </w:r>
    </w:p>
    <w:p w:rsidR="00000000" w:rsidDel="00000000" w:rsidP="00000000" w:rsidRDefault="00000000" w:rsidRPr="00000000" w14:paraId="00000012">
      <w:pPr>
        <w:numPr>
          <w:ilvl w:val="0"/>
          <w:numId w:val="1"/>
        </w:numPr>
        <w:spacing w:after="0" w:afterAutospacing="0" w:before="240" w:lineRule="auto"/>
        <w:ind w:left="720" w:hanging="360"/>
      </w:pPr>
      <w:r w:rsidDel="00000000" w:rsidR="00000000" w:rsidRPr="00000000">
        <w:rPr>
          <w:rtl w:val="0"/>
        </w:rPr>
        <w:t xml:space="preserve">Core Concept &amp; Underlying Principle: "Emotional Resonance" is a metric that evaluates an AI output's ability to evoke a specific, intended emotion in the target audience. The underlying principle is that humans connect with and remember stories and visuals through emotion. A technically perfect but emotionally flat output will fail to engage an audience. The goal is to guide the AI to not just describe a scene, but to imbue it with a specific feeling, transforming the interaction from mere instruction to genuine inspiration.</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The Anatomy of an Emotionally Resonant Prompt (Key Levers):A. Explicit Mood &amp; Atmosphere Keywords: The most direct method, using a rich vocabulary of emotional adjectives to define the mood (e.g., "The mood is one of profound, quiet melancholy and longing," "The atmosphere is joyful, chaotic, and celebratory").</w:t>
        <w:br w:type="textWrapping"/>
        <w:t xml:space="preserve"> B. Sensory Language: Instructing the AI to use language that appeals to the senses (sight, sound, touch, smell) to create a more immersive and emotionally evocative scene (e.g., "Describe the smell of damp earth after a summer rain").</w:t>
        <w:br w:type="textWrapping"/>
        <w:t xml:space="preserve"> C. Character Psychology &amp; Internal State: Prompting for internal states rather than just external actions (e.g., "Describe a character who is trying to hide their immense fear with a confident smile").</w:t>
        <w:br w:type="textWrapping"/>
        <w:t xml:space="preserve"> D. Symbolic &amp; Metaphorical Imagery: Using objects, colors, or weather as metaphors for emotion (e.g., "Use a single, wilting flower on a windowsill to represent loneliness," "Use gathering storm clouds on the horizon to build tension").</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rtl w:val="0"/>
        </w:rPr>
        <w:t xml:space="preserve">Strategic Applications &amp; Benefits:Brand Storytelling: Creating marketing content that builds a deep emotional connection with consumers, leading to higher brand affinity and loyalty.</w:t>
        <w:br w:type="textWrapping"/>
        <w:t xml:space="preserve"> Creative Writing &amp; Filmmaking: Generating emotionally compelling scenes, character descriptions, and dialogue that will move the audience.</w:t>
        <w:br w:type="textWrapping"/>
        <w:t xml:space="preserve"> Improving User Experience (UX) Writing: Crafting chatbot responses, confirmation messages, or error messages that are empathetic and emotionally intelligent.</w:t>
      </w:r>
    </w:p>
    <w:p w:rsidR="00000000" w:rsidDel="00000000" w:rsidP="00000000" w:rsidRDefault="00000000" w:rsidRPr="00000000" w14:paraId="00000015">
      <w:pPr>
        <w:numPr>
          <w:ilvl w:val="0"/>
          <w:numId w:val="1"/>
        </w:numPr>
        <w:spacing w:after="240" w:before="0" w:beforeAutospacing="0" w:lineRule="auto"/>
        <w:ind w:left="720" w:hanging="360"/>
      </w:pPr>
      <w:r w:rsidDel="00000000" w:rsidR="00000000" w:rsidRPr="00000000">
        <w:rPr>
          <w:rtl w:val="0"/>
        </w:rPr>
        <w:t xml:space="preserve">Practical Application (Full Prompt Comparison): For the core idea of "a person waiting at a train station":</w:t>
        <w:br w:type="textWrapping"/>
        <w:t xml:space="preserve"> Low-Resonance Prompt: "A woman standing on a train platform at night."</w:t>
        <w:br w:type="textWrapping"/>
        <w:t xml:space="preserve"> High-Resonance Prompt: "A young woman stands alone on a deserted, rain-slicked train platform late at night. The mood is one of profound, quiet melancholy and longing. Use cinematic, low-key lighting... Her expression is weary but hopeful... The air should feel heavy with the smell of wet concrete..." This prompt layers multiple emotional levers for a much richer and more impactful output.</w:t>
      </w:r>
    </w:p>
    <w:p w:rsidR="00000000" w:rsidDel="00000000" w:rsidP="00000000" w:rsidRDefault="00000000" w:rsidRPr="00000000" w14:paraId="00000016">
      <w:pPr>
        <w:spacing w:after="240" w:before="240" w:lineRule="auto"/>
        <w:rPr/>
      </w:pPr>
      <w:r w:rsidDel="00000000" w:rsidR="00000000" w:rsidRPr="00000000">
        <w:rPr>
          <w:rtl w:val="0"/>
        </w:rPr>
        <w:t xml:space="preserve">Formatted Analysis: Market Relevance</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rtl w:val="0"/>
        </w:rPr>
        <w:t xml:space="preserve">Core Concept &amp; Underlying Principle: "Market Relevance" is a metric that evaluates how well a creative prompt and its output align with three core pillars: the Target Audience (The Who), the Brand Identity (The How), and the Marketing Objective (The Why). The underlying principle is that creativity, specificity, and technical accuracy are strategically useless if the final content does not connect with the intended market or support tangible business goals. This framework acts as an essential control mechanism to ensure every AI-generated asset builds brand equity and contributes to financial performance.</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rtl w:val="0"/>
        </w:rPr>
        <w:t xml:space="preserve">The Anatomy of a Market-Relevant Prompt (The Four Strategic Levers):A. The Persona Protocol (The Who): This involves embedding a rich, data-driven buyer persona directly into the prompt. To be effective, the persona must include not just demographics, but also psychographics (values, interests), goals, and pain points.</w:t>
        <w:br w:type="textWrapping"/>
        <w:t xml:space="preserve"> B. The Consistency Engine (The How): This lever translates the brand's unique identity and voice into explicit instructions for the AI. It's essential for maintaining brand consistency and overcoming the tendency of LLMs to produce generic content. A useful technique is the "This, Not That" method to provide nuance (e.g., confident but not arrogant).</w:t>
        <w:br w:type="textWrapping"/>
        <w:t xml:space="preserve"> C. The "Why" Mandate (The Campaign Objective): This requires explicitly stating the strategic goal of the content, which typically corresponds to a stage in the marketing funnel: Awareness, Consideration, or Conversion.</w:t>
        <w:br w:type="textWrapping"/>
        <w:t xml:space="preserve"> D. The Conversion Catalyst (The CTA): This is the integration of a clear, compelling, and contextually appropriate Call to Action (CTA) into the prompt. The CTA is the bridge between content consumption and a measurable business outcome.</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rtl w:val="0"/>
        </w:rPr>
        <w:t xml:space="preserve">Strategic Applications &amp; Benefits:Ensuring Marketing ROI: By linking prompts to audience data, brand voice, and specific campaign objectives (measured by KPIs), this framework creates a traceable line from the creative brief to the bottom line. Effective personalization can drive revenue increases of 10-15%.</w:t>
        <w:br w:type="textWrapping"/>
        <w:t xml:space="preserve"> Improving Audience Resonance &amp; Connection: Content that speaks to a specific persona's challenges and values creates a powerful emotional connection, which is a primary driver of purchasing decisions.</w:t>
        <w:br w:type="textWrapping"/>
        <w:t xml:space="preserve"> Maintaining Brand Consistency at Scale: The framework functions as a primary governance tool. By embedding the core rules into every prompt, it ensures that all AI-generated assets adhere to the central brand strategy, turning the prompt into a dynamic "mini-brand guide".</w:t>
      </w:r>
    </w:p>
    <w:p w:rsidR="00000000" w:rsidDel="00000000" w:rsidP="00000000" w:rsidRDefault="00000000" w:rsidRPr="00000000" w14:paraId="0000001A">
      <w:pPr>
        <w:numPr>
          <w:ilvl w:val="0"/>
          <w:numId w:val="5"/>
        </w:numPr>
        <w:spacing w:after="240" w:before="0" w:beforeAutospacing="0" w:lineRule="auto"/>
        <w:ind w:left="720" w:hanging="360"/>
      </w:pPr>
      <w:r w:rsidDel="00000000" w:rsidR="00000000" w:rsidRPr="00000000">
        <w:rPr>
          <w:rtl w:val="0"/>
        </w:rPr>
        <w:t xml:space="preserve">Practical Application (Full Prompt Comparison): For the core idea of an "advertisement for a new sustainable coffee brand, 'Earth-First Coffee'":</w:t>
        <w:br w:type="textWrapping"/>
        <w:t xml:space="preserve"> Low-Relevance Prompt: "A beautiful video of coffee being poured, cinematic, high quality." The predicted outcome is a visually appealing but generic video that fails to communicate the brand's core value proposition and has a negligible impact on strategic goals.</w:t>
        <w:br w:type="textWrapping"/>
        <w:t xml:space="preserve"> High-Relevance Prompt: "Generate a 15-second TikTok video script for our new 'Earth-First' coffee brand. Target Audience: Eco-conscious Gen Z... Brand Voice: Passionate, authentic... Campaign Objective: Build awareness about our new compostable packaging. CTA: 'Show us your favorite sustainable habit in the comments!'" The predicted outcome is a highly tailored script that speaks the audience's language and is engineered to drive specific KPIs (shares, comments) within a target niche. </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