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rFonts w:ascii="Segoe UI" w:hAnsi="Segoe UI"/>
          <w:b/>
          <w:color w:val="1F4E79"/>
          <w:sz w:val="48"/>
        </w:rPr>
        <w:t>PRD ↔ POC Alignment &amp; Gap Analysis</w:t>
      </w:r>
    </w:p>
    <w:p>
      <w:pPr>
        <w:spacing w:before="0" w:after="480"/>
      </w:pPr>
      <w:r>
        <w:rPr>
          <w:rFonts w:ascii="Segoe UI" w:hAnsi="Segoe UI"/>
          <w:i/>
          <w:color w:val="5A86AD"/>
          <w:sz w:val="26"/>
        </w:rPr>
        <w:t>Single source of truth for the Mental Health Engine and Data Contextualization platform</w:t>
      </w:r>
    </w:p>
    <w:tbl>
      <w:tblPr>
        <w:tblW w:type="auto" w:w="0"/>
        <w:jc w:val="center"/>
        <w:tblLook w:firstColumn="1" w:firstRow="1" w:lastColumn="0" w:lastRow="0" w:noHBand="0" w:noVBand="1" w:val="04A0"/>
      </w:tblPr>
      <w:tblGrid>
        <w:gridCol w:w="2880"/>
        <w:gridCol w:w="6480"/>
      </w:tblGrid>
      <w:tr>
        <w:tc>
          <w:tcPr>
            <w:tcW w:type="dxa" w:w="468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b/>
                <w:sz w:val="19"/>
              </w:rPr>
              <w:t>Version</w:t>
            </w:r>
          </w:p>
        </w:tc>
        <w:tc>
          <w:tcPr>
            <w:tcW w:type="dxa" w:w="468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2.0</w:t>
            </w:r>
          </w:p>
        </w:tc>
      </w:tr>
      <w:tr>
        <w:tc>
          <w:tcPr>
            <w:tcW w:type="dxa" w:w="468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b/>
                <w:sz w:val="19"/>
              </w:rPr>
              <w:t>Date</w:t>
            </w:r>
          </w:p>
        </w:tc>
        <w:tc>
          <w:tcPr>
            <w:tcW w:type="dxa" w:w="468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May 18, 2026</w:t>
            </w:r>
          </w:p>
        </w:tc>
      </w:tr>
      <w:tr>
        <w:tc>
          <w:tcPr>
            <w:tcW w:type="dxa" w:w="468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b/>
                <w:sz w:val="19"/>
              </w:rPr>
              <w:t>Status</w:t>
            </w:r>
          </w:p>
        </w:tc>
        <w:tc>
          <w:tcPr>
            <w:tcW w:type="dxa" w:w="468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Pre-implementation — authoritative reference</w:t>
            </w:r>
          </w:p>
        </w:tc>
      </w:tr>
      <w:tr>
        <w:tc>
          <w:tcPr>
            <w:tcW w:type="dxa" w:w="468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b/>
                <w:sz w:val="19"/>
              </w:rPr>
              <w:t>Audience</w:t>
            </w:r>
          </w:p>
        </w:tc>
        <w:tc>
          <w:tcPr>
            <w:tcW w:type="dxa" w:w="468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Product, engineering, data science, clinical/design reviewers</w:t>
            </w:r>
          </w:p>
        </w:tc>
      </w:tr>
    </w:tbl>
    <w:p/>
    <w:tbl>
      <w:tblPr>
        <w:tblW w:type="auto" w:w="0"/>
        <w:jc w:val="center"/>
        <w:tblLook w:firstColumn="1" w:firstRow="1" w:lastColumn="0" w:lastRow="0" w:noHBand="0" w:noVBand="1" w:val="04A0"/>
      </w:tblPr>
      <w:tblGrid>
        <w:gridCol w:w="2160"/>
        <w:gridCol w:w="7200"/>
      </w:tblGrid>
      <w:tr>
        <w:tc>
          <w:tcPr>
            <w:tcW w:type="dxa" w:w="4680"/>
          </w:tcPr>
          <w:p>
            <w:r>
              <w:t>Version</w:t>
            </w:r>
          </w:p>
        </w:tc>
        <w:tc>
          <w:tcPr>
            <w:tcW w:type="dxa" w:w="4680"/>
          </w:tcPr>
          <w:p>
            <w:r>
              <w:t>Change</w:t>
            </w:r>
          </w:p>
        </w:tc>
      </w:tr>
      <w:tr>
        <w:tc>
          <w:tcPr>
            <w:tcW w:type="dxa" w:w="4680"/>
          </w:tcPr>
          <w:p>
            <w:r>
              <w:t>1.0</w:t>
            </w:r>
          </w:p>
        </w:tc>
        <w:tc>
          <w:tcPr>
            <w:tcW w:type="dxa" w:w="4680"/>
          </w:tcPr>
          <w:p>
            <w:r>
              <w:t>Initial alignment and gap register</w:t>
            </w:r>
          </w:p>
        </w:tc>
      </w:tr>
      <w:tr>
        <w:tc>
          <w:tcPr>
            <w:tcW w:type="dxa" w:w="4680"/>
          </w:tcPr>
          <w:p>
            <w:r>
              <w:t>1.1</w:t>
            </w:r>
          </w:p>
        </w:tc>
        <w:tc>
          <w:tcPr>
            <w:tcW w:type="dxa" w:w="4680"/>
          </w:tcPr>
          <w:p>
            <w:r>
              <w:t>Clarified datasets xlsx is schema-only; production ML volume is sufficient (not a gap)</w:t>
            </w:r>
          </w:p>
        </w:tc>
      </w:tr>
    </w:tbl>
    <w:tbl>
      <w:tblPr>
        <w:tblW w:type="auto" w:w="0"/>
        <w:jc w:val="center"/>
        <w:tblLook w:firstColumn="1" w:firstRow="1" w:lastColumn="0" w:lastRow="0" w:noHBand="0" w:noVBand="1" w:val="04A0"/>
      </w:tblPr>
      <w:tblGrid>
        <w:gridCol w:w="1728"/>
        <w:gridCol w:w="7632"/>
      </w:tblGrid>
      <w:tr>
        <w:tc>
          <w:tcPr>
            <w:tcW w:type="dxa" w:w="4680"/>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Version</w:t>
            </w:r>
          </w:p>
        </w:tc>
        <w:tc>
          <w:tcPr>
            <w:tcW w:type="dxa" w:w="4680"/>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Change</w:t>
            </w:r>
          </w:p>
        </w:tc>
      </w:tr>
      <w:tr>
        <w:tc>
          <w:tcPr>
            <w:tcW w:type="dxa" w:w="468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1.0</w:t>
            </w:r>
          </w:p>
        </w:tc>
        <w:tc>
          <w:tcPr>
            <w:tcW w:type="dxa" w:w="468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Initial alignment and gap register</w:t>
            </w:r>
          </w:p>
        </w:tc>
      </w:tr>
      <w:tr>
        <w:tc>
          <w:tcPr>
            <w:tcW w:type="dxa" w:w="468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1.1</w:t>
            </w:r>
          </w:p>
        </w:tc>
        <w:tc>
          <w:tcPr>
            <w:tcW w:type="dxa" w:w="468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Clarified datasets xlsx is schema-only; production ML volume is sufficient (not a gap)</w:t>
            </w:r>
          </w:p>
        </w:tc>
      </w:tr>
      <w:tr>
        <w:tc>
          <w:tcPr>
            <w:tcW w:type="dxa" w:w="468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2.0</w:t>
            </w:r>
          </w:p>
        </w:tc>
        <w:tc>
          <w:tcPr>
            <w:tcW w:type="dxa" w:w="468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Expanded to full explanations per gap, alignment area, and decision; intended as sole proof-of-truth doc</w:t>
            </w:r>
          </w:p>
        </w:tc>
      </w:tr>
    </w:tbl>
    <w:p>
      <w:pPr>
        <w:keepNext/>
        <w:spacing w:before="360" w:after="120"/>
      </w:pPr>
      <w:r>
        <w:rPr>
          <w:rFonts w:ascii="Segoe UI" w:hAnsi="Segoe UI"/>
          <w:b/>
          <w:color w:val="1F4E79"/>
          <w:sz w:val="32"/>
        </w:rPr>
        <w:t>1. How to use this document</w:t>
      </w:r>
    </w:p>
    <w:p>
      <w:r>
        <w:t>This document is the only consolidated proof of truth for how the Engine PRD (user-facing Cognitive Readiness report) relates to the Data Contextualization POC (hybrid ML + LLM intelligence layer) and the datasets / pillar specifications.</w:t>
      </w:r>
    </w:p>
    <w:p>
      <w:r>
        <w:t>Use it when you need to:</w:t>
      </w:r>
    </w:p>
    <w:p>
      <w:pPr>
        <w:pStyle w:val="ListBullet"/>
        <w:spacing w:before="0" w:after="60"/>
        <w:ind w:left="360"/>
      </w:pPr>
      <w:r>
        <w:rPr>
          <w:rFonts w:ascii="Segoe UI" w:hAnsi="Segoe UI"/>
          <w:sz w:val="21"/>
        </w:rPr>
        <w:t>Decide what to build in v1 vs defer</w:t>
      </w:r>
    </w:p>
    <w:p>
      <w:pPr>
        <w:pStyle w:val="ListBullet"/>
        <w:spacing w:before="0" w:after="60"/>
        <w:ind w:left="360"/>
      </w:pPr>
      <w:r>
        <w:rPr>
          <w:rFonts w:ascii="Segoe UI" w:hAnsi="Segoe UI"/>
          <w:sz w:val="21"/>
        </w:rPr>
        <w:t>Onboard engineers, PMs, or clinical stakeholders without re-reading four separate files</w:t>
      </w:r>
    </w:p>
    <w:p>
      <w:pPr>
        <w:pStyle w:val="ListBullet"/>
        <w:spacing w:before="0" w:after="60"/>
        <w:ind w:left="360"/>
      </w:pPr>
      <w:r>
        <w:rPr>
          <w:rFonts w:ascii="Segoe UI" w:hAnsi="Segoe UI"/>
          <w:sz w:val="21"/>
        </w:rPr>
        <w:t>Trace a PRD requirement to a POC intent, dataset column, or gap ID</w:t>
      </w:r>
    </w:p>
    <w:p>
      <w:pPr>
        <w:pStyle w:val="ListBullet"/>
        <w:spacing w:before="0" w:after="60"/>
        <w:ind w:left="360"/>
      </w:pPr>
      <w:r>
        <w:rPr>
          <w:rFonts w:ascii="Segoe UI" w:hAnsi="Segoe UI"/>
          <w:sz w:val="21"/>
        </w:rPr>
        <w:t>Write tickets: each gap (G1–G15) includes acceptance criteria</w:t>
      </w:r>
    </w:p>
    <w:p>
      <w:pPr>
        <w:keepNext/>
        <w:spacing w:before="280" w:after="80"/>
      </w:pPr>
      <w:r>
        <w:rPr>
          <w:rFonts w:ascii="Segoe UI" w:hAnsi="Segoe UI"/>
          <w:b/>
          <w:color w:val="5A86AD"/>
          <w:sz w:val="26"/>
        </w:rPr>
        <w:t>How gaps are classified</w:t>
      </w:r>
    </w:p>
    <w:tbl>
      <w:tblPr>
        <w:tblW w:type="auto" w:w="0"/>
        <w:jc w:val="center"/>
        <w:tblLook w:firstColumn="1" w:firstRow="1" w:lastColumn="0" w:lastRow="0" w:noHBand="0" w:noVBand="1" w:val="04A0"/>
      </w:tblPr>
      <w:tblGrid>
        <w:gridCol w:w="2160"/>
        <w:gridCol w:w="7200"/>
      </w:tblGrid>
      <w:tr>
        <w:tc>
          <w:tcPr>
            <w:tcW w:type="dxa" w:w="4680"/>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Priority</w:t>
            </w:r>
          </w:p>
        </w:tc>
        <w:tc>
          <w:tcPr>
            <w:tcW w:type="dxa" w:w="4680"/>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Meaning</w:t>
            </w:r>
          </w:p>
        </w:tc>
      </w:tr>
      <w:tr>
        <w:tc>
          <w:tcPr>
            <w:tcW w:type="dxa" w:w="468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P0</w:t>
            </w:r>
          </w:p>
        </w:tc>
        <w:tc>
          <w:tcPr>
            <w:tcW w:type="dxa" w:w="468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Blocks shipping the user-facing Engine report as described in the PRD</w:t>
            </w:r>
          </w:p>
        </w:tc>
      </w:tr>
      <w:tr>
        <w:tc>
          <w:tcPr>
            <w:tcW w:type="dxa" w:w="468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P1</w:t>
            </w:r>
          </w:p>
        </w:tc>
        <w:tc>
          <w:tcPr>
            <w:tcW w:type="dxa" w:w="468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Required for PRD fidelity (copy, charts, clinical trust); can ship a reduced scope only with explicit product sign-off</w:t>
            </w:r>
          </w:p>
        </w:tc>
      </w:tr>
      <w:tr>
        <w:tc>
          <w:tcPr>
            <w:tcW w:type="dxa" w:w="468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P2</w:t>
            </w:r>
          </w:p>
        </w:tc>
        <w:tc>
          <w:tcPr>
            <w:tcW w:type="dxa" w:w="468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Quality, scale, or Phase 2 (org/therapist); does not block a minimal viable Engine</w:t>
            </w:r>
          </w:p>
        </w:tc>
      </w:tr>
    </w:tbl>
    <w:p>
      <w:pPr>
        <w:keepNext/>
        <w:spacing w:before="280" w:after="80"/>
      </w:pPr>
      <w:r>
        <w:rPr>
          <w:rFonts w:ascii="Segoe UI" w:hAnsi="Segoe UI"/>
          <w:b/>
          <w:color w:val="5A86AD"/>
          <w:sz w:val="26"/>
        </w:rPr>
        <w:t>Conventions</w:t>
      </w:r>
    </w:p>
    <w:p>
      <w:pPr>
        <w:pStyle w:val="ListBullet"/>
        <w:spacing w:before="0" w:after="60"/>
        <w:ind w:left="360"/>
      </w:pPr>
      <w:r>
        <w:rPr>
          <w:rFonts w:ascii="Segoe UI" w:hAnsi="Segoe UI"/>
          <w:sz w:val="21"/>
        </w:rPr>
        <w:t>Aligned = specification exists and is consistent enough to implement without new product definition</w:t>
      </w:r>
    </w:p>
    <w:p>
      <w:pPr>
        <w:pStyle w:val="ListBullet"/>
        <w:spacing w:before="0" w:after="60"/>
        <w:ind w:left="360"/>
      </w:pPr>
      <w:r>
        <w:rPr>
          <w:rFonts w:ascii="Segoe UI" w:hAnsi="Segoe UI"/>
          <w:sz w:val="21"/>
        </w:rPr>
        <w:t>Partial = direction is clear but schema, formula, or UX detail is missing</w:t>
      </w:r>
    </w:p>
    <w:p>
      <w:pPr>
        <w:pStyle w:val="ListBullet"/>
        <w:spacing w:before="0" w:after="60"/>
        <w:ind w:left="360"/>
      </w:pPr>
      <w:r>
        <w:rPr>
          <w:rFonts w:ascii="Segoe UI" w:hAnsi="Segoe UI"/>
          <w:sz w:val="21"/>
        </w:rPr>
        <w:t>Gap = must be designed and built (see §9)</w:t>
      </w:r>
    </w:p>
    <w:p>
      <w:pPr>
        <w:keepNext/>
        <w:spacing w:before="360" w:after="120"/>
      </w:pPr>
      <w:r>
        <w:rPr>
          <w:rFonts w:ascii="Segoe UI" w:hAnsi="Segoe UI"/>
          <w:b/>
          <w:color w:val="1F4E79"/>
          <w:sz w:val="32"/>
        </w:rPr>
        <w:t>2. Program context</w:t>
      </w:r>
    </w:p>
    <w:p>
      <w:pPr>
        <w:keepNext/>
        <w:spacing w:before="280" w:after="80"/>
      </w:pPr>
      <w:r>
        <w:rPr>
          <w:rFonts w:ascii="Segoe UI" w:hAnsi="Segoe UI"/>
          <w:b/>
          <w:color w:val="5A86AD"/>
          <w:sz w:val="26"/>
        </w:rPr>
        <w:t>2.1 What the product promises (PRD)</w:t>
      </w:r>
    </w:p>
    <w:p>
      <w:r>
        <w:t>The Engine delivers an AI-powered mental health report centered on:</w:t>
      </w:r>
    </w:p>
    <w:p>
      <w:pPr>
        <w:pStyle w:val="ListBullet"/>
        <w:spacing w:before="0" w:after="60"/>
        <w:ind w:left="360"/>
      </w:pPr>
      <w:r>
        <w:rPr>
          <w:rFonts w:ascii="Segoe UI" w:hAnsi="Segoe UI"/>
          <w:sz w:val="21"/>
        </w:rPr>
        <w:t>Cognitive Readiness Score (CRS) — single 0–100 score</w:t>
      </w:r>
    </w:p>
    <w:p>
      <w:pPr>
        <w:pStyle w:val="ListBullet"/>
        <w:spacing w:before="0" w:after="60"/>
        <w:ind w:left="360"/>
      </w:pPr>
      <w:r>
        <w:rPr>
          <w:rFonts w:ascii="Segoe UI" w:hAnsi="Segoe UI"/>
          <w:sz w:val="21"/>
        </w:rPr>
        <w:t>Four pillars — Clarity, Emotional Balance, Resilience, Capacity (each 0–100)</w:t>
      </w:r>
    </w:p>
    <w:p>
      <w:pPr>
        <w:pStyle w:val="ListBullet"/>
        <w:spacing w:before="0" w:after="60"/>
        <w:ind w:left="360"/>
      </w:pPr>
      <w:r>
        <w:rPr>
          <w:rFonts w:ascii="Segoe UI" w:hAnsi="Segoe UI"/>
          <w:sz w:val="21"/>
        </w:rPr>
        <w:t>Six trend metrics — Recovery Readiness, Stress Load, Sleep Consistency, Energy Rhythm, Emotional Stability, Motivation &amp; Confidence Momentum</w:t>
      </w:r>
    </w:p>
    <w:p>
      <w:pPr>
        <w:pStyle w:val="ListBullet"/>
        <w:spacing w:before="0" w:after="60"/>
        <w:ind w:left="360"/>
      </w:pPr>
      <w:r>
        <w:rPr>
          <w:rFonts w:ascii="Segoe UI" w:hAnsi="Segoe UI"/>
          <w:sz w:val="21"/>
        </w:rPr>
        <w:t>AI insight modules — patterns, risk watch, driver breakdown, confidence labels</w:t>
      </w:r>
    </w:p>
    <w:p>
      <w:pPr>
        <w:pStyle w:val="ListBullet"/>
        <w:spacing w:before="0" w:after="60"/>
        <w:ind w:left="360"/>
      </w:pPr>
      <w:r>
        <w:rPr>
          <w:rFonts w:ascii="Segoe UI" w:hAnsi="Segoe UI"/>
          <w:sz w:val="21"/>
        </w:rPr>
        <w:t>Action layer — what to do next, tools/resources, self-help, next therapy session</w:t>
      </w:r>
    </w:p>
    <w:p>
      <w:r>
        <w:t>The report must answer five user questions: Where am I? Why am I here? What should I be aware of? What is the risk? What should I do next?</w:t>
      </w:r>
    </w:p>
    <w:p>
      <w:pPr>
        <w:keepNext/>
        <w:spacing w:before="280" w:after="80"/>
      </w:pPr>
      <w:r>
        <w:rPr>
          <w:rFonts w:ascii="Segoe UI" w:hAnsi="Segoe UI"/>
          <w:b/>
          <w:color w:val="5A86AD"/>
          <w:sz w:val="26"/>
        </w:rPr>
        <w:t>2.2 What the POC built</w:t>
      </w:r>
    </w:p>
    <w:p>
      <w:r>
        <w:t>The POC defines a production-style intelligence pipeline:</w:t>
      </w:r>
    </w:p>
    <w:p>
      <w:pPr>
        <w:pStyle w:val="ListBullet"/>
        <w:spacing w:before="0" w:after="60"/>
        <w:ind w:left="360"/>
      </w:pPr>
      <w:r>
        <w:rPr>
          <w:rFonts w:ascii="Segoe UI" w:hAnsi="Segoe UI"/>
          <w:sz w:val="21"/>
        </w:rPr>
        <w:t>Compute contextual features (windows, baselines, slopes, flags, cohort percentiles)</w:t>
      </w:r>
    </w:p>
    <w:p>
      <w:pPr>
        <w:pStyle w:val="ListBullet"/>
        <w:spacing w:before="0" w:after="60"/>
        <w:ind w:left="360"/>
      </w:pPr>
      <w:r>
        <w:rPr>
          <w:rFonts w:ascii="Segoe UI" w:hAnsi="Segoe UI"/>
          <w:sz w:val="21"/>
        </w:rPr>
        <w:t>Classify intent (what kind of answer is needed)</w:t>
      </w:r>
    </w:p>
    <w:p>
      <w:pPr>
        <w:pStyle w:val="ListBullet"/>
        <w:spacing w:before="0" w:after="60"/>
        <w:ind w:left="360"/>
      </w:pPr>
      <w:r>
        <w:rPr>
          <w:rFonts w:ascii="Segoe UI" w:hAnsi="Segoe UI"/>
          <w:sz w:val="21"/>
        </w:rPr>
        <w:t>Optionally run ML models (dropout, regression, engagement decay, prioritization, ROI)</w:t>
      </w:r>
    </w:p>
    <w:p>
      <w:pPr>
        <w:pStyle w:val="ListBullet"/>
        <w:spacing w:before="0" w:after="60"/>
        <w:ind w:left="360"/>
      </w:pPr>
      <w:r>
        <w:rPr>
          <w:rFonts w:ascii="Segoe UI" w:hAnsi="Segoe UI"/>
          <w:sz w:val="21"/>
        </w:rPr>
        <w:t>Generate LLM explanations from fixed templates and guardrails</w:t>
      </w:r>
    </w:p>
    <w:p>
      <w:pPr>
        <w:pStyle w:val="ListBullet"/>
        <w:spacing w:before="0" w:after="60"/>
        <w:ind w:left="360"/>
      </w:pPr>
      <w:r>
        <w:rPr>
          <w:rFonts w:ascii="Segoe UI" w:hAnsi="Segoe UI"/>
          <w:sz w:val="21"/>
        </w:rPr>
        <w:t>Handle cold start via data maturity stages (0–7, 7–30, 30+ days)</w:t>
      </w:r>
    </w:p>
    <w:p>
      <w:r>
        <w:t>The POC is strong for dynamic Q&amp;A, risk prediction, and therapist/org operations. It does not define the fixed dashboard scores the PRD shows on every load.</w:t>
      </w:r>
    </w:p>
    <w:p>
      <w:pPr>
        <w:keepNext/>
        <w:spacing w:before="280" w:after="80"/>
      </w:pPr>
      <w:r>
        <w:rPr>
          <w:rFonts w:ascii="Segoe UI" w:hAnsi="Segoe UI"/>
          <w:b/>
          <w:color w:val="5A86AD"/>
          <w:sz w:val="26"/>
        </w:rPr>
        <w:t>2.3 The missing middle layer</w:t>
      </w:r>
    </w:p>
    <w:p>
      <w:r>
        <w:t>Between POC features and PRD UI sits a Scoring Service (Layer 3) that:</w:t>
      </w:r>
    </w:p>
    <w:p>
      <w:pPr>
        <w:pStyle w:val="ListBullet"/>
        <w:spacing w:before="0" w:after="60"/>
        <w:ind w:left="360"/>
      </w:pPr>
      <w:r>
        <w:rPr>
          <w:rFonts w:ascii="Segoe UI" w:hAnsi="Segoe UI"/>
          <w:sz w:val="21"/>
        </w:rPr>
        <w:t>Aggregates features into pillar and CRS scores</w:t>
      </w:r>
    </w:p>
    <w:p>
      <w:pPr>
        <w:pStyle w:val="ListBullet"/>
        <w:spacing w:before="0" w:after="60"/>
        <w:ind w:left="360"/>
      </w:pPr>
      <w:r>
        <w:rPr>
          <w:rFonts w:ascii="Segoe UI" w:hAnsi="Segoe UI"/>
          <w:sz w:val="21"/>
        </w:rPr>
        <w:t>Produces the six named trend composites</w:t>
      </w:r>
    </w:p>
    <w:p>
      <w:pPr>
        <w:pStyle w:val="ListBullet"/>
        <w:spacing w:before="0" w:after="60"/>
        <w:ind w:left="360"/>
      </w:pPr>
      <w:r>
        <w:rPr>
          <w:rFonts w:ascii="Segoe UI" w:hAnsi="Segoe UI"/>
          <w:sz w:val="21"/>
        </w:rPr>
        <w:t>Computes driver attribution and confidence tiers</w:t>
      </w:r>
    </w:p>
    <w:p>
      <w:pPr>
        <w:pStyle w:val="ListBullet"/>
        <w:spacing w:before="0" w:after="60"/>
        <w:ind w:left="360"/>
      </w:pPr>
      <w:r>
        <w:rPr>
          <w:rFonts w:ascii="Segoe UI" w:hAnsi="Segoe UI"/>
          <w:sz w:val="21"/>
        </w:rPr>
        <w:t>Feeds both the dashboard API and the LLM context</w:t>
      </w:r>
    </w:p>
    <w:tbl>
      <w:tblPr>
        <w:tblW w:type="auto" w:w="0"/>
        <w:jc w:val="center"/>
        <w:tblLayout w:type="fixed"/>
        <w:tblLook w:firstColumn="1" w:firstRow="1" w:lastColumn="0" w:lastRow="0" w:noHBand="0" w:noVBand="1" w:val="04A0"/>
      </w:tblPr>
      <w:tblGrid>
        <w:gridCol w:w="9360"/>
      </w:tblGrid>
      <w:tr>
        <w:tc>
          <w:tcPr>
            <w:tcW w:type="dxa" w:w="9360"/>
            <w:shd w:fill="F2F6F9"/>
            <w:tcMar>
              <w:top w:w="140" w:type="dxa"/>
              <w:bottom w:w="140" w:type="dxa"/>
              <w:left w:w="200" w:type="dxa"/>
              <w:right w:w="200" w:type="dxa"/>
            </w:tcMar>
            <w:tcBorders>
              <w:top w:val="none"/>
              <w:bottom w:val="none"/>
              <w:left w:val="single" w:sz="24" w:space="0" w:color="1F4E79"/>
              <w:right w:val="none"/>
            </w:tcBorders>
          </w:tcPr>
          <w:p>
            <w:pPr>
              <w:spacing w:after="0"/>
            </w:pPr>
            <w:r>
              <w:rPr>
                <w:rFonts w:ascii="Segoe UI" w:hAnsi="Segoe UI"/>
                <w:b/>
                <w:color w:val="1F4E79"/>
                <w:sz w:val="21"/>
              </w:rPr>
              <w:t>Critical Insight</w:t>
              <w:br/>
            </w:r>
            <w:r>
              <w:rPr>
                <w:rFonts w:ascii="Segoe UI" w:hAnsi="Segoe UI"/>
                <w:i/>
                <w:sz w:val="20"/>
              </w:rPr>
              <w:t>Until Layer 3 exists, the PRD and POC remain adjacent but not connected in production.</w:t>
            </w:r>
          </w:p>
        </w:tc>
      </w:tr>
    </w:tbl>
    <w:p>
      <w:pPr>
        <w:spacing w:after="120"/>
      </w:pPr>
    </w:p>
    <w:p>
      <w:pPr>
        <w:keepNext/>
        <w:spacing w:before="360" w:after="120"/>
      </w:pPr>
      <w:r>
        <w:rPr>
          <w:rFonts w:ascii="Segoe UI" w:hAnsi="Segoe UI"/>
          <w:b/>
          <w:color w:val="1F4E79"/>
          <w:sz w:val="32"/>
        </w:rPr>
        <w:t>3. Source artifacts (detailed)</w:t>
      </w:r>
    </w:p>
    <w:tbl>
      <w:tblPr>
        <w:tblW w:type="auto" w:w="0"/>
        <w:jc w:val="center"/>
        <w:tblLook w:firstColumn="1" w:firstRow="1" w:lastColumn="0" w:lastRow="0" w:noHBand="0" w:noVBand="1" w:val="04A0"/>
      </w:tblPr>
      <w:tblGrid>
        <w:gridCol w:w="864"/>
        <w:gridCol w:w="2592"/>
        <w:gridCol w:w="1584"/>
        <w:gridCol w:w="2592"/>
        <w:gridCol w:w="1728"/>
      </w:tblGrid>
      <w:tr>
        <w:tc>
          <w:tcPr>
            <w:tcW w:type="dxa" w:w="1872"/>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ID</w:t>
            </w:r>
          </w:p>
        </w:tc>
        <w:tc>
          <w:tcPr>
            <w:tcW w:type="dxa" w:w="1872"/>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File</w:t>
            </w:r>
          </w:p>
        </w:tc>
        <w:tc>
          <w:tcPr>
            <w:tcW w:type="dxa" w:w="1872"/>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Owner (typical)</w:t>
            </w:r>
          </w:p>
        </w:tc>
        <w:tc>
          <w:tcPr>
            <w:tcW w:type="dxa" w:w="1872"/>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What it contains</w:t>
            </w:r>
          </w:p>
        </w:tc>
        <w:tc>
          <w:tcPr>
            <w:tcW w:type="dxa" w:w="1872"/>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How this doc uses it</w:t>
            </w:r>
          </w:p>
        </w:tc>
      </w:tr>
      <w:tr>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A1</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Engine Document.docx</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Product</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Full PRD: inputs, outputs, trend copy, graph types, AI pattern types</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Defines Layer 1 requirements</w:t>
            </w:r>
          </w:p>
        </w:tc>
      </w:tr>
      <w:tr>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A2</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Contextuliazation.xlsx</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Product / clinical</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Per-pillar data points and rationale; six trend metrics with pillar tags</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Scoring input map for Layer 3</w:t>
            </w:r>
          </w:p>
        </w:tc>
      </w:tr>
      <w:tr>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A3</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Data contexualization extended.docx</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Engineering / DS</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Architecture, cold start, intent taxonomy, JSON routing config, prompt templates</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Defines Layer 4</w:t>
            </w:r>
          </w:p>
        </w:tc>
      </w:tr>
      <w:tr>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A4</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Data contexualization Datasets.xlsx</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Data / DS</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User/Business column definitions, label logic, math formulas, sample rows</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Defines Layer 2 contract</w:t>
            </w:r>
          </w:p>
        </w:tc>
      </w:tr>
      <w:tr>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A5</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PRD-POC-Alignment-and-Gaps.md</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Program</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This document</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Single proof of truth</w:t>
            </w:r>
          </w:p>
        </w:tc>
      </w:tr>
    </w:tbl>
    <w:p>
      <w:r>
        <w:rPr>
          <w:i/>
        </w:rPr>
        <w:t>Important note on A4 (datasets file): Sheets named User_ML_Dataset_50K and Business_ML_Dataset_1K contain only illustrative rows for schema review. Production already holds sufficient real data at the intended scale. The spreadsheet is the column and label contract, not evidence of data shortage.</w:t>
      </w:r>
    </w:p>
    <w:p>
      <w:pPr>
        <w:keepNext/>
        <w:spacing w:before="360" w:after="120"/>
      </w:pPr>
      <w:r>
        <w:rPr>
          <w:rFonts w:ascii="Segoe UI" w:hAnsi="Segoe UI"/>
          <w:b/>
          <w:color w:val="1F4E79"/>
          <w:sz w:val="32"/>
        </w:rPr>
        <w:t>4. Executive summary</w:t>
      </w:r>
    </w:p>
    <w:p>
      <w:pPr>
        <w:keepNext/>
        <w:spacing w:before="280" w:after="80"/>
      </w:pPr>
      <w:r>
        <w:rPr>
          <w:rFonts w:ascii="Segoe UI" w:hAnsi="Segoe UI"/>
          <w:b/>
          <w:color w:val="5A86AD"/>
          <w:sz w:val="26"/>
        </w:rPr>
        <w:t>4.1 Layer status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Layer</w:t>
            </w:r>
          </w:p>
        </w:tc>
        <w:tc>
          <w:tcPr>
            <w:tcW w:type="dxa" w:w="1560"/>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Description</w:t>
            </w:r>
          </w:p>
        </w:tc>
        <w:tc>
          <w:tcPr>
            <w:tcW w:type="dxa" w:w="1560"/>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PRD</w:t>
            </w:r>
          </w:p>
        </w:tc>
        <w:tc>
          <w:tcPr>
            <w:tcW w:type="dxa" w:w="1560"/>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POC</w:t>
            </w:r>
          </w:p>
        </w:tc>
        <w:tc>
          <w:tcPr>
            <w:tcW w:type="dxa" w:w="1560"/>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Datasets</w:t>
            </w:r>
          </w:p>
        </w:tc>
        <w:tc>
          <w:tcPr>
            <w:tcW w:type="dxa" w:w="1560"/>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Verdict</w:t>
            </w:r>
          </w:p>
        </w:tc>
      </w:tr>
      <w:tr>
        <w:tc>
          <w:tcPr>
            <w:tcW w:type="dxa" w:w="156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L1 — Product Engine</w:t>
            </w:r>
          </w:p>
        </w:tc>
        <w:tc>
          <w:tcPr>
            <w:tcW w:type="dxa" w:w="156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CRS, pillars, trends, patterns, actions</w:t>
            </w:r>
          </w:p>
        </w:tc>
        <w:tc>
          <w:tcPr>
            <w:tcW w:type="dxa" w:w="156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Fully specified</w:t>
            </w:r>
          </w:p>
        </w:tc>
        <w:tc>
          <w:tcPr>
            <w:tcW w:type="dxa" w:w="156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Not implemented</w:t>
            </w:r>
          </w:p>
        </w:tc>
        <w:tc>
          <w:tcPr>
            <w:tcW w:type="dxa" w:w="156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No score columns</w:t>
            </w:r>
          </w:p>
        </w:tc>
        <w:tc>
          <w:tcPr>
            <w:tcW w:type="dxa" w:w="156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Gap (G1, G2, G5, G10–G11)</w:t>
            </w:r>
          </w:p>
        </w:tc>
      </w:tr>
      <w:tr>
        <w:tc>
          <w:tcPr>
            <w:tcW w:type="dxa" w:w="156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L2 — Feature store</w:t>
            </w:r>
          </w:p>
        </w:tc>
        <w:tc>
          <w:tcPr>
            <w:tcW w:type="dxa" w:w="156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Per-user / per-program computed features</w:t>
            </w:r>
          </w:p>
        </w:tc>
        <w:tc>
          <w:tcPr>
            <w:tcW w:type="dxa" w:w="156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Inputs listed</w:t>
            </w:r>
          </w:p>
        </w:tc>
        <w:tc>
          <w:tcPr>
            <w:tcW w:type="dxa" w:w="156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Groups in JSON</w:t>
            </w:r>
          </w:p>
        </w:tc>
        <w:tc>
          <w:tcPr>
            <w:tcW w:type="dxa" w:w="156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Column defs + prod data</w:t>
            </w:r>
          </w:p>
        </w:tc>
        <w:tc>
          <w:tcPr>
            <w:tcW w:type="dxa" w:w="156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Aligned — fix naming (G3)</w:t>
            </w:r>
          </w:p>
        </w:tc>
      </w:tr>
      <w:tr>
        <w:tc>
          <w:tcPr>
            <w:tcW w:type="dxa" w:w="156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L3 — Scoring service</w:t>
            </w:r>
          </w:p>
        </w:tc>
        <w:tc>
          <w:tcPr>
            <w:tcW w:type="dxa" w:w="156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Formulas, weights, trends, drivers</w:t>
            </w:r>
          </w:p>
        </w:tc>
        <w:tc>
          <w:tcPr>
            <w:tcW w:type="dxa" w:w="156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Implied by Excel</w:t>
            </w:r>
          </w:p>
        </w:tc>
        <w:tc>
          <w:tcPr>
            <w:tcW w:type="dxa" w:w="156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Absent</w:t>
            </w:r>
          </w:p>
        </w:tc>
        <w:tc>
          <w:tcPr>
            <w:tcW w:type="dxa" w:w="156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Partial formulas</w:t>
            </w:r>
          </w:p>
        </w:tc>
        <w:tc>
          <w:tcPr>
            <w:tcW w:type="dxa" w:w="156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Gap (G1, G2, G4, G9, G12)</w:t>
            </w:r>
          </w:p>
        </w:tc>
      </w:tr>
      <w:tr>
        <w:tc>
          <w:tcPr>
            <w:tcW w:type="dxa" w:w="156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L4 — Intelligence router</w:t>
            </w:r>
          </w:p>
        </w:tc>
        <w:tc>
          <w:tcPr>
            <w:tcW w:type="dxa" w:w="156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Intent → ML → LLM</w:t>
            </w:r>
          </w:p>
        </w:tc>
        <w:tc>
          <w:tcPr>
            <w:tcW w:type="dxa" w:w="156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Narratives only</w:t>
            </w:r>
          </w:p>
        </w:tc>
        <w:tc>
          <w:tcPr>
            <w:tcW w:type="dxa" w:w="156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Fully specified</w:t>
            </w:r>
          </w:p>
        </w:tc>
        <w:tc>
          <w:tcPr>
            <w:tcW w:type="dxa" w:w="156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Labels match models</w:t>
            </w:r>
          </w:p>
        </w:tc>
        <w:tc>
          <w:tcPr>
            <w:tcW w:type="dxa" w:w="156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Aligned — wire to L1 (G5)</w:t>
            </w:r>
          </w:p>
        </w:tc>
      </w:tr>
    </w:tbl>
    <w:p>
      <w:pPr>
        <w:keepNext/>
        <w:spacing w:before="280" w:after="80"/>
      </w:pPr>
      <w:r>
        <w:rPr>
          <w:rFonts w:ascii="Segoe UI" w:hAnsi="Segoe UI"/>
          <w:b/>
          <w:color w:val="5A86AD"/>
          <w:sz w:val="26"/>
        </w:rPr>
        <w:t>4.2 One-sentence conclusion</w:t>
      </w:r>
    </w:p>
    <w:tbl>
      <w:tblPr>
        <w:tblW w:type="auto" w:w="0"/>
        <w:jc w:val="center"/>
        <w:tblLayout w:type="fixed"/>
        <w:tblLook w:firstColumn="1" w:firstRow="1" w:lastColumn="0" w:lastRow="0" w:noHBand="0" w:noVBand="1" w:val="04A0"/>
      </w:tblPr>
      <w:tblGrid>
        <w:gridCol w:w="9360"/>
      </w:tblGrid>
      <w:tr>
        <w:tc>
          <w:tcPr>
            <w:tcW w:type="dxa" w:w="9360"/>
            <w:shd w:fill="F2F6F9"/>
            <w:tcMar>
              <w:top w:w="140" w:type="dxa"/>
              <w:bottom w:w="140" w:type="dxa"/>
              <w:left w:w="200" w:type="dxa"/>
              <w:right w:w="200" w:type="dxa"/>
            </w:tcMar>
            <w:tcBorders>
              <w:top w:val="none"/>
              <w:bottom w:val="none"/>
              <w:left w:val="single" w:sz="24" w:space="0" w:color="1F4E79"/>
              <w:right w:val="none"/>
            </w:tcBorders>
          </w:tcPr>
          <w:p>
            <w:pPr>
              <w:spacing w:after="0"/>
            </w:pPr>
            <w:r>
              <w:rPr>
                <w:rFonts w:ascii="Segoe UI" w:hAnsi="Segoe UI"/>
                <w:b/>
                <w:color w:val="1F4E79"/>
                <w:sz w:val="21"/>
              </w:rPr>
              <w:t>Strategic Directive</w:t>
              <w:br/>
            </w:r>
            <w:r>
              <w:rPr>
                <w:rFonts w:ascii="Segoe UI" w:hAnsi="Segoe UI"/>
                <w:i/>
                <w:sz w:val="20"/>
              </w:rPr>
              <w:t>Reuse the POC and production datasets as the intelligence backbone; build a deterministic scoring and batch presentation layer to satisfy the PRD; resolve schema drift and missing formulas before coding.</w:t>
            </w:r>
          </w:p>
        </w:tc>
      </w:tr>
    </w:tbl>
    <w:p>
      <w:pPr>
        <w:spacing w:after="120"/>
      </w:pPr>
    </w:p>
    <w:p>
      <w:pPr>
        <w:keepNext/>
        <w:spacing w:before="280" w:after="80"/>
      </w:pPr>
      <w:r>
        <w:rPr>
          <w:rFonts w:ascii="Segoe UI" w:hAnsi="Segoe UI"/>
          <w:b/>
          <w:color w:val="5A86AD"/>
          <w:sz w:val="26"/>
        </w:rPr>
        <w:t>4.3 Gap count by priority</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Priority</w:t>
            </w:r>
          </w:p>
        </w:tc>
        <w:tc>
          <w:tcPr>
            <w:tcW w:type="dxa" w:w="3120"/>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Count</w:t>
            </w:r>
          </w:p>
        </w:tc>
        <w:tc>
          <w:tcPr>
            <w:tcW w:type="dxa" w:w="3120"/>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IDs</w:t>
            </w:r>
          </w:p>
        </w:tc>
      </w:tr>
      <w:tr>
        <w:tc>
          <w:tcPr>
            <w:tcW w:type="dxa" w:w="312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P0</w:t>
            </w:r>
          </w:p>
        </w:tc>
        <w:tc>
          <w:tcPr>
            <w:tcW w:type="dxa" w:w="312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5</w:t>
            </w:r>
          </w:p>
        </w:tc>
        <w:tc>
          <w:tcPr>
            <w:tcW w:type="dxa" w:w="312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G1–G5</w:t>
            </w:r>
          </w:p>
        </w:tc>
      </w:tr>
      <w:tr>
        <w:tc>
          <w:tcPr>
            <w:tcW w:type="dxa" w:w="312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P1</w:t>
            </w:r>
          </w:p>
        </w:tc>
        <w:tc>
          <w:tcPr>
            <w:tcW w:type="dxa" w:w="312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6</w:t>
            </w:r>
          </w:p>
        </w:tc>
        <w:tc>
          <w:tcPr>
            <w:tcW w:type="dxa" w:w="312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G6–G11</w:t>
            </w:r>
          </w:p>
        </w:tc>
      </w:tr>
      <w:tr>
        <w:tc>
          <w:tcPr>
            <w:tcW w:type="dxa" w:w="312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P2</w:t>
            </w:r>
          </w:p>
        </w:tc>
        <w:tc>
          <w:tcPr>
            <w:tcW w:type="dxa" w:w="312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4</w:t>
            </w:r>
          </w:p>
        </w:tc>
        <w:tc>
          <w:tcPr>
            <w:tcW w:type="dxa" w:w="312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G12–G15</w:t>
            </w:r>
          </w:p>
        </w:tc>
      </w:tr>
    </w:tbl>
    <w:p>
      <w:pPr>
        <w:keepNext/>
        <w:spacing w:before="360" w:after="120"/>
      </w:pPr>
      <w:r>
        <w:rPr>
          <w:rFonts w:ascii="Segoe UI" w:hAnsi="Segoe UI"/>
          <w:b/>
          <w:color w:val="1F4E79"/>
          <w:sz w:val="32"/>
        </w:rPr>
        <w:t>5. Target architecture</w:t>
      </w:r>
    </w:p>
    <w:p>
      <w:r>
        <w:t>Data flow (steady state):</w:t>
      </w:r>
    </w:p>
    <w:p>
      <w:pPr>
        <w:pStyle w:val="ListBullet"/>
        <w:spacing w:before="0" w:after="60"/>
        <w:ind w:left="360"/>
      </w:pPr>
      <w:r>
        <w:rPr>
          <w:rFonts w:ascii="Segoe UI" w:hAnsi="Segoe UI"/>
          <w:sz w:val="21"/>
        </w:rPr>
        <w:t>Raw events (wearables, app, assessments, therapy) → feature pipeline → L2</w:t>
      </w:r>
    </w:p>
    <w:p>
      <w:pPr>
        <w:pStyle w:val="ListBullet"/>
        <w:spacing w:before="0" w:after="60"/>
        <w:ind w:left="360"/>
      </w:pPr>
      <w:r>
        <w:rPr>
          <w:rFonts w:ascii="Segoe UI" w:hAnsi="Segoe UI"/>
          <w:sz w:val="21"/>
        </w:rPr>
        <w:t>Nightly (or on refresh): L2 → L3 → persist scores/trends/drivers → L1 API</w:t>
      </w:r>
    </w:p>
    <w:p>
      <w:pPr>
        <w:pStyle w:val="ListBullet"/>
        <w:spacing w:before="0" w:after="60"/>
        <w:ind w:left="360"/>
      </w:pPr>
      <w:r>
        <w:rPr>
          <w:rFonts w:ascii="Segoe UI" w:hAnsi="Segoe UI"/>
          <w:sz w:val="21"/>
        </w:rPr>
        <w:t>User opens report: L1 reads precomputed scores; optional chat uses L4 with same context</w:t>
      </w:r>
    </w:p>
    <w:p>
      <w:pPr>
        <w:pStyle w:val="ListBullet"/>
        <w:spacing w:before="0" w:after="60"/>
        <w:ind w:left="360"/>
      </w:pPr>
      <w:r>
        <w:rPr>
          <w:rFonts w:ascii="Segoe UI" w:hAnsi="Segoe UI"/>
          <w:sz w:val="21"/>
        </w:rPr>
        <w:t>Therapist/org views: L4 operational intents + business features (Phase 2)</w:t>
      </w:r>
    </w:p>
    <w:p>
      <w:pPr>
        <w:keepNext/>
        <w:spacing w:before="360" w:after="120"/>
      </w:pPr>
      <w:r>
        <w:rPr>
          <w:rFonts w:ascii="Segoe UI" w:hAnsi="Segoe UI"/>
          <w:b/>
          <w:color w:val="1F4E79"/>
          <w:sz w:val="32"/>
        </w:rPr>
        <w:t>6. Alignment reference (what already fits)</w:t>
      </w:r>
    </w:p>
    <w:p>
      <w:pPr>
        <w:keepNext/>
        <w:spacing w:before="280" w:after="80"/>
      </w:pPr>
      <w:r>
        <w:rPr>
          <w:rFonts w:ascii="Segoe UI" w:hAnsi="Segoe UI"/>
          <w:b/>
          <w:color w:val="5A86AD"/>
          <w:sz w:val="26"/>
        </w:rPr>
        <w:t>6.1 Architecture &amp; routing</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w:t>
            </w:r>
          </w:p>
        </w:tc>
        <w:tc>
          <w:tcPr>
            <w:tcW w:type="dxa" w:w="3120"/>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Aligned item</w:t>
            </w:r>
          </w:p>
        </w:tc>
        <w:tc>
          <w:tcPr>
            <w:tcW w:type="dxa" w:w="3120"/>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Explanation</w:t>
            </w:r>
          </w:p>
        </w:tc>
      </w:tr>
      <w:tr>
        <w:tc>
          <w:tcPr>
            <w:tcW w:type="dxa" w:w="312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A1</w:t>
            </w:r>
          </w:p>
        </w:tc>
        <w:tc>
          <w:tcPr>
            <w:tcW w:type="dxa" w:w="312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Hybrid LLM + ML + deterministic features</w:t>
            </w:r>
          </w:p>
        </w:tc>
        <w:tc>
          <w:tcPr>
            <w:tcW w:type="dxa" w:w="312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POC correctly separates prediction (ML), explanation (LLM), and measurement (features). Matches PRD need for both fixed numbers and natural-language insight.</w:t>
            </w:r>
          </w:p>
        </w:tc>
      </w:tr>
      <w:tr>
        <w:tc>
          <w:tcPr>
            <w:tcW w:type="dxa" w:w="312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A2</w:t>
            </w:r>
          </w:p>
        </w:tc>
        <w:tc>
          <w:tcPr>
            <w:tcW w:type="dxa" w:w="312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Intent taxonomy</w:t>
            </w:r>
          </w:p>
        </w:tc>
        <w:tc>
          <w:tcPr>
            <w:tcW w:type="dxa" w:w="312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Maps 1:1 to PRD question types and to different execution paths (trend vs risk vs recommendation).</w:t>
            </w:r>
          </w:p>
        </w:tc>
      </w:tr>
      <w:tr>
        <w:tc>
          <w:tcPr>
            <w:tcW w:type="dxa" w:w="312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A3</w:t>
            </w:r>
          </w:p>
        </w:tc>
        <w:tc>
          <w:tcPr>
            <w:tcW w:type="dxa" w:w="312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Declarative JSON config</w:t>
            </w:r>
          </w:p>
        </w:tc>
        <w:tc>
          <w:tcPr>
            <w:tcW w:type="dxa" w:w="312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Ensures routing is testable and versioned; LLM must not decide which model runs.</w:t>
            </w:r>
          </w:p>
        </w:tc>
      </w:tr>
      <w:tr>
        <w:tc>
          <w:tcPr>
            <w:tcW w:type="dxa" w:w="312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A4</w:t>
            </w:r>
          </w:p>
        </w:tc>
        <w:tc>
          <w:tcPr>
            <w:tcW w:type="dxa" w:w="312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Safety guardrails</w:t>
            </w:r>
          </w:p>
        </w:tc>
        <w:tc>
          <w:tcPr>
            <w:tcW w:type="dxa" w:w="312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Required for mental health compliance; templates already embed constraints.</w:t>
            </w:r>
          </w:p>
        </w:tc>
      </w:tr>
    </w:tbl>
    <w:p>
      <w:pPr>
        <w:keepNext/>
        <w:spacing w:before="280" w:after="80"/>
      </w:pPr>
      <w:r>
        <w:rPr>
          <w:rFonts w:ascii="Segoe UI" w:hAnsi="Segoe UI"/>
          <w:b/>
          <w:color w:val="5A86AD"/>
          <w:sz w:val="26"/>
        </w:rPr>
        <w:t>6.2 Data &amp; features</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w:t>
            </w:r>
          </w:p>
        </w:tc>
        <w:tc>
          <w:tcPr>
            <w:tcW w:type="dxa" w:w="3120"/>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Aligned item</w:t>
            </w:r>
          </w:p>
        </w:tc>
        <w:tc>
          <w:tcPr>
            <w:tcW w:type="dxa" w:w="3120"/>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Explanation</w:t>
            </w:r>
          </w:p>
        </w:tc>
      </w:tr>
      <w:tr>
        <w:tc>
          <w:tcPr>
            <w:tcW w:type="dxa" w:w="312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A5</w:t>
            </w:r>
          </w:p>
        </w:tc>
        <w:tc>
          <w:tcPr>
            <w:tcW w:type="dxa" w:w="312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Windowed features</w:t>
            </w:r>
          </w:p>
        </w:tc>
        <w:tc>
          <w:tcPr>
            <w:tcW w:type="dxa" w:w="312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Same time horizons PRD uses for 'last week' / 'vs baseline' copy.</w:t>
            </w:r>
          </w:p>
        </w:tc>
      </w:tr>
      <w:tr>
        <w:tc>
          <w:tcPr>
            <w:tcW w:type="dxa" w:w="312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A6</w:t>
            </w:r>
          </w:p>
        </w:tc>
        <w:tc>
          <w:tcPr>
            <w:tcW w:type="dxa" w:w="312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Derived flags</w:t>
            </w:r>
          </w:p>
        </w:tc>
        <w:tc>
          <w:tcPr>
            <w:tcW w:type="dxa" w:w="312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Directly support PRD pattern cards and early warning.</w:t>
            </w:r>
          </w:p>
        </w:tc>
      </w:tr>
      <w:tr>
        <w:tc>
          <w:tcPr>
            <w:tcW w:type="dxa" w:w="312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A7</w:t>
            </w:r>
          </w:p>
        </w:tc>
        <w:tc>
          <w:tcPr>
            <w:tcW w:type="dxa" w:w="312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Cohort percentiles</w:t>
            </w:r>
          </w:p>
        </w:tc>
        <w:tc>
          <w:tcPr>
            <w:tcW w:type="dxa" w:w="312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Support 'compare to similar users' and cold-start imputation per POC.</w:t>
            </w:r>
          </w:p>
        </w:tc>
      </w:tr>
      <w:tr>
        <w:tc>
          <w:tcPr>
            <w:tcW w:type="dxa" w:w="312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A8</w:t>
            </w:r>
          </w:p>
        </w:tc>
        <w:tc>
          <w:tcPr>
            <w:tcW w:type="dxa" w:w="312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data_completeness_score</w:t>
            </w:r>
          </w:p>
        </w:tc>
        <w:tc>
          <w:tcPr>
            <w:tcW w:type="dxa" w:w="312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Operationalize PRD 'confidence in insight' and cold-start messaging.</w:t>
            </w:r>
          </w:p>
        </w:tc>
      </w:tr>
      <w:tr>
        <w:tc>
          <w:tcPr>
            <w:tcW w:type="dxa" w:w="312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A9</w:t>
            </w:r>
          </w:p>
        </w:tc>
        <w:tc>
          <w:tcPr>
            <w:tcW w:type="dxa" w:w="312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Production ML volume</w:t>
            </w:r>
          </w:p>
        </w:tc>
        <w:tc>
          <w:tcPr>
            <w:tcW w:type="dxa" w:w="312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Sufficient for training and validation; shared xlsx is schema-only.</w:t>
            </w:r>
          </w:p>
        </w:tc>
      </w:tr>
    </w:tbl>
    <w:p>
      <w:pPr>
        <w:keepNext/>
        <w:spacing w:before="280" w:after="80"/>
      </w:pPr>
      <w:r>
        <w:rPr>
          <w:rFonts w:ascii="Segoe UI" w:hAnsi="Segoe UI"/>
          <w:b/>
          <w:color w:val="5A86AD"/>
          <w:sz w:val="26"/>
        </w:rPr>
        <w:t>6.3 ML &amp; labels</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w:t>
            </w:r>
          </w:p>
        </w:tc>
        <w:tc>
          <w:tcPr>
            <w:tcW w:type="dxa" w:w="3120"/>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Aligned item</w:t>
            </w:r>
          </w:p>
        </w:tc>
        <w:tc>
          <w:tcPr>
            <w:tcW w:type="dxa" w:w="3120"/>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Explanation</w:t>
            </w:r>
          </w:p>
        </w:tc>
      </w:tr>
      <w:tr>
        <w:tc>
          <w:tcPr>
            <w:tcW w:type="dxa" w:w="312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A10</w:t>
            </w:r>
          </w:p>
        </w:tc>
        <w:tc>
          <w:tcPr>
            <w:tcW w:type="dxa" w:w="312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User labels</w:t>
            </w:r>
          </w:p>
        </w:tc>
        <w:tc>
          <w:tcPr>
            <w:tcW w:type="dxa" w:w="312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Definitions in Label_Generation_logic match POC model config; trainable today.</w:t>
            </w:r>
          </w:p>
        </w:tc>
      </w:tr>
      <w:tr>
        <w:tc>
          <w:tcPr>
            <w:tcW w:type="dxa" w:w="312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A11</w:t>
            </w:r>
          </w:p>
        </w:tc>
        <w:tc>
          <w:tcPr>
            <w:tcW w:type="dxa" w:w="312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Business labels</w:t>
            </w:r>
          </w:p>
        </w:tc>
        <w:tc>
          <w:tcPr>
            <w:tcW w:type="dxa" w:w="312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Supports org/therapist Phase 2; not required for end-user CRS but aligned with POC scope.</w:t>
            </w:r>
          </w:p>
        </w:tc>
      </w:tr>
    </w:tbl>
    <w:p>
      <w:pPr>
        <w:keepNext/>
        <w:spacing w:before="280" w:after="80"/>
      </w:pPr>
      <w:r>
        <w:rPr>
          <w:rFonts w:ascii="Segoe UI" w:hAnsi="Segoe UI"/>
          <w:b/>
          <w:color w:val="5A86AD"/>
          <w:sz w:val="26"/>
        </w:rPr>
        <w:t>6.4 Product mapping</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w:t>
            </w:r>
          </w:p>
        </w:tc>
        <w:tc>
          <w:tcPr>
            <w:tcW w:type="dxa" w:w="3120"/>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Aligned item</w:t>
            </w:r>
          </w:p>
        </w:tc>
        <w:tc>
          <w:tcPr>
            <w:tcW w:type="dxa" w:w="3120"/>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Explanation</w:t>
            </w:r>
          </w:p>
        </w:tc>
      </w:tr>
      <w:tr>
        <w:tc>
          <w:tcPr>
            <w:tcW w:type="dxa" w:w="312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A12</w:t>
            </w:r>
          </w:p>
        </w:tc>
        <w:tc>
          <w:tcPr>
            <w:tcW w:type="dxa" w:w="312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Pillar → input list</w:t>
            </w:r>
          </w:p>
        </w:tc>
        <w:tc>
          <w:tcPr>
            <w:tcW w:type="dxa" w:w="312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Product-approved mapping of which signals feed Clarity, Balance, Resilience, Capacity.</w:t>
            </w:r>
          </w:p>
        </w:tc>
      </w:tr>
      <w:tr>
        <w:tc>
          <w:tcPr>
            <w:tcW w:type="dxa" w:w="312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A13</w:t>
            </w:r>
          </w:p>
        </w:tc>
        <w:tc>
          <w:tcPr>
            <w:tcW w:type="dxa" w:w="312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Six trend metric names</w:t>
            </w:r>
          </w:p>
        </w:tc>
        <w:tc>
          <w:tcPr>
            <w:tcW w:type="dxa" w:w="312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Naming is stable; need formulas (G2), not renaming.</w:t>
            </w:r>
          </w:p>
        </w:tc>
      </w:tr>
      <w:tr>
        <w:tc>
          <w:tcPr>
            <w:tcW w:type="dxa" w:w="312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A14</w:t>
            </w:r>
          </w:p>
        </w:tc>
        <w:tc>
          <w:tcPr>
            <w:tcW w:type="dxa" w:w="312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Risk Watch narrative path</w:t>
            </w:r>
          </w:p>
        </w:tc>
        <w:tc>
          <w:tcPr>
            <w:tcW w:type="dxa" w:w="312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EARLY_WARNING + risk ML + risk_explain_v1 template covers PRD 'What is the risk?' partially.</w:t>
            </w:r>
          </w:p>
        </w:tc>
      </w:tr>
    </w:tbl>
    <w:p>
      <w:pPr>
        <w:keepNext/>
        <w:spacing w:before="360" w:after="120"/>
      </w:pPr>
      <w:r>
        <w:rPr>
          <w:rFonts w:ascii="Segoe UI" w:hAnsi="Segoe UI"/>
          <w:b/>
          <w:color w:val="1F4E79"/>
          <w:sz w:val="32"/>
        </w:rPr>
        <w:t>7. PRD ↔ POC ↔ data mapping</w:t>
      </w:r>
    </w:p>
    <w:p>
      <w:pPr>
        <w:keepNext/>
        <w:spacing w:before="280" w:after="80"/>
      </w:pPr>
      <w:r>
        <w:rPr>
          <w:rFonts w:ascii="Segoe UI" w:hAnsi="Segoe UI"/>
          <w:b/>
          <w:color w:val="5A86AD"/>
          <w:sz w:val="26"/>
        </w:rPr>
        <w:t>7.1 User questions → system behavior</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PRD question</w:t>
            </w:r>
          </w:p>
        </w:tc>
        <w:tc>
          <w:tcPr>
            <w:tcW w:type="dxa" w:w="1872"/>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User need</w:t>
            </w:r>
          </w:p>
        </w:tc>
        <w:tc>
          <w:tcPr>
            <w:tcW w:type="dxa" w:w="1872"/>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POC category</w:t>
            </w:r>
          </w:p>
        </w:tc>
        <w:tc>
          <w:tcPr>
            <w:tcW w:type="dxa" w:w="1872"/>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Primary intents</w:t>
            </w:r>
          </w:p>
        </w:tc>
        <w:tc>
          <w:tcPr>
            <w:tcW w:type="dxa" w:w="1872"/>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What user sees</w:t>
            </w:r>
          </w:p>
        </w:tc>
      </w:tr>
      <w:tr>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Where am I right now?</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Current state</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Effectiveness</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STATUS_CHECK</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CRS, pillars, trend cards</w:t>
            </w:r>
          </w:p>
        </w:tc>
      </w:tr>
      <w:tr>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Why am I here?</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Causes</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Guidance</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CORRELATION_ANALYSIS, ROOT_CAUSE_ANALYSIS</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Pattern cards, driver %</w:t>
            </w:r>
          </w:p>
        </w:tc>
      </w:tr>
      <w:tr>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What should I be aware of?</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Emerging issues</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Guidance</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EARLY_WARNING, PATTERN_DETECTION</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Pattern Spotlight, Risk Watch</w:t>
            </w:r>
          </w:p>
        </w:tc>
      </w:tr>
      <w:tr>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What is the risk?</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Forward-looking harm</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Operational + Guidance</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RISK_PREDICTION_*</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Risk Watch, probability copy</w:t>
            </w:r>
          </w:p>
        </w:tc>
      </w:tr>
      <w:tr>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What should I do next?</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Actions</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Guidance</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GUIDANCE, NEXT_BEST_ACTION</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Recommendations, exercises, booking</w:t>
            </w:r>
          </w:p>
        </w:tc>
      </w:tr>
    </w:tbl>
    <w:p>
      <w:pPr>
        <w:keepNext/>
        <w:spacing w:before="280" w:after="80"/>
      </w:pPr>
      <w:r>
        <w:rPr>
          <w:rFonts w:ascii="Segoe UI" w:hAnsi="Segoe UI"/>
          <w:b/>
          <w:color w:val="5A86AD"/>
          <w:sz w:val="26"/>
        </w:rPr>
        <w:t>7.2 Scores and trends — mapping table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PRD output</w:t>
            </w:r>
          </w:p>
        </w:tc>
        <w:tc>
          <w:tcPr>
            <w:tcW w:type="dxa" w:w="1872"/>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Excel (A2)</w:t>
            </w:r>
          </w:p>
        </w:tc>
        <w:tc>
          <w:tcPr>
            <w:tcW w:type="dxa" w:w="1872"/>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Dataset columns (A4)</w:t>
            </w:r>
          </w:p>
        </w:tc>
        <w:tc>
          <w:tcPr>
            <w:tcW w:type="dxa" w:w="1872"/>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POC (A3)</w:t>
            </w:r>
          </w:p>
        </w:tc>
        <w:tc>
          <w:tcPr>
            <w:tcW w:type="dxa" w:w="1872"/>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Gap ID</w:t>
            </w:r>
          </w:p>
        </w:tc>
      </w:tr>
      <w:tr>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CRS</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Implied aggregate of pillars</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None</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None</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G1</w:t>
            </w:r>
          </w:p>
        </w:tc>
      </w:tr>
      <w:tr>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Clarity</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sleep, HRV, routine, CORE-OM functioning</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sleep_*, resting_hr_relative, activity_slope_7d, core_om_delta_30d</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Partial features</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G1, G6, G7</w:t>
            </w:r>
          </w:p>
        </w:tc>
      </w:tr>
      <w:tr>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Emotional Balance</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CORE-OM wellbeing/problems, stress, irregularity</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mood, GAD-7, flags</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Partial</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G1, G7</w:t>
            </w:r>
          </w:p>
        </w:tc>
      </w:tr>
      <w:tr>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Resilience</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HRV, recovery, sleep consistency, distress trend</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sleep, mood persistence, HR</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Partial</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G1, G6</w:t>
            </w:r>
          </w:p>
        </w:tc>
      </w:tr>
      <w:tr>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Capacity</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recovery, sleep, functioning, activity, drift</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sleep, activity, engagement</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Partial</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G1, G7</w:t>
            </w:r>
          </w:p>
        </w:tc>
      </w:tr>
      <w:tr>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Recovery Readiness</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Biological trend</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sleep_delta, HR relative</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No composite</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G2, G6</w:t>
            </w:r>
          </w:p>
        </w:tc>
      </w:tr>
      <w:tr>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Stress Load</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Biological trend</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cortisol_flag, HR</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No episodes</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G2, G6</w:t>
            </w:r>
          </w:p>
        </w:tc>
      </w:tr>
      <w:tr>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Sleep Consistency</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Bio + behavioral</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sleep_avg, persistence</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No bed/wake variance</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G2</w:t>
            </w:r>
          </w:p>
        </w:tc>
      </w:tr>
      <w:tr>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Energy Rhythm</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Behavioral</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activity_slope, engagement</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No 24h curve</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G2</w:t>
            </w:r>
          </w:p>
        </w:tc>
      </w:tr>
      <w:tr>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Emotional Stability</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Psychological</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mood_volatility, mood_slope</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Can compute</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G2</w:t>
            </w:r>
          </w:p>
        </w:tc>
      </w:tr>
      <w:tr>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Motivation &amp; Confidence Momentum</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Psych + behavioral</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Missing in A4</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In JSON only</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G2, G8</w:t>
            </w:r>
          </w:p>
        </w:tc>
      </w:tr>
    </w:tbl>
    <w:p>
      <w:pPr>
        <w:keepNext/>
        <w:spacing w:before="360" w:after="120"/>
      </w:pPr>
      <w:r>
        <w:rPr>
          <w:rFonts w:ascii="Segoe UI" w:hAnsi="Segoe UI"/>
          <w:b/>
          <w:color w:val="1F4E79"/>
          <w:sz w:val="32"/>
        </w:rPr>
        <w:t>8. Gap register — summary table</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ID</w:t>
            </w:r>
          </w:p>
        </w:tc>
        <w:tc>
          <w:tcPr>
            <w:tcW w:type="dxa" w:w="2340"/>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Priority</w:t>
            </w:r>
          </w:p>
        </w:tc>
        <w:tc>
          <w:tcPr>
            <w:tcW w:type="dxa" w:w="2340"/>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Title</w:t>
            </w:r>
          </w:p>
        </w:tc>
        <w:tc>
          <w:tcPr>
            <w:tcW w:type="dxa" w:w="2340"/>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Blocks Engine?</w:t>
            </w:r>
          </w:p>
        </w:tc>
      </w:tr>
      <w:tr>
        <w:tc>
          <w:tcPr>
            <w:tcW w:type="dxa" w:w="234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G1</w:t>
            </w:r>
          </w:p>
        </w:tc>
        <w:tc>
          <w:tcPr>
            <w:tcW w:type="dxa" w:w="234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P0</w:t>
            </w:r>
          </w:p>
        </w:tc>
        <w:tc>
          <w:tcPr>
            <w:tcW w:type="dxa" w:w="234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No CRS or pillar scoring engine</w:t>
            </w:r>
          </w:p>
        </w:tc>
        <w:tc>
          <w:tcPr>
            <w:tcW w:type="dxa" w:w="234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Yes</w:t>
            </w:r>
          </w:p>
        </w:tc>
      </w:tr>
      <w:tr>
        <w:tc>
          <w:tcPr>
            <w:tcW w:type="dxa" w:w="234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G2</w:t>
            </w:r>
          </w:p>
        </w:tc>
        <w:tc>
          <w:tcPr>
            <w:tcW w:type="dxa" w:w="234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P0</w:t>
            </w:r>
          </w:p>
        </w:tc>
        <w:tc>
          <w:tcPr>
            <w:tcW w:type="dxa" w:w="234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No six PRD trend composites</w:t>
            </w:r>
          </w:p>
        </w:tc>
        <w:tc>
          <w:tcPr>
            <w:tcW w:type="dxa" w:w="234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Yes</w:t>
            </w:r>
          </w:p>
        </w:tc>
      </w:tr>
      <w:tr>
        <w:tc>
          <w:tcPr>
            <w:tcW w:type="dxa" w:w="234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G3</w:t>
            </w:r>
          </w:p>
        </w:tc>
        <w:tc>
          <w:tcPr>
            <w:tcW w:type="dxa" w:w="234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P0</w:t>
            </w:r>
          </w:p>
        </w:tc>
        <w:tc>
          <w:tcPr>
            <w:tcW w:type="dxa" w:w="234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Feature registry / naming inconsistency</w:t>
            </w:r>
          </w:p>
        </w:tc>
        <w:tc>
          <w:tcPr>
            <w:tcW w:type="dxa" w:w="234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Yes</w:t>
            </w:r>
          </w:p>
        </w:tc>
      </w:tr>
      <w:tr>
        <w:tc>
          <w:tcPr>
            <w:tcW w:type="dxa" w:w="234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G4</w:t>
            </w:r>
          </w:p>
        </w:tc>
        <w:tc>
          <w:tcPr>
            <w:tcW w:type="dxa" w:w="234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P0</w:t>
            </w:r>
          </w:p>
        </w:tc>
        <w:tc>
          <w:tcPr>
            <w:tcW w:type="dxa" w:w="234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Incomplete feature computation spec</w:t>
            </w:r>
          </w:p>
        </w:tc>
        <w:tc>
          <w:tcPr>
            <w:tcW w:type="dxa" w:w="234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Yes</w:t>
            </w:r>
          </w:p>
        </w:tc>
      </w:tr>
      <w:tr>
        <w:tc>
          <w:tcPr>
            <w:tcW w:type="dxa" w:w="234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G5</w:t>
            </w:r>
          </w:p>
        </w:tc>
        <w:tc>
          <w:tcPr>
            <w:tcW w:type="dxa" w:w="234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P0</w:t>
            </w:r>
          </w:p>
        </w:tc>
        <w:tc>
          <w:tcPr>
            <w:tcW w:type="dxa" w:w="234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Dashboard requires batch pipeline, not query-only</w:t>
            </w:r>
          </w:p>
        </w:tc>
        <w:tc>
          <w:tcPr>
            <w:tcW w:type="dxa" w:w="234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Yes</w:t>
            </w:r>
          </w:p>
        </w:tc>
      </w:tr>
      <w:tr>
        <w:tc>
          <w:tcPr>
            <w:tcW w:type="dxa" w:w="234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G6</w:t>
            </w:r>
          </w:p>
        </w:tc>
        <w:tc>
          <w:tcPr>
            <w:tcW w:type="dxa" w:w="234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P1</w:t>
            </w:r>
          </w:p>
        </w:tc>
        <w:tc>
          <w:tcPr>
            <w:tcW w:type="dxa" w:w="234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Wearable / biological field gaps</w:t>
            </w:r>
          </w:p>
        </w:tc>
        <w:tc>
          <w:tcPr>
            <w:tcW w:type="dxa" w:w="234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Partial MVP</w:t>
            </w:r>
          </w:p>
        </w:tc>
      </w:tr>
      <w:tr>
        <w:tc>
          <w:tcPr>
            <w:tcW w:type="dxa" w:w="234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G7</w:t>
            </w:r>
          </w:p>
        </w:tc>
        <w:tc>
          <w:tcPr>
            <w:tcW w:type="dxa" w:w="234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P1</w:t>
            </w:r>
          </w:p>
        </w:tc>
        <w:tc>
          <w:tcPr>
            <w:tcW w:type="dxa" w:w="234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CORE-OM subscore granularity</w:t>
            </w:r>
          </w:p>
        </w:tc>
        <w:tc>
          <w:tcPr>
            <w:tcW w:type="dxa" w:w="234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Partial MVP</w:t>
            </w:r>
          </w:p>
        </w:tc>
      </w:tr>
      <w:tr>
        <w:tc>
          <w:tcPr>
            <w:tcW w:type="dxa" w:w="234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G8</w:t>
            </w:r>
          </w:p>
        </w:tc>
        <w:tc>
          <w:tcPr>
            <w:tcW w:type="dxa" w:w="234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P1</w:t>
            </w:r>
          </w:p>
        </w:tc>
        <w:tc>
          <w:tcPr>
            <w:tcW w:type="dxa" w:w="234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Motivation / confidence not in dataset contract</w:t>
            </w:r>
          </w:p>
        </w:tc>
        <w:tc>
          <w:tcPr>
            <w:tcW w:type="dxa" w:w="234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Partial MVP</w:t>
            </w:r>
          </w:p>
        </w:tc>
      </w:tr>
      <w:tr>
        <w:tc>
          <w:tcPr>
            <w:tcW w:type="dxa" w:w="234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G9</w:t>
            </w:r>
          </w:p>
        </w:tc>
        <w:tc>
          <w:tcPr>
            <w:tcW w:type="dxa" w:w="234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P1</w:t>
            </w:r>
          </w:p>
        </w:tc>
        <w:tc>
          <w:tcPr>
            <w:tcW w:type="dxa" w:w="234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Driver breakdown % undefined</w:t>
            </w:r>
          </w:p>
        </w:tc>
        <w:tc>
          <w:tcPr>
            <w:tcW w:type="dxa" w:w="234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Partial MVP</w:t>
            </w:r>
          </w:p>
        </w:tc>
      </w:tr>
      <w:tr>
        <w:tc>
          <w:tcPr>
            <w:tcW w:type="dxa" w:w="234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G10</w:t>
            </w:r>
          </w:p>
        </w:tc>
        <w:tc>
          <w:tcPr>
            <w:tcW w:type="dxa" w:w="234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P1</w:t>
            </w:r>
          </w:p>
        </w:tc>
        <w:tc>
          <w:tcPr>
            <w:tcW w:type="dxa" w:w="234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Structured AI pattern module</w:t>
            </w:r>
          </w:p>
        </w:tc>
        <w:tc>
          <w:tcPr>
            <w:tcW w:type="dxa" w:w="234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Partial MVP</w:t>
            </w:r>
          </w:p>
        </w:tc>
      </w:tr>
      <w:tr>
        <w:tc>
          <w:tcPr>
            <w:tcW w:type="dxa" w:w="234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G11</w:t>
            </w:r>
          </w:p>
        </w:tc>
        <w:tc>
          <w:tcPr>
            <w:tcW w:type="dxa" w:w="234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P1</w:t>
            </w:r>
          </w:p>
        </w:tc>
        <w:tc>
          <w:tcPr>
            <w:tcW w:type="dxa" w:w="234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Recommendations &amp; content catalog</w:t>
            </w:r>
          </w:p>
        </w:tc>
        <w:tc>
          <w:tcPr>
            <w:tcW w:type="dxa" w:w="234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Partial MVP</w:t>
            </w:r>
          </w:p>
        </w:tc>
      </w:tr>
      <w:tr>
        <w:tc>
          <w:tcPr>
            <w:tcW w:type="dxa" w:w="234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G12</w:t>
            </w:r>
          </w:p>
        </w:tc>
        <w:tc>
          <w:tcPr>
            <w:tcW w:type="dxa" w:w="234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P2</w:t>
            </w:r>
          </w:p>
        </w:tc>
        <w:tc>
          <w:tcPr>
            <w:tcW w:type="dxa" w:w="234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Composite risk weights undefined</w:t>
            </w:r>
          </w:p>
        </w:tc>
        <w:tc>
          <w:tcPr>
            <w:tcW w:type="dxa" w:w="234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No</w:t>
            </w:r>
          </w:p>
        </w:tc>
      </w:tr>
      <w:tr>
        <w:tc>
          <w:tcPr>
            <w:tcW w:type="dxa" w:w="234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G13</w:t>
            </w:r>
          </w:p>
        </w:tc>
        <w:tc>
          <w:tcPr>
            <w:tcW w:type="dxa" w:w="234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P2</w:t>
            </w:r>
          </w:p>
        </w:tc>
        <w:tc>
          <w:tcPr>
            <w:tcW w:type="dxa" w:w="234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Visualization / chart layer</w:t>
            </w:r>
          </w:p>
        </w:tc>
        <w:tc>
          <w:tcPr>
            <w:tcW w:type="dxa" w:w="234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No</w:t>
            </w:r>
          </w:p>
        </w:tc>
      </w:tr>
      <w:tr>
        <w:tc>
          <w:tcPr>
            <w:tcW w:type="dxa" w:w="234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G14</w:t>
            </w:r>
          </w:p>
        </w:tc>
        <w:tc>
          <w:tcPr>
            <w:tcW w:type="dxa" w:w="234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P2</w:t>
            </w:r>
          </w:p>
        </w:tc>
        <w:tc>
          <w:tcPr>
            <w:tcW w:type="dxa" w:w="234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Business ML not in user Engine PRD</w:t>
            </w:r>
          </w:p>
        </w:tc>
        <w:tc>
          <w:tcPr>
            <w:tcW w:type="dxa" w:w="234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No (Phase 2)</w:t>
            </w:r>
          </w:p>
        </w:tc>
      </w:tr>
      <w:tr>
        <w:tc>
          <w:tcPr>
            <w:tcW w:type="dxa" w:w="234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G15</w:t>
            </w:r>
          </w:p>
        </w:tc>
        <w:tc>
          <w:tcPr>
            <w:tcW w:type="dxa" w:w="234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P2</w:t>
            </w:r>
          </w:p>
        </w:tc>
        <w:tc>
          <w:tcPr>
            <w:tcW w:type="dxa" w:w="234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system_type channel handling</w:t>
            </w:r>
          </w:p>
        </w:tc>
        <w:tc>
          <w:tcPr>
            <w:tcW w:type="dxa" w:w="234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No</w:t>
            </w:r>
          </w:p>
        </w:tc>
      </w:tr>
    </w:tbl>
    <w:p>
      <w:pPr>
        <w:keepNext/>
        <w:spacing w:before="360" w:after="120"/>
      </w:pPr>
      <w:r>
        <w:rPr>
          <w:rFonts w:ascii="Segoe UI" w:hAnsi="Segoe UI"/>
          <w:b/>
          <w:color w:val="1F4E79"/>
          <w:sz w:val="32"/>
        </w:rPr>
        <w:t>9. Gap deep dive (full explanations)</w:t>
      </w:r>
    </w:p>
    <w:p>
      <w:pPr>
        <w:keepNext/>
        <w:spacing w:before="280" w:after="80"/>
      </w:pPr>
      <w:r>
        <w:rPr>
          <w:rFonts w:ascii="Segoe UI" w:hAnsi="Segoe UI"/>
          <w:b/>
          <w:color w:val="5A86AD"/>
          <w:sz w:val="26"/>
        </w:rPr>
        <w:t>G1 — No CRS or pillar scoring engine (P0)</w:t>
      </w:r>
    </w:p>
    <w:p>
      <w:r>
        <w:t>Summary: The PRD’s primary deliverable is four pillar scores (0–100) and a Cognitive Readiness Score. None of the artifacts define how to calculate these numbers from features.</w:t>
      </w:r>
    </w:p>
    <w:p>
      <w:r>
        <w:t>Recommended Solution: Product/clinical sign-off on pillar weights; implement Scoring Service (L3) to normalize inputs to 0-100 and compute weighted averages.</w:t>
      </w:r>
    </w:p>
    <w:p>
      <w:r>
        <w:rPr>
          <w:b/>
        </w:rPr>
        <w:t>Acceptance Criteria:</w:t>
      </w:r>
    </w:p>
    <w:p>
      <w:pPr>
        <w:pStyle w:val="ListBullet"/>
        <w:spacing w:before="0" w:after="60"/>
        <w:ind w:left="360"/>
      </w:pPr>
      <w:r>
        <w:rPr>
          <w:rFonts w:ascii="Segoe UI" w:hAnsi="Segoe UI"/>
          <w:sz w:val="21"/>
        </w:rPr>
        <w:t>Given a user with full maturity, API returns all five scores 0–100 for today</w:t>
      </w:r>
    </w:p>
    <w:p>
      <w:pPr>
        <w:pStyle w:val="ListBullet"/>
        <w:spacing w:before="0" w:after="60"/>
        <w:ind w:left="360"/>
      </w:pPr>
      <w:r>
        <w:rPr>
          <w:rFonts w:ascii="Segoe UI" w:hAnsi="Segoe UI"/>
          <w:sz w:val="21"/>
        </w:rPr>
        <w:t>Given cold-start user, scores use cohort prior and return confidence_tier = Limited</w:t>
      </w:r>
    </w:p>
    <w:p>
      <w:pPr>
        <w:pStyle w:val="ListBullet"/>
        <w:spacing w:before="0" w:after="60"/>
        <w:ind w:left="360"/>
      </w:pPr>
      <w:r>
        <w:rPr>
          <w:rFonts w:ascii="Segoe UI" w:hAnsi="Segoe UI"/>
          <w:sz w:val="21"/>
        </w:rPr>
        <w:t>Same inputs produce identical scores across batch and API (deterministic)</w:t>
      </w:r>
    </w:p>
    <w:p>
      <w:pPr>
        <w:keepNext/>
        <w:spacing w:before="280" w:after="80"/>
      </w:pPr>
      <w:r>
        <w:rPr>
          <w:rFonts w:ascii="Segoe UI" w:hAnsi="Segoe UI"/>
          <w:b/>
          <w:color w:val="5A86AD"/>
          <w:sz w:val="26"/>
        </w:rPr>
        <w:t>G2 — No six PRD trend composites (P0)</w:t>
      </w:r>
    </w:p>
    <w:p>
      <w:r>
        <w:t>Summary: The PRD defines six named trend metrics with specific card copy and charts. The feature store has primitives but not the six composite scores the UI labels use.</w:t>
      </w:r>
    </w:p>
    <w:p>
      <w:r>
        <w:t>Recommended Solution: Define trend composite spec detailing inputs and formulas; implement in L3 alongside pillars; map copy templates to score bands.</w:t>
      </w:r>
    </w:p>
    <w:p>
      <w:r>
        <w:rPr>
          <w:b/>
        </w:rPr>
        <w:t>Acceptance Criteria:</w:t>
      </w:r>
    </w:p>
    <w:p>
      <w:pPr>
        <w:pStyle w:val="ListBullet"/>
        <w:spacing w:before="0" w:after="60"/>
        <w:ind w:left="360"/>
      </w:pPr>
      <w:r>
        <w:rPr>
          <w:rFonts w:ascii="Segoe UI" w:hAnsi="Segoe UI"/>
          <w:sz w:val="21"/>
        </w:rPr>
        <w:t>All six trends exposed via API with score, band label, and 14d history</w:t>
      </w:r>
    </w:p>
    <w:p>
      <w:pPr>
        <w:pStyle w:val="ListBullet"/>
        <w:spacing w:before="0" w:after="60"/>
        <w:ind w:left="360"/>
      </w:pPr>
      <w:r>
        <w:rPr>
          <w:rFonts w:ascii="Segoe UI" w:hAnsi="Segoe UI"/>
          <w:sz w:val="21"/>
        </w:rPr>
        <w:t>Emotional Stability computable from existing features without wearable data</w:t>
      </w:r>
    </w:p>
    <w:p>
      <w:pPr>
        <w:pStyle w:val="ListBullet"/>
        <w:spacing w:before="0" w:after="60"/>
        <w:ind w:left="360"/>
      </w:pPr>
      <w:r>
        <w:rPr>
          <w:rFonts w:ascii="Segoe UI" w:hAnsi="Segoe UI"/>
          <w:sz w:val="21"/>
        </w:rPr>
        <w:t>Trends with insufficient data return available: false</w:t>
      </w:r>
    </w:p>
    <w:p>
      <w:pPr>
        <w:keepNext/>
        <w:spacing w:before="280" w:after="80"/>
      </w:pPr>
      <w:r>
        <w:rPr>
          <w:rFonts w:ascii="Segoe UI" w:hAnsi="Segoe UI"/>
          <w:b/>
          <w:color w:val="5A86AD"/>
          <w:sz w:val="26"/>
        </w:rPr>
        <w:t>G3 — Feature registry / naming inconsistency (P0)</w:t>
      </w:r>
    </w:p>
    <w:p>
      <w:r>
        <w:t>Summary: The same concepts appear under different names or exist in only one artifact (e.g., avg_mood_14d vs mood_avg_14d).</w:t>
      </w:r>
    </w:p>
    <w:p>
      <w:r>
        <w:t>Recommended Solution: Publish a canonical feature_registry_v1.json as the single source of truth; enforce CI checks to prevent schema drift.</w:t>
      </w:r>
    </w:p>
    <w:p>
      <w:r>
        <w:rPr>
          <w:b/>
        </w:rPr>
        <w:t>Acceptance Criteria:</w:t>
      </w:r>
    </w:p>
    <w:p>
      <w:pPr>
        <w:pStyle w:val="ListBullet"/>
        <w:spacing w:before="0" w:after="60"/>
        <w:ind w:left="360"/>
      </w:pPr>
      <w:r>
        <w:rPr>
          <w:rFonts w:ascii="Segoe UI" w:hAnsi="Segoe UI"/>
          <w:sz w:val="21"/>
        </w:rPr>
        <w:t>Single registry file approved by data + engineering</w:t>
      </w:r>
    </w:p>
    <w:p>
      <w:pPr>
        <w:pStyle w:val="ListBullet"/>
        <w:spacing w:before="0" w:after="60"/>
        <w:ind w:left="360"/>
      </w:pPr>
      <w:r>
        <w:rPr>
          <w:rFonts w:ascii="Segoe UI" w:hAnsi="Segoe UI"/>
          <w:sz w:val="21"/>
        </w:rPr>
        <w:t>Zero naming mismatches between dataset columns and POC JSON</w:t>
      </w:r>
    </w:p>
    <w:p>
      <w:pPr>
        <w:pStyle w:val="ListBullet"/>
        <w:spacing w:before="0" w:after="60"/>
        <w:ind w:left="360"/>
      </w:pPr>
      <w:r>
        <w:rPr>
          <w:rFonts w:ascii="Segoe UI" w:hAnsi="Segoe UI"/>
          <w:sz w:val="21"/>
        </w:rPr>
        <w:t>Scoring and ML configs load features by canonical name only</w:t>
      </w:r>
    </w:p>
    <w:p>
      <w:pPr>
        <w:keepNext/>
        <w:spacing w:before="280" w:after="80"/>
      </w:pPr>
      <w:r>
        <w:rPr>
          <w:rFonts w:ascii="Segoe UI" w:hAnsi="Segoe UI"/>
          <w:b/>
          <w:color w:val="5A86AD"/>
          <w:sz w:val="26"/>
        </w:rPr>
        <w:t>G4 — Incomplete feature computation specification (P0)</w:t>
      </w:r>
    </w:p>
    <w:p>
      <w:r>
        <w:t>Summary: Feature_computation_logic documents only six features explicitly. The rest are described in ambiguous prose.</w:t>
      </w:r>
    </w:p>
    <w:p>
      <w:r>
        <w:t>Recommended Solution: Extend feature registry so every single feature has windows, formulas, null handling rules, and pseudocode.</w:t>
      </w:r>
    </w:p>
    <w:p>
      <w:r>
        <w:rPr>
          <w:b/>
        </w:rPr>
        <w:t>Acceptance Criteria:</w:t>
      </w:r>
    </w:p>
    <w:p>
      <w:pPr>
        <w:pStyle w:val="ListBullet"/>
        <w:spacing w:before="0" w:after="60"/>
        <w:ind w:left="360"/>
      </w:pPr>
      <w:r>
        <w:rPr>
          <w:rFonts w:ascii="Segoe UI" w:hAnsi="Segoe UI"/>
          <w:sz w:val="21"/>
        </w:rPr>
        <w:t>100% of registry features have computation reference</w:t>
      </w:r>
    </w:p>
    <w:p>
      <w:pPr>
        <w:pStyle w:val="ListBullet"/>
        <w:spacing w:before="0" w:after="60"/>
        <w:ind w:left="360"/>
      </w:pPr>
      <w:r>
        <w:rPr>
          <w:rFonts w:ascii="Segoe UI" w:hAnsi="Segoe UI"/>
          <w:sz w:val="21"/>
        </w:rPr>
        <w:t>Backtest: recomputing features matches production snapshot within tolerance</w:t>
      </w:r>
    </w:p>
    <w:p>
      <w:pPr>
        <w:keepNext/>
        <w:spacing w:before="280" w:after="80"/>
      </w:pPr>
      <w:r>
        <w:rPr>
          <w:rFonts w:ascii="Segoe UI" w:hAnsi="Segoe UI"/>
          <w:b/>
          <w:color w:val="5A86AD"/>
          <w:sz w:val="26"/>
        </w:rPr>
        <w:t>G5 — Dashboard requires batch pipeline, not query-only POC (P0)</w:t>
      </w:r>
    </w:p>
    <w:p>
      <w:r>
        <w:t>Summary: The POC execution model is intelligence on demand. The PRD Engine requires an always-on report available instantly on load.</w:t>
      </w:r>
    </w:p>
    <w:p>
      <w:r>
        <w:t>Recommended Solution: Build a nightly batch job that calculates features and scores, saving a daily static snapshot to a user_engine_snapshot database.</w:t>
      </w:r>
    </w:p>
    <w:p>
      <w:r>
        <w:rPr>
          <w:b/>
        </w:rPr>
        <w:t>Acceptance Criteria:</w:t>
      </w:r>
    </w:p>
    <w:p>
      <w:pPr>
        <w:pStyle w:val="ListBullet"/>
        <w:spacing w:before="0" w:after="60"/>
        <w:ind w:left="360"/>
      </w:pPr>
      <w:r>
        <w:rPr>
          <w:rFonts w:ascii="Segoe UI" w:hAnsi="Segoe UI"/>
          <w:sz w:val="21"/>
        </w:rPr>
        <w:t>Report loads from snapshot in &lt; 200ms p95</w:t>
      </w:r>
    </w:p>
    <w:p>
      <w:pPr>
        <w:pStyle w:val="ListBullet"/>
        <w:spacing w:before="0" w:after="60"/>
        <w:ind w:left="360"/>
      </w:pPr>
      <w:r>
        <w:rPr>
          <w:rFonts w:ascii="Segoe UI" w:hAnsi="Segoe UI"/>
          <w:sz w:val="21"/>
        </w:rPr>
        <w:t>Chat answers reference same CRS/pillars as dashboard for that date</w:t>
      </w:r>
    </w:p>
    <w:p>
      <w:pPr>
        <w:pStyle w:val="ListBullet"/>
        <w:spacing w:before="0" w:after="60"/>
        <w:ind w:left="360"/>
      </w:pPr>
      <w:r>
        <w:rPr>
          <w:rFonts w:ascii="Segoe UI" w:hAnsi="Segoe UI"/>
          <w:sz w:val="21"/>
        </w:rPr>
        <w:t>Batch failure alerts trigger gracefully</w:t>
      </w:r>
    </w:p>
    <w:p>
      <w:pPr>
        <w:keepNext/>
        <w:spacing w:before="280" w:after="80"/>
      </w:pPr>
      <w:r>
        <w:rPr>
          <w:rFonts w:ascii="Segoe UI" w:hAnsi="Segoe UI"/>
          <w:b/>
          <w:color w:val="5A86AD"/>
          <w:sz w:val="26"/>
        </w:rPr>
        <w:t>G6 to G15 deep dive summary</w:t>
      </w:r>
    </w:p>
    <w:p>
      <w:r>
        <w:t>Please refer to the master markdown file for the precise clinical, operational, and architectural requirements for gaps G6 through G15, including Wearable field gaps (G6), CORE-OM subscale granularity (G7), Motivation/Confidence contract additions (G8), Driver Breakdown formulas (G9), Structured AI Patterns (G10), Content Recommendations Catalogs (G11), and Phase 2 Business tracks (G14). All follow standard acceptance patterns of schema validation, API exposure, and strict data-gating boundaries.</w:t>
      </w:r>
    </w:p>
    <w:p>
      <w:pPr>
        <w:keepNext/>
        <w:spacing w:before="360" w:after="120"/>
      </w:pPr>
      <w:r>
        <w:rPr>
          <w:rFonts w:ascii="Segoe UI" w:hAnsi="Segoe UI"/>
          <w:b/>
          <w:color w:val="1F4E79"/>
          <w:sz w:val="32"/>
        </w:rPr>
        <w:t>10. Items explicitly not gaps</w:t>
      </w:r>
    </w:p>
    <w:tbl>
      <w:tblPr>
        <w:tblW w:type="auto" w:w="0"/>
        <w:jc w:val="center"/>
        <w:tblLook w:firstColumn="1" w:firstRow="1" w:lastColumn="0" w:lastRow="0" w:noHBand="0" w:noVBand="1" w:val="04A0"/>
      </w:tblPr>
      <w:tblGrid>
        <w:gridCol w:w="2880"/>
        <w:gridCol w:w="6480"/>
      </w:tblGrid>
      <w:tr>
        <w:tc>
          <w:tcPr>
            <w:tcW w:type="dxa" w:w="4680"/>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Item</w:t>
            </w:r>
          </w:p>
        </w:tc>
        <w:tc>
          <w:tcPr>
            <w:tcW w:type="dxa" w:w="4680"/>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Explanation</w:t>
            </w:r>
          </w:p>
        </w:tc>
      </w:tr>
      <w:tr>
        <w:tc>
          <w:tcPr>
            <w:tcW w:type="dxa" w:w="468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ML training data volume</w:t>
            </w:r>
          </w:p>
        </w:tc>
        <w:tc>
          <w:tcPr>
            <w:tcW w:type="dxa" w:w="468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Production has ~50K user and ~1K business records — sufficient for training and validation. The spreadsheet is a column contract, not a sign of data shortage.</w:t>
            </w:r>
          </w:p>
        </w:tc>
      </w:tr>
      <w:tr>
        <w:tc>
          <w:tcPr>
            <w:tcW w:type="dxa" w:w="468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POC architecture direction</w:t>
            </w:r>
          </w:p>
        </w:tc>
        <w:tc>
          <w:tcPr>
            <w:tcW w:type="dxa" w:w="468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Hybrid features + ML + LLM is approved; no need to re-prove.</w:t>
            </w:r>
          </w:p>
        </w:tc>
      </w:tr>
      <w:tr>
        <w:tc>
          <w:tcPr>
            <w:tcW w:type="dxa" w:w="468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Label definitions</w:t>
            </w:r>
          </w:p>
        </w:tc>
        <w:tc>
          <w:tcPr>
            <w:tcW w:type="dxa" w:w="4680"/>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Dropout, engagement decay, regression labels are defined and aligned with models.</w:t>
            </w:r>
          </w:p>
        </w:tc>
      </w:tr>
      <w:tr>
        <w:tc>
          <w:tcPr>
            <w:tcW w:type="dxa" w:w="468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Cold start concept</w:t>
            </w:r>
          </w:p>
        </w:tc>
        <w:tc>
          <w:tcPr>
            <w:tcW w:type="dxa" w:w="4680"/>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Three-stage maturity is specified in POC; only UI gating remains to implement.</w:t>
            </w:r>
          </w:p>
        </w:tc>
      </w:tr>
    </w:tbl>
    <w:p>
      <w:pPr>
        <w:keepNext/>
        <w:spacing w:before="360" w:after="120"/>
      </w:pPr>
      <w:r>
        <w:rPr>
          <w:rFonts w:ascii="Segoe UI" w:hAnsi="Segoe UI"/>
          <w:b/>
          <w:color w:val="1F4E79"/>
          <w:sz w:val="32"/>
        </w:rPr>
        <w:t>11. Open product decisions</w:t>
      </w:r>
    </w:p>
    <w:p>
      <w:r>
        <w:t>The following decisions remain open and require product sign-off before final technical design:</w:t>
      </w:r>
    </w:p>
    <w:p>
      <w:pPr>
        <w:pStyle w:val="ListBullet"/>
        <w:spacing w:before="0" w:after="60"/>
        <w:ind w:left="360"/>
      </w:pPr>
      <w:r>
        <w:rPr>
          <w:rFonts w:ascii="Segoe UI" w:hAnsi="Segoe UI"/>
          <w:sz w:val="21"/>
        </w:rPr>
        <w:t>D1: Wearables in v1? (Full PRD biological / proxy v1 / phased)</w:t>
      </w:r>
    </w:p>
    <w:p>
      <w:pPr>
        <w:pStyle w:val="ListBullet"/>
        <w:spacing w:before="0" w:after="60"/>
        <w:ind w:left="360"/>
      </w:pPr>
      <w:r>
        <w:rPr>
          <w:rFonts w:ascii="Segoe UI" w:hAnsi="Segoe UI"/>
          <w:sz w:val="21"/>
        </w:rPr>
        <w:t>D2: CRS formula (Equal pillar weights / clinical weighting / data-driven)</w:t>
      </w:r>
    </w:p>
    <w:p>
      <w:pPr>
        <w:pStyle w:val="ListBullet"/>
        <w:spacing w:before="0" w:after="60"/>
        <w:ind w:left="360"/>
      </w:pPr>
      <w:r>
        <w:rPr>
          <w:rFonts w:ascii="Segoe UI" w:hAnsi="Segoe UI"/>
          <w:sz w:val="21"/>
        </w:rPr>
        <w:t>D3: Clinical instruments on user report (CORE-OM only / include GAD-7, PHQ-9, etc.)</w:t>
      </w:r>
    </w:p>
    <w:p>
      <w:pPr>
        <w:pStyle w:val="ListBullet"/>
        <w:spacing w:before="0" w:after="60"/>
        <w:ind w:left="360"/>
      </w:pPr>
      <w:r>
        <w:rPr>
          <w:rFonts w:ascii="Segoe UI" w:hAnsi="Segoe UI"/>
          <w:sz w:val="21"/>
        </w:rPr>
        <w:t>D4: Cohort comparison to end users (Show percentiles / therapist-only)</w:t>
      </w:r>
    </w:p>
    <w:p>
      <w:pPr>
        <w:pStyle w:val="ListBullet"/>
        <w:spacing w:before="0" w:after="60"/>
        <w:ind w:left="360"/>
      </w:pPr>
      <w:r>
        <w:rPr>
          <w:rFonts w:ascii="Segoe UI" w:hAnsi="Segoe UI"/>
          <w:sz w:val="21"/>
        </w:rPr>
        <w:t>D5: Driver breakdown visibility (Always with disclaimer / full maturity only)</w:t>
      </w:r>
    </w:p>
    <w:p>
      <w:pPr>
        <w:pStyle w:val="ListBullet"/>
        <w:spacing w:before="0" w:after="60"/>
        <w:ind w:left="360"/>
      </w:pPr>
      <w:r>
        <w:rPr>
          <w:rFonts w:ascii="Segoe UI" w:hAnsi="Segoe UI"/>
          <w:sz w:val="21"/>
        </w:rPr>
        <w:t>D6: LLM role in recommendations (Rules-only / LLM polish from catalog)</w:t>
      </w:r>
    </w:p>
    <w:p>
      <w:pPr>
        <w:keepNext/>
        <w:spacing w:before="360" w:after="120"/>
      </w:pPr>
      <w:r>
        <w:rPr>
          <w:rFonts w:ascii="Segoe UI" w:hAnsi="Segoe UI"/>
          <w:b/>
          <w:color w:val="1F4E79"/>
          <w:sz w:val="32"/>
        </w:rPr>
        <w:t>12. Implementation roadmap</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Phase</w:t>
            </w:r>
          </w:p>
        </w:tc>
        <w:tc>
          <w:tcPr>
            <w:tcW w:type="dxa" w:w="1872"/>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Goal</w:t>
            </w:r>
          </w:p>
        </w:tc>
        <w:tc>
          <w:tcPr>
            <w:tcW w:type="dxa" w:w="1872"/>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Delivers</w:t>
            </w:r>
          </w:p>
        </w:tc>
        <w:tc>
          <w:tcPr>
            <w:tcW w:type="dxa" w:w="1872"/>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Resolves gaps</w:t>
            </w:r>
          </w:p>
        </w:tc>
        <w:tc>
          <w:tcPr>
            <w:tcW w:type="dxa" w:w="1872"/>
            <w:shd w:fill="1F4E79"/>
            <w:tcMar>
              <w:top w:w="120" w:type="dxa"/>
              <w:bottom w:w="120" w:type="dxa"/>
              <w:left w:w="150" w:type="dxa"/>
              <w:right w:w="150" w:type="dxa"/>
            </w:tcMar>
            <w:tcBorders>
              <w:top w:val="none"/>
              <w:bottom w:val="single" w:sz="12" w:space="0" w:color="1F4E79"/>
              <w:left w:val="none"/>
              <w:right w:val="none"/>
            </w:tcBorders>
            <w:vAlign w:val="center"/>
          </w:tcPr>
          <w:p>
            <w:pPr>
              <w:jc w:val="left"/>
            </w:pPr>
            <w:r>
              <w:rPr>
                <w:b/>
                <w:color w:val="FFFFFF"/>
                <w:sz w:val="20"/>
              </w:rPr>
              <w:t>Depends on</w:t>
            </w:r>
          </w:p>
        </w:tc>
      </w:tr>
      <w:tr>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0</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Decisions</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D1–D6 signed</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Unblocks G6, G1</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w:t>
            </w:r>
          </w:p>
        </w:tc>
      </w:tr>
      <w:tr>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1</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Feature truth</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Registry + full computation + pipeline parity</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G3, G4</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A4 production</w:t>
            </w:r>
          </w:p>
        </w:tc>
      </w:tr>
      <w:tr>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2</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Scoring</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CRS, pillars, trends, confidence</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G1, G2</w:t>
            </w:r>
          </w:p>
        </w:tc>
        <w:tc>
          <w:tcPr>
            <w:tcW w:type="dxa" w:w="1872"/>
            <w:shd w:fill="F2F6F9"/>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Phase 1</w:t>
            </w:r>
          </w:p>
        </w:tc>
      </w:tr>
      <w:tr>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3</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Report API</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Batch snapshot + read API</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G5</w:t>
            </w:r>
          </w:p>
        </w:tc>
        <w:tc>
          <w:tcPr>
            <w:tcW w:type="dxa" w:w="1872"/>
            <w:tcMar>
              <w:top w:w="100" w:type="dxa"/>
              <w:bottom w:w="100" w:type="dxa"/>
              <w:left w:w="150" w:type="dxa"/>
              <w:right w:w="150" w:type="dxa"/>
            </w:tcMar>
            <w:tcBorders>
              <w:top w:val="single" w:sz="4" w:space="0" w:color="D3D3D3"/>
              <w:bottom w:val="single" w:sz="4" w:space="0" w:color="D3D3D3"/>
              <w:left w:val="single" w:sz="4" w:space="0" w:color="D3D3D3"/>
              <w:right w:val="single" w:sz="4" w:space="0" w:color="D3D3D3"/>
            </w:tcBorders>
            <w:vAlign w:val="center"/>
          </w:tcPr>
          <w:p>
            <w:pPr>
              <w:spacing w:after="0"/>
            </w:pPr>
            <w:r>
              <w:rPr>
                <w:sz w:val="19"/>
              </w:rPr>
              <w:t>Phase 2</w:t>
            </w:r>
          </w:p>
        </w:tc>
      </w:tr>
    </w:tbl>
    <w:p>
      <w:pPr>
        <w:keepNext/>
        <w:spacing w:before="360" w:after="120"/>
      </w:pPr>
      <w:r>
        <w:rPr>
          <w:rFonts w:ascii="Segoe UI" w:hAnsi="Segoe UI"/>
          <w:b/>
          <w:color w:val="1F4E79"/>
          <w:sz w:val="32"/>
        </w:rPr>
        <w:t>13. Document maintenance &amp; Appendices</w:t>
      </w:r>
    </w:p>
    <w:p>
      <w:r>
        <w:t>This document is maintained by the Program Lead. Technical leads propose edits via Pull Requests when feature registries or scoring weights are officially approved.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Segoe UI" w:hAnsi="Segoe U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