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7BE399CB" w:rsidR="00DA3F5E" w:rsidRPr="00B4343A" w:rsidRDefault="008212D2" w:rsidP="00DB1A75">
      <w:pPr>
        <w:spacing w:after="0"/>
        <w:jc w:val="both"/>
        <w:rPr>
          <w:rFonts w:ascii="Times New Roman" w:hAnsi="Times New Roman" w:cs="Times New Roman"/>
          <w:noProof/>
          <w:color w:val="000000" w:themeColor="text1"/>
          <w:lang w:val="id-ID"/>
        </w:rPr>
      </w:pPr>
      <w:r>
        <w:drawing>
          <wp:inline xmlns:a="http://schemas.openxmlformats.org/drawingml/2006/main" xmlns:pic="http://schemas.openxmlformats.org/drawingml/2006/picture">
            <wp:extent cx="7556500" cy="10680700"/>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7556500" cy="10680700"/>
                    </a:xfrm>
                    <a:prstGeom prst="rect"/>
                  </pic:spPr>
                </pic:pic>
              </a:graphicData>
            </a:graphic>
          </wp:inline>
        </w:drawing>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1008" w:right="0" w:bottom="1008"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6"/>
          <w:lang w:val="id-ID"/>
        </w:rPr>
        <w:t>Analisis Deret Waktu Tingkat Lanjut</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Analisis Deret Waktu Tingkat Lanjut</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Dr. Gumgum Darmawan, M.Si; Prof. Dr. Budi Nurani Ruchjana, M.S</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Statistika dasar, regresi, komputasi statistik/R, dan pengantar deret waktu</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 komputasi,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Materi Pembelajaran Analisis Deret Waktu Tingkat Lanjut, Januari 2025</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Mata kuliah Analisis Deret Waktu Tingkat Lanjut dirancang untuk membekali mahasiswa magister dengan kemampuan konseptual, metodologis, komputasional, dan komunikatif dalam menganalisis data yang terurut waktu. Perkuliahan tidak berhenti pada kemampuan menjalankan perangkat lunak, tetapi diarahkan agar mahasiswa dapat menjelaskan struktur data, memilih model yang sesuai, mengevaluasi validitas model, serta menyampaikan hasil analisis secara ilmiah dan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Ruang lingkup mata kuliah mencakup identifikasi pola deret waktu, stasioneritas, transformasi, dekomposisi, long memory, ARIMA, ARFIMA, Singular Spectrum Analysis, analisis spektral, desain data, machine learning untuk peramalan, neural network/LSTM, VAR, transfer function, dan model spasial-temporal seperti GSTAR. Pendekatan pembelajaran menggunakan data nyata atau data simulasi yang merepresentasikan masalah bisnis, industri, sosial, aktuaria, biostatistik, sains data, dan masalah interdisipliner.</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Orientasi pembelajaran</w:t>
            </w:r>
          </w:p>
          <w:p w14:paraId="7833EFC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Mahasiswa diharapkan mampu membaca data sebagai proses, bukan sekadar deret angka. Setiap grafik, model, residual, dan metrik evaluasi harus dijelaskan dalam konteks masalah yang dianalisis.</w:t>
            </w: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Menganalisis karakteristik dan pola data deret waktu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Mengevaluasi keunggulan dan keterbatasan model-model deret waktu klasik dan lanjutan.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Merancang metode pengumpulan dan pengelolaan data deret waktu yang efisien.</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Mengembangkan model machine learning dan neural network untuk pemodelan deret waktu.</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Menciptakan solusi inovatif berbasis model multivariat dan spasial-temporal serta mempresentasikan hasilnya.</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Mahasiswa mampu membaca pola tren, musiman, siklus, noise, stasioneritas, dan struktur autokorelasi.</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EDA deret waktu, plot diagnostik, ACF/PACF, transformasi, dan interpretasi pola.</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Mahasiswa mampu membangun, membandingkan, dan mengkritisi model klasik dan lanjutan.</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ARIMA/ARFIMA/SSA/spektral, diagnosis residual, metrik forecast, dan argumentasi pemilihan model.</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Mahasiswa mampu merancang alur pengumpulan, agregasi, dan integrasi data deret waktu.</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Rancangan data temporal, validasi kualitas data, dokumentasi sumber data, dan reproducible workflow.</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Mahasiswa mampu menerapkan pendekatan machine learning dan neural network untuk forecasting.</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Feature engineering lag, train-test temporal, RF/XGBoost/MLP/LSTM, dan evaluasi out-of-sample.</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r>
    </w:p>
    <w:tbl>
      <w:tblPr>
        <w:tblW w:w="0" w:type="auto"/>
        <w:jc w:val="center"/>
        <w:tblLook w:val="04A0" w:firstRow="1" w:lastRow="0" w:firstColumn="1" w:lastColumn="0" w:noHBand="0" w:noVBand="1"/>
      </w:tblPr>
      <w:tblGrid>
        <w:gridCol w:w="1478"/>
        <w:gridCol w:w="3850"/>
        <w:gridCol w:w="4520"/>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Mahasiswa mampu menyusun solusi multivariat/spasial-temporal dan menyajikan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VAR, transfer function, GSTAR, laporan ilmiah, presentasi, dan rekomendasi berbasis bukti.</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Komponen, tren, musiman, siklus, stasioneritas, dekomposisi, long memory</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ARIMA, ARFIMA, SSA, analisis spektral, dan evaluasi efektivitas model</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Sampling, agregasi, integrasi spasial-temporal, dan desain data</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UTS berbasis analisis kasus deret waktu</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Random Forest, XGBoost, MLP/LSTM, dan evaluasi model ML/NN</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VAR, Transfer Function, GSTAR, presentasi, dan laporan akhir</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008" w:right="1021" w:bottom="1008"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Model Klasik, dan Desain Data</w:t>
      </w:r>
    </w:p>
    <w:tbl>
      <w:tblPr>
        <w:tblW w:w="0" w:type="auto"/>
        <w:jc w:val="center"/>
        <w:tblLook w:val="04A0" w:firstRow="1" w:lastRow="0" w:firstColumn="1" w:lastColumn="0" w:noHBand="0" w:noVBand="1"/>
      </w:tblPr>
      <w:tblGrid>
        <w:gridCol w:w="780"/>
        <w:gridCol w:w="3272"/>
        <w:gridCol w:w="4480"/>
        <w:gridCol w:w="3332"/>
        <w:gridCol w:w="3540"/>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Pengantar Data Deret Waktu Tingkat Lanjut</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Konsep deret waktu, struktur temporal, komponen data, konteks aplikasi</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Ceramah interaktif, diskusi data nyata, demo visualisasi</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kasus dan eksplorasi awal data</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Stasioneritas, Transformasi, dan Autokorelasi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Stasioneritas, transformasi Box-Cox/log/differencing, ACF/PACF</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diagnostik stasioneritas</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Latihan interpretasi ACF/PACF dan transformasi</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Dekomposisi Tren, Musiman, Siklus, dan Noise</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Decomposition, moving average, STL, interpretasi komponen</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Demo R/Python dan diskusi visual</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Analisis dekomposisi pada satu dataset</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Long Memory dan Fractional Dependence</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Hurst, fractional dependence, indikasi long memory</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Kuliah konsep dan praktikum singkat</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Mini quiz long memory</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Model ARIMA: Identifikasi, Estimasi, Diagnostik</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ARIMA, identifikasi p-d-q, diagnostik residual</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model ARIMA</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pemodelan ARIMA dan interpretasi</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Model ARFIMA untuk Long Memory</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ARFIMA, fractional differencing, evaluasi model</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asumsi</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Perbandingan ARIMA vs ARFIMA</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Singular Spectrum Analysis dan Analisis Spektral</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SSA, embedding, reconstruction, periodogram, domain frekuensi</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SSA/spektral</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singkat SSA/spektral</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Desain Data, Sampling, Agregasi, Spasial-Temporal</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Desain pengumpulan data, frekuensi, missingness, agregasi, integrasi wilayah-waktu</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Diskusi rancangan data dan validitas</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Proposal mini proyek: data, tujuan, dan alur analisis</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UTS, Machine Learning, Multivariat, dan Proyek Akhir</w:t>
      </w:r>
    </w:p>
    <w:tbl>
      <w:tblPr>
        <w:tblW w:w="0" w:type="auto"/>
        <w:jc w:val="center"/>
        <w:tblLook w:val="04A0" w:firstRow="1" w:lastRow="0" w:firstColumn="1" w:lastColumn="0" w:noHBand="0" w:noVBand="1"/>
      </w:tblPr>
      <w:tblGrid>
        <w:gridCol w:w="782"/>
        <w:gridCol w:w="3291"/>
        <w:gridCol w:w="4443"/>
        <w:gridCol w:w="3335"/>
        <w:gridCol w:w="3553"/>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UTS Berbasis Analisis Kasus</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Integrasi konsep pertemuan 1–8</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Ujian/take-home berbasis kasus</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Naskah analisis UTS</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Random Forest untuk Peramalan Deret Waktu</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Feature lag, rolling validation, random forest, interpretasi variabel</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machine learning</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RF forecasting</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XGBoost dan Gradient Boosting</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Boosting, tuning, validasi temporal, feature importance</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XGBoost</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Perbandingan model ML</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Neural Network, MLP, dan LSTM</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MLP, LSTM, sequence modeling, scaling, windowing</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Demo dan praktikum notebook</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Eksperimen neural network sederhana</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Vector Autoregressive Model</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VAR, lag selection, impulse response, forecast error variance</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VAR</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Interpretasi hubungan multivariat</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Transfer Function dan Dynamic Regression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Input-output, lag distributed effect, dynamic regression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Diskusi dan praktikum</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transfer function</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Generalized Space-Time Autoregressive Model</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GSTAR, bobot spasial, dependensi wilayah-waktu</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Kuliah konsep dan studi kasus</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Draft hasil proyek akhir</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Proyek, Laporan Ilmiah, dan UAS</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Finalisasi analisis, komunikasi ilmiah, refleksi CPMK</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peer feedback, diskusi panel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 presentasi</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1008" w:right="709" w:bottom="1008"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2"/>
        <w:gridCol w:w="1145"/>
        <w:gridCol w:w="1716"/>
        <w:gridCol w:w="3567"/>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 komputasi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notebook,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Metrik akurasi, validasi temporal, residual diagnostic, dan perbandingan model lengkap</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5"/>
        <w:gridCol w:w="4925"/>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data dan preprocessing: visualisasi, transformasi, missing value, outlier, dan pembagian data train-test temporal.</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estimasi/prediksi, diagnostik residual, metrik evaluasi, dan perbandingan model.</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Train-test mengikuti urutan waktu; tidak ada data leakage.</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Box, G. E. P., Jenkins, G. M., Reinsel, G. C., &amp; Ljung, G. M. (2015). Time Series Analysis: Forecasting and Control. Wiley.</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Brockwell, P. J., &amp; Davis, R. A. (2016). Introduction to Time Series and Forecasting. Springer.</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Hamilton, J. D. (1994). Time Series Analysis. Princeton University Press.</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Hyndman, R. J., &amp; Athanasopoulos, G. (2021). Forecasting: Principles and Practice.</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Shumway, R. H., &amp; Stoffer, D. S. (2017). Time Series Analysis and Its Applications. Springer.</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Golyandina, N., &amp; Zhigljavsky, A. (2013). Singular Spectrum Analysis for Time Series. Springer.</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Lütkepohl, H. (2005). New Introduction to Multiple Time Series Analysis. Springer.</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Breiman, L. (2001). Random Forests. Machine Learning, 45, 5–32.</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Chen, T., &amp; Guestrin, C. (2016). XGBoost: A Scalable Tree Boosting System.</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Hochreiter, S., &amp; Schmidhuber, J. (1997). Long Short-Term Memory. Neural Computation.</w:t>
      </w:r>
    </w:p>
    <w:p w14:paraId="47978AB2"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Borovkova, S., Lopuhaä, H. P., &amp; Ruchjana, B. N. (2008). Generalized STAR model references for space-time analysis.</w:t>
      </w: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7F3B79" w:rsidRPr="00B4343A" w:rsidRDefault="007F3B79" w:rsidP="00DB1A75">
      <w:pPr>
        <w:jc w:val="both"/>
        <w:rPr>
          <w:rFonts w:ascii="Times New Roman" w:hAnsi="Times New Roman" w:cs="Times New Roman"/>
          <w:noProof/>
          <w:color w:val="000000" w:themeColor="text1"/>
          <w:lang w:val="id-ID"/>
        </w:rPr>
      </w:pPr>
    </w:p>
    <w:p>
      <w:r/>
    </w:p>
    <w:p>
      <w:r/>
    </w:p>
    <w:p>
      <w:r/>
    </w:p>
    <w:p>
      <w:r/>
    </w:p>
    <w:p>
      <w:r/>
    </w:p>
    <w:p>
      <w:r/>
    </w:p>
    <w:p>
      <w:r>
        <w:br w:type="page"/>
      </w:r>
    </w:p>
    <w:p>
      <w:pPr>
        <w:pStyle w:val="Heading1"/>
      </w:pPr>
      <w:r>
        <w:rPr>
          <w:b/>
          <w:color w:val="17395C"/>
          <w:sz w:val="32"/>
        </w:rPr>
        <w:t>PENYELARASAN KONTRAK DENGAN RPS REVISI AI 2026</w:t>
      </w:r>
    </w:p>
    <w:p>
      <w:r>
        <w:t>Kontrak perkuliahan Analisis Deret Waktu Tingkat Lanjut ini mengikuti RPS Revisi AI 2026. Rumusan CPL tidak diubah. AI berfungsi sebagai alat bantu untuk mempercepat ketercapaian CPMK/Sub-CPMK, bukan pengganti penalaran statistika, keputusan metodologis, atau tanggung jawab akademik.</w:t>
      </w:r>
    </w:p>
    <w:p>
      <w:pPr>
        <w:pStyle w:val="Heading2"/>
      </w:pPr>
      <w:r>
        <w:t>CPMK yang dipercepat melalui dukungan AI</w:t>
      </w:r>
    </w:p>
    <w:p>
      <w:pPr>
        <w:pStyle w:val="ListBullet"/>
      </w:pPr>
      <w:r>
        <w:t>CPMK1: Mampu menganalisis karakteristik data, asumsi, dan permasalahan yang relevan dengan Analisis Deret Waktu Tingkat Lanjut.</w:t>
      </w:r>
    </w:p>
    <w:p>
      <w:pPr>
        <w:pStyle w:val="ListBullet"/>
      </w:pPr>
      <w:r>
        <w:t>CPMK2: Mampu mengevaluasi dan memilih metode Analisis Deret Waktu Tingkat Lanjut yang tepat sesuai tujuan, desain data, dan konteks penerapan.</w:t>
      </w:r>
    </w:p>
    <w:p>
      <w:pPr>
        <w:pStyle w:val="ListBullet"/>
      </w:pPr>
      <w:r>
        <w:t>CPMK3: Mampu mengimplementasikan, mendiagnosis, dan memvalidasi analisis Analisis Deret Waktu Tingkat Lanjut menggunakan perangkat lunak statistika.</w:t>
      </w:r>
    </w:p>
    <w:p>
      <w:pPr>
        <w:pStyle w:val="ListBullet"/>
      </w:pPr>
      <w:r>
        <w:t>CPMK4: Mampu menyintesis proyek/riset Analisis Deret Waktu Tingkat Lanjut secara mandiri serta mengomunikasikan hasil, ketidakpastian, dan keterbatasannya.</w:t>
      </w:r>
    </w:p>
    <w:p>
      <w:pPr>
        <w:pStyle w:val="Heading2"/>
      </w:pPr>
      <w:r>
        <w:t>Integrasi AI kontekstual</w:t>
      </w:r>
    </w:p>
    <w:p>
      <w:pPr>
        <w:pStyle w:val="ListBullet"/>
      </w:pPr>
      <w:r>
        <w:t>Perbandingan ARIMA/ARFIMA/VAR/GSTAR dengan gradient boosting, recurrent neural network, transformer, dan model hibrida untuk deret waktu.</w:t>
      </w:r>
    </w:p>
    <w:p>
      <w:pPr>
        <w:pStyle w:val="ListBullet"/>
      </w:pPr>
      <w:r>
        <w:t>Rolling-origin evaluation, probabilistic forecasting, interval prediction, calibration, deteksi concept drift, dan interpretabilitas temporal.</w:t>
      </w:r>
    </w:p>
    <w:p>
      <w:pPr>
        <w:pStyle w:val="ListBullet"/>
      </w:pPr>
      <w:r>
        <w:t>Proyek peramalan data nyata yang menilai bukan hanya akurasi, tetapi juga stabilitas, ketidakpastian, biaya kesalahan, dan relevansi keputusan.</w:t>
      </w:r>
    </w:p>
    <w:p>
      <w:pPr>
        <w:pStyle w:val="Heading2"/>
      </w:pPr>
      <w:r>
        <w:t>Aturan penggunaan dan bukti yang wajib diserahkan</w:t>
      </w:r>
    </w:p>
    <w:p>
      <w:pPr>
        <w:pStyle w:val="ListNumber"/>
      </w:pPr>
      <w:r>
        <w:t>AI boleh digunakan untuk eksplorasi, penyusunan alternatif, pemeriksaan kode, simulasi, atau umpan balik awal sesuai instruksi dosen.</w:t>
      </w:r>
    </w:p>
    <w:p>
      <w:pPr>
        <w:pStyle w:val="ListNumber"/>
      </w:pPr>
      <w:r>
        <w:t>Setiap penggunaan AI wajib disertai pernyataan penggunaan, prompt log ringkas, sumber, versi alat, perubahan yang dilakukan, dan bukti verifikasi mandiri.</w:t>
      </w:r>
    </w:p>
    <w:p>
      <w:pPr>
        <w:pStyle w:val="ListNumber"/>
      </w:pPr>
      <w:r>
        <w:t>Keluaran wajib diperiksa terhadap asumsi metode, sumber primer, hasil numerik, diagnostik, ketidakpastian, robustness, bias/fairness, privasi, dan konteks.</w:t>
      </w:r>
    </w:p>
    <w:p>
      <w:pPr>
        <w:pStyle w:val="ListNumber"/>
      </w:pPr>
      <w:r>
        <w:t>Data pribadi, rahasia, soal asesmen tertutup, materi berhak cipta tanpa izin, dan kredensial tidak boleh dimasukkan ke layanan AI yang tidak disetujui.</w:t>
      </w:r>
    </w:p>
    <w:p>
      <w:pPr>
        <w:pStyle w:val="ListNumber"/>
      </w:pPr>
      <w:r>
        <w:t>Pada asesmen yang dinyatakan tanpa AI, mahasiswa wajib menaati pembatasan tersebut. Mahasiswa selalu wajib mampu menjelaskan seluruh hasil secara mandiri.</w:t>
      </w:r>
    </w:p>
    <w:p>
      <w:pPr>
        <w:pStyle w:val="Heading2"/>
      </w:pPr>
      <w:r>
        <w:t>Rubrik minimum asesmen berbantuan AI</w:t>
      </w:r>
    </w:p>
    <w:p>
      <w:pPr>
        <w:pStyle w:val="ListBullet"/>
      </w:pPr>
      <w:r>
        <w:rPr>
          <w:b/>
        </w:rPr>
        <w:t xml:space="preserve">Ketepatan metodologi (35%) — </w:t>
      </w:r>
      <w:r>
        <w:t>Asumsi, metode, derivasi/kode, dan inferensi benar serta sesuai konteks.</w:t>
      </w:r>
    </w:p>
    <w:p>
      <w:pPr>
        <w:pStyle w:val="ListBullet"/>
      </w:pPr>
      <w:r>
        <w:rPr>
          <w:b/>
        </w:rPr>
        <w:t xml:space="preserve">Validasi dan ketidakpastian (25%) — </w:t>
      </w:r>
      <w:r>
        <w:t>Hasil diuji ulang; diagnostik, robustness, ketidakpastian, dan keterbatasan dibahas.</w:t>
      </w:r>
    </w:p>
    <w:p>
      <w:pPr>
        <w:pStyle w:val="ListBullet"/>
      </w:pPr>
      <w:r>
        <w:rPr>
          <w:b/>
        </w:rPr>
        <w:t xml:space="preserve">Reproducibility dan audit trail (20%) — </w:t>
      </w:r>
      <w:r>
        <w:t>Data dictionary, kode/notebook, versi alat, prompt log, sumber, dan jejak agen memadai.</w:t>
      </w:r>
    </w:p>
    <w:p>
      <w:pPr>
        <w:pStyle w:val="ListBullet"/>
      </w:pPr>
      <w:r>
        <w:rPr>
          <w:b/>
        </w:rPr>
        <w:t xml:space="preserve">Responsible AI dan komunikasi (20%) — </w:t>
      </w:r>
      <w:r>
        <w:t>Privasi, fairness, transparansi, human oversight, dampak, dan komunikasi dipenuhi.</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AEFF22" w14:textId="77777777" w:rsidR="007F3B79" w:rsidRDefault="007F3B79">
      <w:pPr>
        <w:spacing w:after="0" w:line="240" w:lineRule="auto"/>
      </w:pPr>
      <w:r>
        <w:separator/>
      </w:r>
    </w:p>
  </w:endnote>
  <w:endnote w:type="continuationSeparator" w:id="0">
    <w:p w14:paraId="67AABE76" w14:textId="77777777" w:rsidR="007F3B79" w:rsidRDefault="007F3B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rsidR="00DB1A75">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rsidR="00DB1A75">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rsidR="00DB1A75">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DFC55" w14:textId="77777777" w:rsidR="007F3B79" w:rsidRDefault="007F3B79">
      <w:pPr>
        <w:spacing w:after="0" w:line="240" w:lineRule="auto"/>
      </w:pPr>
      <w:r>
        <w:separator/>
      </w:r>
    </w:p>
  </w:footnote>
  <w:footnote w:type="continuationSeparator" w:id="0">
    <w:p w14:paraId="483B5C1D" w14:textId="77777777" w:rsidR="007F3B79" w:rsidRDefault="007F3B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mc:AlternateContent>
        <mc:Choice Requires="wps">
          <w:drawing>
            <wp:anchor distT="0" distB="0" distL="114300" distR="114300" simplePos="0" relativeHeight="251659264" behindDoc="0" locked="0" layoutInCell="1" allowOverlap="1" wp14:anchorId="3CAFDE4A" wp14:editId="5B990BBE">
              <wp:simplePos x="0" y="0"/>
              <wp:positionH relativeFrom="column">
                <wp:posOffset>137728</wp:posOffset>
              </wp:positionH>
              <wp:positionV relativeFrom="paragraph">
                <wp:posOffset>201429</wp:posOffset>
              </wp:positionV>
              <wp:extent cx="6112042" cy="0"/>
              <wp:effectExtent l="0" t="0" r="9525" b="12700"/>
              <wp:wrapNone/>
              <wp:docPr id="637859831" name="Straight Connector 2"/>
              <wp:cNvGraphicFramePr/>
              <a:graphic xmlns:a="http://schemas.openxmlformats.org/drawingml/2006/main">
                <a:graphicData uri="http://schemas.microsoft.com/office/word/2010/wordprocessingShape">
                  <wps:wsp>
                    <wps:cNvCnPr/>
                    <wps:spPr>
                      <a:xfrm>
                        <a:off x="0" y="0"/>
                        <a:ext cx="6112042" cy="0"/>
                      </a:xfrm>
                      <a:prstGeom prst="line">
                        <a:avLst/>
                      </a:prstGeom>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line w14:anchorId="5E20A86F"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0.85pt,15.85pt" to="492.1pt,15.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" strokecolor="#f68c36 [3049]"/>
          </w:pict>
        </mc:Fallback>
      </mc:AlternateContent>
    </w:r>
    <w:r>
      <w:rPr>
        <w:color w:val="4B5563"/>
        <w:sz w:val="17"/>
      </w:rPr>
      <w:t>KONTRAK PERKULIAHAN | ANALISIS DERET WAKTU TINGKAT LANJUT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proofErr w:type="spellStart"/>
    <w:r>
      <w:rPr>
        <w:color w:val="4B5563"/>
        <w:sz w:val="17"/>
      </w:rPr>
      <w:t>Rencana</w:t>
    </w:r>
    <w:proofErr w:type="spellEnd"/>
    <w:r>
      <w:rPr>
        <w:color w:val="4B5563"/>
        <w:sz w:val="17"/>
      </w:rPr>
      <w:t xml:space="preserve"> </w:t>
    </w:r>
    <w:proofErr w:type="spellStart"/>
    <w:r>
      <w:rPr>
        <w:color w:val="4B5563"/>
        <w:sz w:val="17"/>
      </w:rPr>
      <w:t>Pembelajaran</w:t>
    </w:r>
    <w:proofErr w:type="spellEnd"/>
    <w:r>
      <w:rPr>
        <w:color w:val="4B5563"/>
        <w:sz w:val="17"/>
      </w:rPr>
      <w:t xml:space="preserve"> </w:t>
    </w:r>
    <w:proofErr w:type="spellStart"/>
    <w:r>
      <w:rPr>
        <w:color w:val="4B5563"/>
        <w:sz w:val="17"/>
      </w:rPr>
      <w:t>Mingguan</w:t>
    </w:r>
    <w:proofErr w:type="spellEnd"/>
    <w:r>
      <w:rPr>
        <w:color w:val="4B5563"/>
        <w:sz w:val="17"/>
      </w:rPr>
      <w:t xml:space="preserve"> | </w:t>
    </w:r>
    <w:proofErr w:type="spellStart"/>
    <w:r>
      <w:rPr>
        <w:color w:val="4B5563"/>
        <w:sz w:val="17"/>
      </w:rPr>
      <w:t>Analisis</w:t>
    </w:r>
    <w:proofErr w:type="spellEnd"/>
    <w:r>
      <w:rPr>
        <w:color w:val="4B5563"/>
        <w:sz w:val="17"/>
      </w:rPr>
      <w:t xml:space="preserve"> </w:t>
    </w:r>
    <w:proofErr w:type="spellStart"/>
    <w:r>
      <w:rPr>
        <w:color w:val="4B5563"/>
        <w:sz w:val="17"/>
      </w:rPr>
      <w:t>Deret</w:t>
    </w:r>
    <w:proofErr w:type="spellEnd"/>
    <w:r>
      <w:rPr>
        <w:color w:val="4B5563"/>
        <w:sz w:val="17"/>
      </w:rPr>
      <w:t xml:space="preserve"> Waktu Tingkat </w:t>
    </w:r>
    <w:proofErr w:type="spellStart"/>
    <w:r>
      <w:rPr>
        <w:color w:val="4B5563"/>
        <w:sz w:val="17"/>
      </w:rPr>
      <w:t>Lanjut</w:t>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proofErr w:type="spellStart"/>
    <w:r>
      <w:rPr>
        <w:color w:val="4B5563"/>
        <w:sz w:val="17"/>
      </w:rPr>
      <w:t>Kontrak</w:t>
    </w:r>
    <w:proofErr w:type="spellEnd"/>
    <w:r>
      <w:rPr>
        <w:color w:val="4B5563"/>
        <w:sz w:val="17"/>
      </w:rPr>
      <w:t xml:space="preserve"> </w:t>
    </w:r>
    <w:proofErr w:type="spellStart"/>
    <w:r>
      <w:rPr>
        <w:color w:val="4B5563"/>
        <w:sz w:val="17"/>
      </w:rPr>
      <w:t>Perkuliahan</w:t>
    </w:r>
    <w:proofErr w:type="spellEnd"/>
    <w:r>
      <w:rPr>
        <w:color w:val="4B5563"/>
        <w:sz w:val="17"/>
      </w:rPr>
      <w:t xml:space="preserve"> | </w:t>
    </w:r>
    <w:proofErr w:type="spellStart"/>
    <w:r>
      <w:rPr>
        <w:color w:val="4B5563"/>
        <w:sz w:val="17"/>
      </w:rPr>
      <w:t>Analisis</w:t>
    </w:r>
    <w:proofErr w:type="spellEnd"/>
    <w:r>
      <w:rPr>
        <w:color w:val="4B5563"/>
        <w:sz w:val="17"/>
      </w:rPr>
      <w:t xml:space="preserve"> </w:t>
    </w:r>
    <w:proofErr w:type="spellStart"/>
    <w:r>
      <w:rPr>
        <w:color w:val="4B5563"/>
        <w:sz w:val="17"/>
      </w:rPr>
      <w:t>Deret</w:t>
    </w:r>
    <w:proofErr w:type="spellEnd"/>
    <w:r>
      <w:rPr>
        <w:color w:val="4B5563"/>
        <w:sz w:val="17"/>
      </w:rPr>
      <w:t xml:space="preserve"> Waktu Tingkat </w:t>
    </w:r>
    <w:proofErr w:type="spellStart"/>
    <w:r>
      <w:rPr>
        <w:color w:val="4B5563"/>
        <w:sz w:val="17"/>
      </w:rPr>
      <w:t>Lanjut</w:t>
    </w:r>
    <w:proofErr w:type="spellEnd"/>
    <w:r>
      <w:rPr>
        <w:color w:val="4B5563"/>
        <w:sz w:val="17"/>
      </w:rPr>
      <w:t xml:space="preserve"> | S2 </w:t>
    </w:r>
    <w:proofErr w:type="spellStart"/>
    <w:r>
      <w:rPr>
        <w:color w:val="4B5563"/>
        <w:sz w:val="17"/>
      </w:rPr>
      <w:t>Statistika</w:t>
    </w:r>
    <w:proofErr w:type="spellEnd"/>
    <w:r>
      <w:rPr>
        <w:color w:val="4B5563"/>
        <w:sz w:val="17"/>
      </w:rPr>
      <w:t xml:space="preserve"> </w:t>
    </w:r>
    <w:proofErr w:type="spellStart"/>
    <w:r>
      <w:rPr>
        <w:color w:val="4B5563"/>
        <w:sz w:val="17"/>
      </w:rPr>
      <w:t>Terapan</w:t>
    </w:r>
    <w:proofErr w:type="spellEnd"/>
    <w:r>
      <w:rPr>
        <w:color w:val="4B5563"/>
        <w:sz w:val="17"/>
      </w:rPr>
      <w:t xml:space="preserve">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29639D"/>
    <w:rsid w:val="00326F90"/>
    <w:rsid w:val="003C0698"/>
    <w:rsid w:val="00445BE3"/>
    <w:rsid w:val="007F3B79"/>
    <w:rsid w:val="008212D2"/>
    <w:rsid w:val="00AA1D8D"/>
    <w:rsid w:val="00B4343A"/>
    <w:rsid w:val="00B47730"/>
    <w:rsid w:val="00B62216"/>
    <w:rsid w:val="00CB0664"/>
    <w:rsid w:val="00DA3F5E"/>
    <w:rsid w:val="00DB1A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2675</Words>
  <Characters>15253</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Mindra</cp:lastModifiedBy>
  <cp:revision>7</cp:revision>
  <dcterms:created xsi:type="dcterms:W3CDTF">2026-06-22T03:35:00Z</dcterms:created>
  <dcterms:modified xsi:type="dcterms:W3CDTF">2026-07-27T06:39:30Z</dcterms:modified>
  <cp:category/>
</cp:coreProperties>
</file>