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jc w:val="center"/>
        <w:rPr>
          <w:rFonts w:ascii="Calibri" w:cs="Calibri" w:eastAsia="Calibri" w:hAnsi="Calibri"/>
          <w:color w:val="274e13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274e13"/>
          <w:sz w:val="40"/>
          <w:szCs w:val="40"/>
          <w:rtl w:val="0"/>
        </w:rPr>
        <w:t xml:space="preserve">KAMUS KOMPETENSI BIDANG MARKETING, PRODUCT, AND SOLUTION MANAGEMENT </w:t>
      </w:r>
    </w:p>
    <w:p w:rsidR="00000000" w:rsidDel="00000000" w:rsidP="00000000" w:rsidRDefault="00000000" w:rsidRPr="00000000" w14:paraId="00000002">
      <w:pPr>
        <w:pStyle w:val="Heading1"/>
        <w:spacing w:after="0" w:before="0" w:line="240" w:lineRule="auto"/>
        <w:jc w:val="center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sz w:val="40"/>
          <w:szCs w:val="40"/>
          <w:rtl w:val="0"/>
        </w:rPr>
        <w:t xml:space="preserve">(MPS)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bookmarkStart w:colFirst="0" w:colLast="0" w:name="_heading=h.qewccgpf0bn2" w:id="0"/>
      <w:bookmarkEnd w:id="0"/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(MPS-01) Mengelola keagenan dan Kerjasama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(MPS-02) Melakukan Supervisi Operasional Produk dan Jasa Perbankan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(MPS-03) Memberikan Edukasi Nasabah dan Calon Nasabah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(MPS-04) Mengelola Pemasaran Produk dan Jasa Perbankan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(MPS-05) Memberikan Pelayanan Informasi Produk dan Jasa Perbankan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(MPS-06) Market Research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(MPS-07) Marketing Planning and Evaluation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(MPS-08) Integrated Marketing Communication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(MPS-09) Banking Product &amp; Solution Development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(MPS-10) Banking Sales Pipe Line Management</w:t>
      </w:r>
    </w:p>
    <w:p w:rsidR="00000000" w:rsidDel="00000000" w:rsidP="00000000" w:rsidRDefault="00000000" w:rsidRPr="00000000" w14:paraId="0000000E">
      <w:pPr>
        <w:ind w:left="720" w:firstLine="0"/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80" w:before="280" w:line="300" w:lineRule="auto"/>
        <w:rPr>
          <w:rFonts w:ascii="Calibri" w:cs="Calibri" w:eastAsia="Calibri" w:hAnsi="Calibri"/>
          <w:color w:val="274e13"/>
          <w:sz w:val="26"/>
          <w:szCs w:val="26"/>
        </w:rPr>
      </w:pPr>
      <w:bookmarkStart w:colFirst="0" w:colLast="0" w:name="_heading=h.qmdx3ytgjye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MPS-01: Mengelola Keagenan dan Kerjasama</w:t>
      </w:r>
    </w:p>
    <w:p w:rsidR="00000000" w:rsidDel="00000000" w:rsidP="00000000" w:rsidRDefault="00000000" w:rsidRPr="00000000" w14:paraId="00000021">
      <w:pPr>
        <w:spacing w:after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mengidentifikasi, menginisiasi, me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mproses, memelihara, dan mengembangkan kemitraan strategis serta jaringan keagenan (seperti Agent Banking/Laku Pandai Bank Sultra, kemitraan instansi pemerintah daerah, dan mitra bisnis) guna memperluas jangkauan layanan digital dan penetrasi pasar.</w:t>
      </w:r>
    </w:p>
    <w:tbl>
      <w:tblPr>
        <w:tblStyle w:val="Table1"/>
        <w:tblW w:w="9360.0" w:type="dxa"/>
        <w:jc w:val="left"/>
        <w:tblBorders>
          <w:top w:color="d3d3d3" w:space="0" w:sz="8" w:val="single"/>
          <w:left w:color="d3d3d3" w:space="0" w:sz="8" w:val="single"/>
          <w:bottom w:color="d3d3d3" w:space="0" w:sz="8" w:val="single"/>
          <w:right w:color="d3d3d3" w:space="0" w:sz="8" w:val="single"/>
          <w:insideH w:color="d3d3d3" w:space="0" w:sz="8" w:val="single"/>
          <w:insideV w:color="d3d3d3" w:space="0" w:sz="8" w:val="single"/>
        </w:tblBorders>
        <w:tblLayout w:type="fixed"/>
        <w:tblLook w:val="0600"/>
      </w:tblPr>
      <w:tblGrid>
        <w:gridCol w:w="3150"/>
        <w:gridCol w:w="6210"/>
        <w:tblGridChange w:id="0">
          <w:tblGrid>
            <w:gridCol w:w="3150"/>
            <w:gridCol w:w="6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bentuk-bentuk kemitraan, regulasi dasar keagenan perbankan, dan dokumen administrasi kerja sama di Bank Sultra.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menentukan dan menjelaskan jenis-jenis dokumen persyaratan calon agen dan mitra kerja sama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mencatat, mendokumentasikan dan menyajikan data calon agen serta berkas kerja sama ke dalam database sistem.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– Memadai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alur proses perizinan agen/mitra, klausul standar Perjanjian Kerja Sama (PKS), serta prosedur verifikasi keagenan.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memeriksa kelengkapan dan keabsahan dokumen legalitas calon agen atau mitra kerja 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menjelaskan syarat dan ketentuan kerjasama keagenan dan kemitraan kepada calon agen/mitra maupun unit kerja terkait.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Menerapkan prosedur akuisisi agen/mitra, mengelola operasional kerja sama harian, serta mendampingi transaksi agen/mitra di lapangan.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memproses pendaftaran dan aktivasi agen/mitra baru sesuai Standar Operasional Prosedur (SOP)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melakukan pemantauan berkala terhadap keaktifan transaksi dan keandalan operasional agen/mitra.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menyusun laporan berkala kinerja jaringan keagenan dan kemitraan di wilayah operasionalnya.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efektivitas jaringan agen/mitra dan potensi kerja sama strategis, serta mengevaluasi produktivitas dan risiko keagenan/kemitraan.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menganalisis efektivitas tingkat transaksi dan kontribusi pendapatan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fee-based income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dari jaringan agen/mitra.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potensi risiko operasional serta tingkat kepatuhan agen/mitra terhadap PKS.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merekomendasikan program insentif atau retensi untuk meningkatkan produktivitas agen/mitra Bank Sultra.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Merancang strategi ekosistem keagenan/ kemitraan berbasis digital dan merumuskan model kerja sama strategis BtB/BtG.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strategi perluasan ekosistem agen/mitra digital yang terintegrasi dengan layanan transaksi Pemda di Sulawesi Tenggara.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merumuskan kebijakan dan kerangka kerja kerja sama strategis bernilai tinggi untuk mendukung pertumbuhan bisnis Bank Sultra.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6baoxlx8tyg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MPS-02: Melakukan Supervisi Operasional Produk dan Jasa Perbankan</w:t>
      </w:r>
    </w:p>
    <w:p w:rsidR="00000000" w:rsidDel="00000000" w:rsidP="00000000" w:rsidRDefault="00000000" w:rsidRPr="00000000" w14:paraId="0000003F">
      <w:pPr>
        <w:spacing w:after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mengawasi, memantau, serta memastikan seluruh operasional pemasaran, penerbitan, dan pemrosesan prod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uk dan jasa perbankan berjalan sesuai dengan ketentuan hukum, SOP, dan standar tata kelola risiko yang berlaku.</w:t>
      </w:r>
    </w:p>
    <w:tbl>
      <w:tblPr>
        <w:tblStyle w:val="Table2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pedoman operasional dan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checklist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pengawasan harian transaksi produk dan jasa perbankan.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menentukan dan menjelaskan dokumen acuan Standar Operasional Prosedur (SOP) pengawasan operasional.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mengenali dan mencatat temuan awal ketidaksesuaian administrasi operasional produk dan jasa.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titik-titik kritis risiko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critical control points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pada operasional produk dan jasa perbankan.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memverifikasi ketaatan tim operasional terhadap batas kewenangan otorisasi transaksi.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menjelaskan potensi dampak risiko operasional akibat penyimpangan prosedur pemasaran dan transaksi.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Menerapkan pengawasan rutin, memvalidasi kepatuhan operasional cabang/unit kerja, serta menyelesaikan penyimpangan prosedur tingkat dasar.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melaksanakan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supervisory control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harian terhadap pemrosesan produk dan jasa perbankan.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melakukan koreksi atas kesalahan prosedur operasional sebelum transaksi difinalisasi.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menyusun laporan hasil supervisi operasional produk dan jasa secara teratur beserta rekomendasi perbaikannya.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pola kejadian penyimpangan operasional, mengevaluasi efektivitas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internal control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dan menyusun mitigasi risiko produk/jasa.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menganalisis dan menentukan akar penyebab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root cause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ketidakpatuhan operasional produk dan jasa di unit kerja.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efektivitas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risk control self-assessment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(RCSA) pada operasional produk dan jasa perbankan.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merekomendasikan perbaikan alur kerja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workflow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untuk meminimalkan risiko kecurangan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fraud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dan kesalahan manusia.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Merancang sistem pengawasan operasional terpadu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automated supervision control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dan merumuskan standar kepatuhan operasional produk di tingkat perusahaan.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kerangka kerja pengawasan operasional produk dan jasa berbasis teknologi otomatisasi monitoring.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merumuskan standar kebijakan pemantauan operasional produk perbankan yang responsif terhadap dinamika regulasi OJK/BI.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hsclzto4bfi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sdt>
        <w:sdtPr>
          <w:id w:val="54998327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MPS-03: Memberikan Edukasi Nasabah dan Calon Nasabah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merencanakan, menyampaikan, dan memfasilitasi program literasi serta inklusi keuangan kepada nasabah dan masyarakat umum guna meningkatkan pemahaman atas hak, kewajiban, manfaat, serta risiko produk/jasa Bank Sultra.</w:t>
      </w:r>
    </w:p>
    <w:tbl>
      <w:tblPr>
        <w:tblStyle w:val="Table3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230"/>
        <w:gridCol w:w="6130"/>
        <w:tblGridChange w:id="0">
          <w:tblGrid>
            <w:gridCol w:w="3230"/>
            <w:gridCol w:w="6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materi edukasi literasi keuangan dasar serta media komunikasi yang digunakan Bank Sultra.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menentukan dan menunjukkan brosur, lembar informasi produk, dan materi edukasi resmi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menyampaikan informasi ringkas mengenai manfaat dasar produk tabungan dan jasa perbankan kepada calon nasabah.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prinsip-prinsip perlindungan konsumen, kerangka literasi keuangan OJK, serta materi edukasi produk.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menjelaskan hak dan kewajiban nasabah serta keterbukaan informasi produk sesuai regulasi.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menjawab pertanyaan dasar masyarakat terkait cara bertransaksi aman menggunakan media perbankan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Menerapkan kegiatan edukasi literasi keuangan mandiri kepada kelompok masyarakat, ASN, atau komunitas lokal di Sulawesi Tenggara.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menyajikan dan menjelaskan materi sosialisasi dan edukasi keuangan secara jelas dan mudah dipahami oleh audiens.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mengelola sesi tanya-jawab mengenai produk perbankan dan perencanaan keuangan dasar secara interaktif.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mendokumentasikan serta melaporkan hasil pelaksanaan kegiatan literasi dan inklusi keuangan.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tingkat pemahaman finansial target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audiens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mengevaluasi efektivitas program edukasi, serta menyelaraskannya dengan target bisnis.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menganalisis dan menentukan tingkat literasi keuangan kelompok segmen nasabah tertentu untuk menentukan metode edukasi yang tepat.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dan menyimpulkan dampak program edukasi terhadap tingkat konversi pembukaan rekening atau penggunaan produk.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merevisi modul materi sosialisasi agar relevan dengan isu-isu kejahatan siber/perbankan terkini (misal: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phishing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social engineering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Merancang strategi peta jalan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roadmap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literasi dan inklusi keuangan jangka panjang yang selaras dengan keberlanjutan bisnis Bank Sultra.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program edukasi publik berbasis digital dan ekosistem lokal yang berdampak luas di wilayah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merumuskan kebijakan edukasi perlindungan konsumen yang menjamin keterbukaan informasi di seluruh titik layanan bank.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mq49lr7njqb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MPS-04: Mengelola Pemasaran Produk dan Jasa Perbankan</w:t>
      </w:r>
    </w:p>
    <w:p w:rsidR="00000000" w:rsidDel="00000000" w:rsidP="00000000" w:rsidRDefault="00000000" w:rsidRPr="00000000" w14:paraId="0000007B">
      <w:pPr>
        <w:spacing w:after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mengeksekusi, memantau, dan mengoptimalkan aktivitas pemasaran dan penjualan produk simpanan, pinjaman, serta jasa perbankan kepada target pasar yang tepat guna mencapai target bisnis bank.</w:t>
      </w:r>
    </w:p>
    <w:tbl>
      <w:tblPr>
        <w:tblStyle w:val="Table4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target penjualan, daftar calon nasabah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prospect list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), dan sarana promosi produk Bank Sultra.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menentukan dan menjelaskan fitur keunggulan produk dan jasa Bank Sultra dibandingkan kompetitor lokal.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membagikan materi promosi dan melakukan kontak awal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canvassing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kepada calon nasabah.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teknik penawaran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selling skill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), penanganan keberatan dasar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objection handling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), serta kriteria profil nasabah yang disasar.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menjelaskan skema produk perbankan yang disesuaikan dengan kebutuhan spesifik calon nasabah.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mengatasi keberatan awal nasabah terkait suku bunga, biaya administrasi, atau persyaratan produk.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Menerapkan strategi penjualan mandiri, melakukan negosiasi penawaran produk, serta mengelola pencapaian target pemasaran pribadi/unit.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melakukan pendekatan dan negosiasi penawaran produk simpanan/jasa kepada nasabah perorangan maupun instansi.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melaksanakan kegiatan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cross-selling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dan promosi lapangan secara efektif.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menyusun laporan capaian pencairan/penjualan produk dan memelihara hubungan pasca penjualan.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produktivitas kampanye pemasaran, mengevaluasi pergerakan kompetitor, serta mengoptimalkan strategi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cross-selling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menganalisis dan menentukan rasio keberhasilan penjualan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conversion rate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dari berbagai saluran pemasaran yang digunakan.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dan menyimpulkan tingkat efektivitas program taktis pemasaran produk di wilayah cabang/regional tertentu.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merumuskan taktik penjualan silang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cross-selling matrix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untuk memaksimalkan kepemilikan produk per nasabah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share of wallet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Merancang strategi pemasaran komprehensif tingkat korporasi dan menciptakan model penetrasi pasar baru di wilayah potensial.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4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arsitektur strategi pemasaran terpadu untuk segmen perorangan, ritel, komersial, dan kelembagaan/Pemda.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merumuskan model insentif dan skema pemasaran inovatif yang mendorong pertumbuhan pangsa pasar Bank Sultra.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8a03uznru1r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MPS-05: Memberikan Pelayanan Informasi Produk dan Jasa Perbankan</w:t>
      </w:r>
    </w:p>
    <w:p w:rsidR="00000000" w:rsidDel="00000000" w:rsidP="00000000" w:rsidRDefault="00000000" w:rsidRPr="00000000" w14:paraId="00000099">
      <w:pPr>
        <w:spacing w:after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memberikan penjelasan yang akurat, komunikatif, transparan, dan profesional terkait seluruh detail informasi produk, syarat, ketentuan, serta tarif jasa perbankan melalui berbagai media layanan.</w:t>
      </w:r>
    </w:p>
    <w:tbl>
      <w:tblPr>
        <w:tblStyle w:val="Table5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096"/>
        <w:gridCol w:w="6264"/>
        <w:tblGridChange w:id="0">
          <w:tblGrid>
            <w:gridCol w:w="3096"/>
            <w:gridCol w:w="62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direktori informasi produk dan panduan jawaban pertanyaan umum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FAQ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Bank Sultra.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4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menentukan dan menyebutkan sumber data atau dokumen ketentuan produk yang valid di sistem internal.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4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menjawab pertanyaan mendasar nasabah mengenai syarat pembukaan rekening dan lokasi layanan.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rincian teknis suku bunga, nisbah, biaya transaksi, dan prosedur pemanfaatan produk/jasa perbankan.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menjelaskan secara terstruktur syarat dan ketentuan operasional produk serta fitur-fitur layanan digital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mengarahkan nasabah pada produk atau jasa yang paling sesuai dengan kebutuhan transaksi nasabah.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Menerapkan standar pelayanan prima dalam menyampaikan informasi teknis yang kompleks dan mengelola pertanyaan ambigu dari nasabah.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menyajikan simulasi perhitungan bunga, angsuran, atau estimasi biaya transaksi secara presisi di hadapan nasabah.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menyampaikan informasi perubahan ketentuan atau tarif produk secara persuasif dan mudah dipahami.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mencatat dan mengelola rekapitulasi jenis informasi yang paling sering ditanyakan oleh nasabah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frequent inquiries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kesenjangan pemahaman nasabah, mengevaluasi kejelasan materi informasi di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touchpoints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serta memberikan rekomendasi perbaikan materi.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3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menganalisis dan menentukan tren kebingungan atau kendala informasi nasabah berdasarkan umpan balik layanan.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3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dan menyimpulkan kualitas penyampaian informasi produk di seluruh saluran kontak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Customer Service, Call Center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Medsos).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3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menyusun perbaikan struktur FAQ dan materi pemanduan informasi agar lebih intuitif bagi nasabah.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0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B1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Merancang standar dan infrastruktur pelayanan informasi terpadu berbasis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omnichannel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dan otomatisasi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AI/Chatbot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3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konsep arsitektur penyampaian informasi produk berbasis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Omnichannel Knowledge Management System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3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merumuskan standar baku transparansi informasi produk tingkat bank yang memenuhi regulasi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Consumer Protection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va62wbrjcva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sdt>
        <w:sdtPr>
          <w:id w:val="-1210106399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MPS-06: Market Research</w:t>
      </w:r>
    </w:p>
    <w:p w:rsidR="00000000" w:rsidDel="00000000" w:rsidP="00000000" w:rsidRDefault="00000000" w:rsidRPr="00000000" w14:paraId="000000B9">
      <w:pPr>
        <w:spacing w:after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mengumpulkan, mengolah, menganalisis data pasar, tren industri perbankan, preferensi nasabah, serta peta persaingan guna menyediakan wawasan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insights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) berbasis data untuk pengambilan keputusan bisnis.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60"/>
        <w:gridCol w:w="6200"/>
        <w:tblGridChange w:id="0">
          <w:tblGrid>
            <w:gridCol w:w="316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sumber data pasar sekunder, instrumen survei dasar, dan profil kompetitor utama di wilayah Sulawesi Tenggara.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4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menentukan dan menyebutkan sumber data statistik ekonomi regional dan laporan publik kompetitor.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4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mengumpulkan data kuesioner atau masukan survei kepuasan dari nasabah di lapangan.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metodologi riset dasar, teknik penyampelan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sampling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), dan instrumen pengumpulan data kuantitatif/kualitatif.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mengelompokkan data kompetisi (suku bunga, fitur, promosi) ke dalam format analisis terstruktur.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menjalankan administrasi pelaksanaan riset pasar atau survei kepuasan nasabah sesuai petunjuk teknis.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Menerapkan metode riset pasar, menyusun kuesioner, mengolah data riset, dan menyajikan laporan temuan pasar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market insight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2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instrumen survei riset kebutuhan produk baru atau tingkat kepuasan layanan secara independen.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2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mengolah data riset pasar menggunakan metode statistik dasar atau alat bantu analisis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menyusun laporan profil perilaku dan preferensi perbankan masyarakat di wilayah Sulawesi Tenggara.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dinamika makro-mikro ekonomi regional, mengevaluasi posisi kompetitif Bank Sultra, dan memprediksi tren kebutuhan pasar.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3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menganalisis dan menentukan dampak perubahan tren ekonomi regional dan perilaku konsumsi masyarakat terhadap bisnis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3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posisi tawar dan keunggulan kompetitif produk Bank Sultra dibandingkan dengan BPD dan bank umum lainnya.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3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menentukan peluang ceruk pasar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niche market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dan area pertumbuhan potensial bagi Bank Sultra.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Merancang strategi riset pasar komprehensif, arsitektur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Market Intelligence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serta memanfaatkan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big data analytics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untuk arah kebijakan strategis.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4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kerangka kerja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Continuous Market Intelligence System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yang mengintegrasikan data internal dan eksternal.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4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merumuskan proyeksi bisnis jangka panjang dan rekomendasi arah strategis bank berbasis temuan riset mendalam.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esgcqcqad4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sdt>
        <w:sdtPr>
          <w:id w:val="-438169953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MPS-07: Marketing Planning and Evaluation</w:t>
      </w:r>
    </w:p>
    <w:p w:rsidR="00000000" w:rsidDel="00000000" w:rsidP="00000000" w:rsidRDefault="00000000" w:rsidRPr="00000000" w14:paraId="000000D8">
      <w:pPr>
        <w:spacing w:after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merumuskan rencana pemasaran komprehensif (alokasi anggaran, target penetrasi, penetapan harga, promosi) serta mengevaluasi efektivitas dan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Return on Investment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(ROI) dari seluruh program pemasaran.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63"/>
        <w:gridCol w:w="6197"/>
        <w:tblGridChange w:id="0">
          <w:tblGrid>
            <w:gridCol w:w="3163"/>
            <w:gridCol w:w="61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komponen dokumen Rencana Kerja dan Anggaran (RKA) pemasaran serta kalender kegiatan promosi.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4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menentukan dan menjelaskan target bulanan dan alokasi anggaran promosi yang tercantum dalam rencana kerja.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4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mencatat realisasi pengeluaran biaya promosi dan aktivitas pemasaran harian/mingguan.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kerangka penyusunan program kerja pemasaran, perhitungan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Cost of Fund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dasar, dan indikator kinerja utama (KPI) pemasaran.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5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menjelaskan keterkaitan antara aktivitas pemasaran dengan pencapaian target dana murah (CASA) atau target kredit.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5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memverifikasi bukti tagihan dan pengeluaran biaya kampanye pemasaran sesuai anggaran yang disetujui.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Menerapkan penyusunan Rencana Pemasaran Tahunan/Tematik, memantau penyerapan anggaran, dan menghitung capaian program.</w:t>
            </w:r>
          </w:p>
          <w:p w:rsidR="00000000" w:rsidDel="00000000" w:rsidP="00000000" w:rsidRDefault="00000000" w:rsidRPr="00000000" w14:paraId="000000E5">
            <w:pPr>
              <w:spacing w:after="120" w:line="240" w:lineRule="auto"/>
              <w:ind w:left="1440" w:firstLine="0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5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membuat usulan program pemasaran terstruktur lengkap dengan alokasi anggaran dan jadwal eksekusi.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5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mengontrol penggunaan anggaran pemasaran agar tetap efisien dan proporsional dengan target yang ditetapkan.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5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menyusun laporan pencapaian KPI pemasaran dan efisiensi biaya promosi periodik.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Return on Investment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(ROI) pemasaran, mengevaluasi efektivitas strategi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pricing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dan melakukan penyesuaian taktikal RKA.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menganalisis dan menentukan rasio biaya terhadap hasil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cost-to-benefit ratio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dari setiap program promosi dan sponsor.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dan menyimpulkan tingkat sensitivitas harga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pricing strategy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suku bunga/biaya jasa terhadap respons permintaan pasar.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merekomendasikan re-alokasi anggaran pemasaran secara dinamis ke saluran yang paling menguntungkan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high-yielding channels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Merancang arsitektur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Strategic Marketing Plan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jangka panjang yang selaras dengan Rencana Bisnis Bank (RBB) dan target korporasi.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rencana strategis pemasaran terintegrasi untuk ekspansi pangsa pasar Bank Sultra dalam skala regional/nasional.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merumuskan metode evaluasi pemasaran berbasis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Customer Lifetime Value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(CLV) dan dampak pertumbuhan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brand equity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lagnlcf7jgs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sdt>
        <w:sdtPr>
          <w:id w:val="627460427"/>
          <w:tag w:val="goog_rdk_3"/>
        </w:sdtPr>
        <w:sdtContent>
          <w:commentRangeStart w:id="3"/>
        </w:sdtContent>
      </w:sdt>
      <w:sdt>
        <w:sdtPr>
          <w:id w:val="961773720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MPS-08: Integrated Marketing Communication</w:t>
      </w:r>
    </w:p>
    <w:p w:rsidR="00000000" w:rsidDel="00000000" w:rsidP="00000000" w:rsidRDefault="00000000" w:rsidRPr="00000000" w14:paraId="000000F7">
      <w:pPr>
        <w:spacing w:after="240" w:line="300" w:lineRule="auto"/>
        <w:rPr>
          <w:rFonts w:ascii="Calibri" w:cs="Calibri" w:eastAsia="Calibri" w:hAnsi="Calibri"/>
          <w:color w:val="274e13"/>
          <w:highlight w:val="yellow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merencanakan, mengoordinasikan, dan mengintegrasikan seluruh saluran komunikasi pemasaran (periklanan, kehumasan, media sosial, promosi penjualan,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event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, dan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branding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) secara konsisten guna membangun citra merek dan meningkatkan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brand awareness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Bank Sultra.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d3d3d3" w:space="0" w:sz="8" w:val="single"/>
          <w:left w:color="d3d3d3" w:space="0" w:sz="8" w:val="single"/>
          <w:bottom w:color="d3d3d3" w:space="0" w:sz="8" w:val="single"/>
          <w:right w:color="d3d3d3" w:space="0" w:sz="8" w:val="single"/>
          <w:insideH w:color="d3d3d3" w:space="0" w:sz="8" w:val="single"/>
          <w:insideV w:color="d3d3d3" w:space="0" w:sz="8" w:val="single"/>
        </w:tblBorders>
        <w:tblLayout w:type="fixed"/>
        <w:tblLook w:val="0600"/>
      </w:tblPr>
      <w:tblGrid>
        <w:gridCol w:w="3150"/>
        <w:gridCol w:w="6210"/>
        <w:tblGridChange w:id="0">
          <w:tblGrid>
            <w:gridCol w:w="3150"/>
            <w:gridCol w:w="6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8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F9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panduan identitas visual merek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brand guidelines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), saluran komunikasi resmi, dan materi publikasi bank.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A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2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menentukan dan menjelaskan elemen tata letak, warna, dan logo standar sesuai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brand guidelines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2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menyebarkan materi komunikasi (poster, brosur, konten digital) ke saluran media internal dan eksternal.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D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FE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Karakteristik media komunikasi (cetak, elektronik, digital/sosial) serta prosedur pesan publik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public messaging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F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3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memeriksa kesesuaian konten promosi dengan standar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tone of voice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dan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brand identity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3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menjelaskan alur pengusulan publikasi program/ produk melalui unit kehumasan dan media massa.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2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03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Menerapkan jadwal kampanye komunikasi terpadu, membuat draf narasi promosi, serta mengelola pembuatan media komunikasi.</w:t>
            </w:r>
          </w:p>
          <w:p w:rsidR="00000000" w:rsidDel="00000000" w:rsidP="00000000" w:rsidRDefault="00000000" w:rsidRPr="00000000" w14:paraId="00000104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5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menyusun draf konten komunikasi pemasaran (pesan siaran, naskah promosi, materi media sosial) secara kreatif.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mengkoordinasi pelaksanaan kegiatan promosi/ pameran/acara sponsorship dengan pihak vendor dan pihak ketiga.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mengelola pelaksanaan pengiriman pesan pemasaran terintegrasi di berbagai media secara tepat waktu.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9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0A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efektivitas jangkauan media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reach &amp; engagement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), mengevaluasi konsistensi merek, serta mengelola krisis komunikasi ringan.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B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menganalisis dan menentukan metrik kinerja media komunikasi (seperti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impression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click-through rate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engagement rate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share of voice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2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dan menyimpulkan dampak kampanye komunikasi terpadu terhadap peningkatan kesadaran merek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brand awareness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2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menelaah potensi risiko reputasi pada naskah/ konten komunikasi sebelum dipublikasikan ke media publik.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F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10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Merancang strategi besar komunikasi pemasaran terpadu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Master IMC Strategy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dan reputasi merek Bank Sultra secara berkesinambungan.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1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9"/>
              </w:numPr>
              <w:spacing w:after="120" w:line="240" w:lineRule="auto"/>
              <w:ind w:left="270" w:hanging="360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strategi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omnichannel branding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yang memperkuat pemosisian Bank Sultra sebagai BPD terdepan dan modern.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9"/>
              </w:numPr>
              <w:spacing w:after="120" w:line="240" w:lineRule="auto"/>
              <w:ind w:left="270" w:hanging="360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merumuskan kerangka kerja komunikasi krisis pemasaran serta strategi kemitraan media jangka panjang.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bookmarkStart w:colFirst="0" w:colLast="0" w:name="_heading=h.eltztn5xx63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bookmarkStart w:colFirst="0" w:colLast="0" w:name="_heading=h.flddyuum5da4" w:id="10"/>
      <w:bookmarkEnd w:id="10"/>
      <w:sdt>
        <w:sdtPr>
          <w:id w:val="-62116354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MPS-09: Banking Product &amp; Solution Development</w:t>
      </w:r>
    </w:p>
    <w:p w:rsidR="00000000" w:rsidDel="00000000" w:rsidP="00000000" w:rsidRDefault="00000000" w:rsidRPr="00000000" w14:paraId="00000116">
      <w:pP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merancang, menguji, meluncurkan, dan mengelola siklus hidup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product lifecycle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produk dan solusi perbankan (konvensional maupun digital) yang inovatif, patuh regulasi, dan sesuai kebutuhan pasar/nasabah.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d3d3d3" w:space="0" w:sz="6" w:val="single"/>
          <w:left w:color="d3d3d3" w:space="0" w:sz="6" w:val="single"/>
          <w:bottom w:color="d3d3d3" w:space="0" w:sz="6" w:val="single"/>
          <w:right w:color="d3d3d3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600"/>
      </w:tblPr>
      <w:tblGrid>
        <w:gridCol w:w="3159"/>
        <w:gridCol w:w="6201"/>
        <w:tblGridChange w:id="0">
          <w:tblGrid>
            <w:gridCol w:w="3159"/>
            <w:gridCol w:w="62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7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18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portofolio produk eksisting Bank Sultra dan tahap umum proses pengembangan produk baru.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9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2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 dan menyajikan masukan atau keluhan nasabah mengenai kekurangan fitur produk perbankan saat ini.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2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dokumen regulasi teknis yang berlaku terkait penerbitan produk perbankan.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C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1D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alur kerja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Product Development Life Cycle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persyaratan analisis bisnis, dan skema pengujian produk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testing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E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3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spesifikasi teknis, skema fitur, dan perhitungan biaya-biaya produk perbankan eksisting.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3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memverifikasi kelengkapan dokumen persyaratan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Product Requirement Document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(PRD) awal.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1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22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Menerapkan penyusunan dokumen usulan produk baru, mengkoordinasikan pengujian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User Acceptance Test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- UAT), serta mengawal perizinan OJK/BI.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3">
            <w:pP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0"/>
              </w:numPr>
              <w:spacing w:after="100" w:line="240" w:lineRule="auto"/>
              <w:ind w:left="27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proposal pengembangan/ penyempurnaan produk perbankan mencakup skema bisnis dan simulasi fitur.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0"/>
              </w:numPr>
              <w:spacing w:after="100" w:line="240" w:lineRule="auto"/>
              <w:ind w:left="27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memfasilitasi dan mengeksekusi skenario uji coba pengguna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User Acceptance Test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bersama unit terkait.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0"/>
              </w:numPr>
              <w:spacing w:after="100" w:line="240" w:lineRule="auto"/>
              <w:ind w:left="27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dokumen kelengkapan perizinan produk baru kepada regulator (OJK/BI).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7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28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Menganalisis kelayakan bisnis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feasibility study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), mengevaluasi risiko produk baru, serta menyelaraskan solusi produk dengan sistem TI &amp; Operasional.</w:t>
            </w:r>
          </w:p>
          <w:p w:rsidR="00000000" w:rsidDel="00000000" w:rsidP="00000000" w:rsidRDefault="00000000" w:rsidRPr="00000000" w14:paraId="00000129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A">
            <w:pP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22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menganalisis/studi dan menentukan kelayakan finansial dan bisnis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business case &amp; NPV/ROI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atas pengembangan produk baru.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22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potensi risiko produk (risiko hukum, operasional, reputasi) dan menetapkan mitigasinya.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22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mengkoordinir penyusunan alur proses bisnis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business process flow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solusi produk baru yang melibatkan lintas direktorat.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E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2F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Merancang arsitektur portofolio produk dan solusi perbankan terintegrasi (termasuk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Digital Banking &amp; Open API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yang kompetitif dan berorientasi pada masa depan.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0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3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strategi inovasi produk dan solusi finansial masa depan yang berpengaruh signifikan pada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3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kebijakan tata kelola pengembangan produk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Product Governance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yang adaptif, aman, dan patuh regulasi.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tqqg1yzdkvg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sdt>
        <w:sdtPr>
          <w:id w:val="200633630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MPS-10: Banking Sales Pipe Line Management</w:t>
      </w:r>
    </w:p>
    <w:p w:rsidR="00000000" w:rsidDel="00000000" w:rsidP="00000000" w:rsidRDefault="00000000" w:rsidRPr="00000000" w14:paraId="00000135">
      <w:pP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merencanakan, mengatur, mengarahkan, memantau, dan mengelola alur prospek penjualan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prospect pipeline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dari tahap identifikasi awal, kualifikasi, negosiasi, hingga penutupan transaksi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closing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secara terstruktur.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6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37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istilah dan tahapan dalam alur penjualan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sales funnel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serta sistem pencatatan prospek.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8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3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menginput dan menyajikan data kontak dan status prospek calon nasabah ke dalam aplikasi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sales tracking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3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mengelompokkan calon nasabah berdasarkan sumber data prospek yang diterima.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B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3C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kriteria kualifikasi prospek (kebutuhan, kelayakan, kapasitas) dan jadwal tindakan susulan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follow-up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D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3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memverifikasi kualifikasi kelayakan calon nasabah sesuai dengan kriteria target produk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3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tahapan status prospek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leads, qualified, proposal, closing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0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41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Menerapkan pengelolaan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pipeline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guna memantau laju pergerakan prospek, serta meminimalkan hambatan prospek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stagnant leads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2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4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mengatur dan menjalankan rencana interaksi lanjutan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follow-up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prospek secara disiplin dan terukur.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4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memindahkan posisi status prospek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leads, qualified, proposal, closing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secara akurat berdasarkan kemajuan negosiasi.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4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laporan proyeksi hasil penjualan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sales forecast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bulanan dari data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pipeline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yang dikelola.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6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47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rasio konversi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conversion rate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tiap tahapan prospek, mengevaluasi tingkat respon penjualan/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sales velocity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dan mengatasi kendala penutupan transaksi.</w:t>
            </w:r>
          </w:p>
          <w:p w:rsidR="00000000" w:rsidDel="00000000" w:rsidP="00000000" w:rsidRDefault="00000000" w:rsidRPr="00000000" w14:paraId="00000148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9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2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dan menentukan tingkat efisiensi alur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pipeline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dan mengidentifikasi penyebab prospek gugur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drop-off rate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di tiap tahap.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2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dan menyimpulkan tingkat kecepatan konversi prospek menjadi nasabah efektif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sales velocity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di unit bisnis.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2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memberikan pendampingan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coaching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teknik penutupan transaksi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closing technique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pada prospek bernilai tinggi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high-value target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D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4E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kerangka kerja dan sistem manajemen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sales pipeline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berbasis teknologi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Customer Relationship Management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(CRM) yang terintegrasi untuk seluruh unit bisnis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F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3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arsitektur dan metodologi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Sales Pipeline Management System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terpadu untuk optimalisasi produktivitas penjualan.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3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kebijakan strategi distribusi prospek dan model prediksi pendapatan bisnis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revenue forecasting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tingkat korporasi.</w:t>
            </w:r>
          </w:p>
        </w:tc>
      </w:tr>
    </w:tbl>
    <w:p w:rsidR="00000000" w:rsidDel="00000000" w:rsidP="00000000" w:rsidRDefault="00000000" w:rsidRPr="00000000" w14:paraId="00000152">
      <w:pPr>
        <w:pStyle w:val="Heading2"/>
        <w:spacing w:after="180" w:before="540" w:lineRule="auto"/>
        <w:rPr>
          <w:rFonts w:ascii="Calibri" w:cs="Calibri" w:eastAsia="Calibri" w:hAnsi="Calibri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ditya Putri" w:id="0" w:date="2026-10-22T02:27:31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perlindungan konsumen</w:t>
      </w:r>
    </w:p>
  </w:comment>
  <w:comment w:author="Aditya Putri" w:id="2" w:date="2026-10-21T03:39:56Z"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 Parman: diskusi internal tim.</w:t>
      </w:r>
    </w:p>
  </w:comment>
  <w:comment w:author="Aditya Putri" w:id="5" w:date="2026-10-21T03:41:37Z"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DJS &amp; credit</w:t>
      </w:r>
    </w:p>
  </w:comment>
  <w:comment w:author="Aditya Putri" w:id="1" w:date="2026-10-21T03:39:04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 Parman: akan bahas dengan internal tim.</w:t>
      </w:r>
    </w:p>
  </w:comment>
  <w:comment w:author="Aditya Putri" w:id="6" w:date="2026-10-21T03:42:12Z"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DJS, credit, cabang &amp; capem</w:t>
      </w:r>
    </w:p>
  </w:comment>
  <w:comment w:author="Aditya Putri" w:id="3" w:date="2026-10-21T03:40:43Z"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Div:Corsec dan product owner (DJS &amp; Credit)</w:t>
      </w:r>
    </w:p>
  </w:comment>
  <w:comment w:author="Aditya Putri" w:id="4" w:date="2026-10-21T03:41:02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termasuk cabang &amp; capem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54" w15:done="0"/>
  <w15:commentEx w15:paraId="00000155" w15:done="0"/>
  <w15:commentEx w15:paraId="00000156" w15:done="0"/>
  <w15:commentEx w15:paraId="00000157" w15:done="0"/>
  <w15:commentEx w15:paraId="00000158" w15:done="0"/>
  <w15:commentEx w15:paraId="00000159" w15:done="0"/>
  <w15:commentEx w15:paraId="0000015A" w15:paraIdParent="0000015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  <w:spacing w:line="27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6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6"/>
    <w:tblPr>
      <w:tblStyleRowBandSize w:val="1"/>
      <w:tblStyleColBandSize w:val="1"/>
    </w:tblPr>
  </w:style>
  <w:style w:type="table" w:styleId="a0" w:customStyle="1">
    <w:basedOn w:val="TableNormal6"/>
    <w:tblPr>
      <w:tblStyleRowBandSize w:val="1"/>
      <w:tblStyleColBandSize w:val="1"/>
    </w:tblPr>
  </w:style>
  <w:style w:type="table" w:styleId="a1" w:customStyle="1">
    <w:basedOn w:val="TableNormal6"/>
    <w:tblPr>
      <w:tblStyleRowBandSize w:val="1"/>
      <w:tblStyleColBandSize w:val="1"/>
    </w:tblPr>
  </w:style>
  <w:style w:type="table" w:styleId="a2" w:customStyle="1">
    <w:basedOn w:val="TableNormal6"/>
    <w:tblPr>
      <w:tblStyleRowBandSize w:val="1"/>
      <w:tblStyleColBandSize w:val="1"/>
    </w:tblPr>
  </w:style>
  <w:style w:type="table" w:styleId="a3" w:customStyle="1">
    <w:basedOn w:val="TableNormal6"/>
    <w:tblPr>
      <w:tblStyleRowBandSize w:val="1"/>
      <w:tblStyleColBandSize w:val="1"/>
    </w:tblPr>
  </w:style>
  <w:style w:type="table" w:styleId="a4" w:customStyle="1">
    <w:basedOn w:val="TableNormal6"/>
    <w:tblPr>
      <w:tblStyleRowBandSize w:val="1"/>
      <w:tblStyleColBandSize w:val="1"/>
    </w:tblPr>
  </w:style>
  <w:style w:type="table" w:styleId="a5" w:customStyle="1">
    <w:basedOn w:val="TableNormal6"/>
    <w:tblPr>
      <w:tblStyleRowBandSize w:val="1"/>
      <w:tblStyleColBandSize w:val="1"/>
    </w:tblPr>
  </w:style>
  <w:style w:type="table" w:styleId="a6" w:customStyle="1">
    <w:basedOn w:val="TableNormal6"/>
    <w:tblPr>
      <w:tblStyleRowBandSize w:val="1"/>
      <w:tblStyleColBandSize w:val="1"/>
    </w:tblPr>
  </w:style>
  <w:style w:type="table" w:styleId="a7" w:customStyle="1">
    <w:basedOn w:val="TableNormal6"/>
    <w:tblPr>
      <w:tblStyleRowBandSize w:val="1"/>
      <w:tblStyleColBandSize w:val="1"/>
    </w:tblPr>
  </w:style>
  <w:style w:type="table" w:styleId="a8" w:customStyle="1">
    <w:basedOn w:val="TableNormal6"/>
    <w:tblPr>
      <w:tblStyleRowBandSize w:val="1"/>
      <w:tblStyleColBandSize w:val="1"/>
    </w:tblPr>
  </w:style>
  <w:style w:type="table" w:styleId="a9" w:customStyle="1">
    <w:basedOn w:val="TableNormal6"/>
    <w:tblPr>
      <w:tblStyleRowBandSize w:val="1"/>
      <w:tblStyleColBandSize w:val="1"/>
    </w:tblPr>
  </w:style>
  <w:style w:type="table" w:styleId="aa" w:customStyle="1">
    <w:basedOn w:val="TableNormal6"/>
    <w:tblPr>
      <w:tblStyleRowBandSize w:val="1"/>
      <w:tblStyleColBandSize w:val="1"/>
    </w:tblPr>
  </w:style>
  <w:style w:type="table" w:styleId="ab" w:customStyle="1">
    <w:basedOn w:val="TableNormal6"/>
    <w:tblPr>
      <w:tblStyleRowBandSize w:val="1"/>
      <w:tblStyleColBandSize w:val="1"/>
    </w:tblPr>
  </w:style>
  <w:style w:type="table" w:styleId="ac" w:customStyle="1">
    <w:basedOn w:val="TableNormal6"/>
    <w:tblPr>
      <w:tblStyleRowBandSize w:val="1"/>
      <w:tblStyleColBandSize w:val="1"/>
    </w:tblPr>
  </w:style>
  <w:style w:type="table" w:styleId="ad" w:customStyle="1">
    <w:basedOn w:val="TableNormal6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F3895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F3895"/>
    <w:rPr>
      <w:rFonts w:ascii="Segoe UI" w:cs="Segoe UI" w:hAnsi="Segoe UI"/>
      <w:sz w:val="18"/>
      <w:szCs w:val="18"/>
    </w:r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table" w:styleId="af1" w:customStyle="1">
    <w:basedOn w:val="TableNormal"/>
    <w:tblPr>
      <w:tblStyleRowBandSize w:val="1"/>
      <w:tblStyleColBandSize w:val="1"/>
    </w:tblPr>
  </w:style>
  <w:style w:type="table" w:styleId="af2" w:customStyle="1">
    <w:basedOn w:val="TableNormal"/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</w:tblPr>
  </w:style>
  <w:style w:type="table" w:styleId="af4" w:customStyle="1">
    <w:basedOn w:val="TableNormal"/>
    <w:tblPr>
      <w:tblStyleRowBandSize w:val="1"/>
      <w:tblStyleColBandSize w:val="1"/>
    </w:tblPr>
  </w:style>
  <w:style w:type="table" w:styleId="af5" w:customStyle="1">
    <w:basedOn w:val="TableNormal"/>
    <w:tblPr>
      <w:tblStyleRowBandSize w:val="1"/>
      <w:tblStyleColBandSize w:val="1"/>
    </w:tblPr>
  </w:style>
  <w:style w:type="table" w:styleId="af6" w:customStyle="1">
    <w:basedOn w:val="TableNormal"/>
    <w:tblPr>
      <w:tblStyleRowBandSize w:val="1"/>
      <w:tblStyleColBandSize w:val="1"/>
    </w:tblPr>
  </w:style>
  <w:style w:type="table" w:styleId="af7" w:customStyle="1">
    <w:basedOn w:val="TableNormal"/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</w:tblPr>
  </w:style>
  <w:style w:type="table" w:styleId="af9" w:customStyle="1">
    <w:basedOn w:val="TableNormal"/>
    <w:tblPr>
      <w:tblStyleRowBandSize w:val="1"/>
      <w:tblStyleColBandSize w:val="1"/>
    </w:tblPr>
  </w:style>
  <w:style w:type="table" w:styleId="afa" w:customStyle="1">
    <w:basedOn w:val="TableNormal"/>
    <w:tblPr>
      <w:tblStyleRowBandSize w:val="1"/>
      <w:tblStyleColBandSize w:val="1"/>
    </w:tblPr>
  </w:style>
  <w:style w:type="table" w:styleId="afb" w:customStyle="1">
    <w:basedOn w:val="TableNormal"/>
    <w:tblPr>
      <w:tblStyleRowBandSize w:val="1"/>
      <w:tblStyleColBandSize w:val="1"/>
    </w:tblPr>
  </w:style>
  <w:style w:type="table" w:styleId="afc" w:customStyle="1">
    <w:basedOn w:val="TableNormal"/>
    <w:tblPr>
      <w:tblStyleRowBandSize w:val="1"/>
      <w:tblStyleColBandSize w:val="1"/>
    </w:tblPr>
  </w:style>
  <w:style w:type="table" w:styleId="afd" w:customStyle="1">
    <w:basedOn w:val="TableNormal"/>
    <w:tblPr>
      <w:tblStyleRowBandSize w:val="1"/>
      <w:tblStyleColBandSize w:val="1"/>
    </w:tblPr>
  </w:style>
  <w:style w:type="table" w:styleId="afe" w:customStyle="1">
    <w:basedOn w:val="TableNormal"/>
    <w:tblPr>
      <w:tblStyleRowBandSize w:val="1"/>
      <w:tblStyleColBandSize w:val="1"/>
    </w:tblPr>
  </w:style>
  <w:style w:type="table" w:styleId="aff" w:customStyle="1">
    <w:basedOn w:val="TableNormal"/>
    <w:tblPr>
      <w:tblStyleRowBandSize w:val="1"/>
      <w:tblStyleColBandSize w:val="1"/>
    </w:tblPr>
  </w:style>
  <w:style w:type="table" w:styleId="aff0" w:customStyle="1">
    <w:basedOn w:val="TableNormal"/>
    <w:tblPr>
      <w:tblStyleRowBandSize w:val="1"/>
      <w:tblStyleColBandSize w:val="1"/>
    </w:tblPr>
  </w:style>
  <w:style w:type="table" w:styleId="aff1" w:customStyle="1">
    <w:basedOn w:val="TableNormal"/>
    <w:tblPr>
      <w:tblStyleRowBandSize w:val="1"/>
      <w:tblStyleColBandSize w:val="1"/>
    </w:tblPr>
  </w:style>
  <w:style w:type="table" w:styleId="aff2" w:customStyle="1">
    <w:basedOn w:val="TableNormal"/>
    <w:tblPr>
      <w:tblStyleRowBandSize w:val="1"/>
      <w:tblStyleColBandSize w:val="1"/>
    </w:tblPr>
  </w:style>
  <w:style w:type="table" w:styleId="aff3" w:customStyle="1">
    <w:basedOn w:val="TableNormal"/>
    <w:tblPr>
      <w:tblStyleRowBandSize w:val="1"/>
      <w:tblStyleColBandSize w:val="1"/>
    </w:tblPr>
  </w:style>
  <w:style w:type="table" w:styleId="aff4" w:customStyle="1">
    <w:basedOn w:val="TableNormal"/>
    <w:tblPr>
      <w:tblStyleRowBandSize w:val="1"/>
      <w:tblStyleColBandSize w:val="1"/>
    </w:tblPr>
  </w:style>
  <w:style w:type="table" w:styleId="aff5" w:customStyle="1">
    <w:basedOn w:val="TableNormal"/>
    <w:tblPr>
      <w:tblStyleRowBandSize w:val="1"/>
      <w:tblStyleColBandSize w:val="1"/>
    </w:tblPr>
  </w:style>
  <w:style w:type="table" w:styleId="aff6" w:customStyle="1">
    <w:basedOn w:val="TableNormal"/>
    <w:tblPr>
      <w:tblStyleRowBandSize w:val="1"/>
      <w:tblStyleColBandSize w:val="1"/>
    </w:tblPr>
  </w:style>
  <w:style w:type="table" w:styleId="aff7" w:customStyle="1">
    <w:basedOn w:val="TableNormal"/>
    <w:tblPr>
      <w:tblStyleRowBandSize w:val="1"/>
      <w:tblStyleColBandSize w:val="1"/>
    </w:tblPr>
  </w:style>
  <w:style w:type="table" w:styleId="aff8" w:customStyle="1">
    <w:basedOn w:val="TableNormal"/>
    <w:tblPr>
      <w:tblStyleRowBandSize w:val="1"/>
      <w:tblStyleColBandSize w:val="1"/>
    </w:tblPr>
  </w:style>
  <w:style w:type="table" w:styleId="aff9" w:customStyle="1">
    <w:basedOn w:val="TableNormal"/>
    <w:tblPr>
      <w:tblStyleRowBandSize w:val="1"/>
      <w:tblStyleColBandSize w:val="1"/>
    </w:tblPr>
  </w:style>
  <w:style w:type="table" w:styleId="affa" w:customStyle="1">
    <w:basedOn w:val="TableNormal"/>
    <w:tblPr>
      <w:tblStyleRowBandSize w:val="1"/>
      <w:tblStyleColBandSize w:val="1"/>
    </w:tblPr>
  </w:style>
  <w:style w:type="table" w:styleId="affb" w:customStyle="1">
    <w:basedOn w:val="TableNormal"/>
    <w:tblPr>
      <w:tblStyleRowBandSize w:val="1"/>
      <w:tblStyleColBandSize w:val="1"/>
    </w:tblPr>
  </w:style>
  <w:style w:type="table" w:styleId="affc" w:customStyle="1">
    <w:basedOn w:val="TableNormal"/>
    <w:tblPr>
      <w:tblStyleRowBandSize w:val="1"/>
      <w:tblStyleColBandSize w:val="1"/>
    </w:tblPr>
  </w:style>
  <w:style w:type="table" w:styleId="affd" w:customStyle="1">
    <w:basedOn w:val="TableNormal"/>
    <w:tblPr>
      <w:tblStyleRowBandSize w:val="1"/>
      <w:tblStyleColBandSize w:val="1"/>
    </w:tblPr>
  </w:style>
  <w:style w:type="table" w:styleId="affe" w:customStyle="1">
    <w:basedOn w:val="TableNormal"/>
    <w:tblPr>
      <w:tblStyleRowBandSize w:val="1"/>
      <w:tblStyleColBandSize w:val="1"/>
    </w:tblPr>
  </w:style>
  <w:style w:type="table" w:styleId="afff" w:customStyle="1">
    <w:basedOn w:val="TableNormal"/>
    <w:tblPr>
      <w:tblStyleRowBandSize w:val="1"/>
      <w:tblStyleColBandSize w:val="1"/>
    </w:tblPr>
  </w:style>
  <w:style w:type="table" w:styleId="afff0" w:customStyle="1">
    <w:basedOn w:val="TableNormal"/>
    <w:tblPr>
      <w:tblStyleRowBandSize w:val="1"/>
      <w:tblStyleColBandSize w:val="1"/>
    </w:tblPr>
  </w:style>
  <w:style w:type="table" w:styleId="afff1" w:customStyle="1">
    <w:basedOn w:val="TableNormal"/>
    <w:tblPr>
      <w:tblStyleRowBandSize w:val="1"/>
      <w:tblStyleColBandSize w:val="1"/>
    </w:tblPr>
  </w:style>
  <w:style w:type="table" w:styleId="afff2" w:customStyle="1">
    <w:basedOn w:val="TableNormal"/>
    <w:tblPr>
      <w:tblStyleRowBandSize w:val="1"/>
      <w:tblStyleColBandSize w:val="1"/>
    </w:tblPr>
  </w:style>
  <w:style w:type="table" w:styleId="afff3" w:customStyle="1">
    <w:basedOn w:val="TableNormal"/>
    <w:tblPr>
      <w:tblStyleRowBandSize w:val="1"/>
      <w:tblStyleColBandSize w:val="1"/>
    </w:tblPr>
  </w:style>
  <w:style w:type="table" w:styleId="afff4" w:customStyle="1">
    <w:basedOn w:val="TableNormal"/>
    <w:tblPr>
      <w:tblStyleRowBandSize w:val="1"/>
      <w:tblStyleColBandSize w:val="1"/>
    </w:tblPr>
  </w:style>
  <w:style w:type="table" w:styleId="afff5" w:customStyle="1">
    <w:basedOn w:val="TableNormal"/>
    <w:tblPr>
      <w:tblStyleRowBandSize w:val="1"/>
      <w:tblStyleColBandSize w:val="1"/>
    </w:tblPr>
  </w:style>
  <w:style w:type="table" w:styleId="afff6" w:customStyle="1">
    <w:basedOn w:val="TableNormal"/>
    <w:tblPr>
      <w:tblStyleRowBandSize w:val="1"/>
      <w:tblStyleColBandSize w:val="1"/>
    </w:tblPr>
  </w:style>
  <w:style w:type="table" w:styleId="afff7" w:customStyle="1">
    <w:basedOn w:val="TableNormal"/>
    <w:tblPr>
      <w:tblStyleRowBandSize w:val="1"/>
      <w:tblStyleColBandSize w:val="1"/>
    </w:tblPr>
  </w:style>
  <w:style w:type="table" w:styleId="afff8" w:customStyle="1">
    <w:basedOn w:val="TableNormal"/>
    <w:tblPr>
      <w:tblStyleRowBandSize w:val="1"/>
      <w:tblStyleColBandSize w:val="1"/>
    </w:tblPr>
  </w:style>
  <w:style w:type="table" w:styleId="afff9" w:customStyle="1">
    <w:basedOn w:val="TableNormal"/>
    <w:tblPr>
      <w:tblStyleRowBandSize w:val="1"/>
      <w:tblStyleColBandSize w:val="1"/>
    </w:tblPr>
  </w:style>
  <w:style w:type="table" w:styleId="afffa" w:customStyle="1">
    <w:basedOn w:val="TableNormal"/>
    <w:tblPr>
      <w:tblStyleRowBandSize w:val="1"/>
      <w:tblStyleColBandSize w:val="1"/>
    </w:tblPr>
  </w:style>
  <w:style w:type="table" w:styleId="afffb" w:customStyle="1">
    <w:basedOn w:val="TableNormal"/>
    <w:tblPr>
      <w:tblStyleRowBandSize w:val="1"/>
      <w:tblStyleColBandSize w:val="1"/>
    </w:tblPr>
  </w:style>
  <w:style w:type="table" w:styleId="afffc" w:customStyle="1">
    <w:basedOn w:val="TableNormal"/>
    <w:tblPr>
      <w:tblStyleRowBandSize w:val="1"/>
      <w:tblStyleColBandSize w:val="1"/>
    </w:tblPr>
  </w:style>
  <w:style w:type="table" w:styleId="afffd" w:customStyle="1">
    <w:basedOn w:val="TableNormal"/>
    <w:tblPr>
      <w:tblStyleRowBandSize w:val="1"/>
      <w:tblStyleColBandSize w:val="1"/>
    </w:tblPr>
  </w:style>
  <w:style w:type="table" w:styleId="afffe" w:customStyle="1">
    <w:basedOn w:val="TableNormal"/>
    <w:tblPr>
      <w:tblStyleRowBandSize w:val="1"/>
      <w:tblStyleColBandSize w:val="1"/>
    </w:tblPr>
  </w:style>
  <w:style w:type="table" w:styleId="affff" w:customStyle="1">
    <w:basedOn w:val="TableNormal"/>
    <w:tblPr>
      <w:tblStyleRowBandSize w:val="1"/>
      <w:tblStyleColBandSize w:val="1"/>
    </w:tblPr>
  </w:style>
  <w:style w:type="table" w:styleId="affff0" w:customStyle="1">
    <w:basedOn w:val="TableNormal"/>
    <w:tblPr>
      <w:tblStyleRowBandSize w:val="1"/>
      <w:tblStyleColBandSize w:val="1"/>
    </w:tblPr>
  </w:style>
  <w:style w:type="table" w:styleId="affff1" w:customStyle="1">
    <w:basedOn w:val="TableNormal"/>
    <w:tblPr>
      <w:tblStyleRowBandSize w:val="1"/>
      <w:tblStyleColBandSize w:val="1"/>
    </w:tblPr>
  </w:style>
  <w:style w:type="table" w:styleId="affff2" w:customStyle="1">
    <w:basedOn w:val="TableNormal"/>
    <w:tblPr>
      <w:tblStyleRowBandSize w:val="1"/>
      <w:tblStyleColBandSize w:val="1"/>
    </w:tblPr>
  </w:style>
  <w:style w:type="table" w:styleId="affff3" w:customStyle="1">
    <w:basedOn w:val="TableNormal"/>
    <w:tblPr>
      <w:tblStyleRowBandSize w:val="1"/>
      <w:tblStyleColBandSize w:val="1"/>
    </w:tblPr>
  </w:style>
  <w:style w:type="table" w:styleId="affff4" w:customStyle="1">
    <w:basedOn w:val="TableNormal"/>
    <w:tblPr>
      <w:tblStyleRowBandSize w:val="1"/>
      <w:tblStyleColBandSize w:val="1"/>
    </w:tblPr>
  </w:style>
  <w:style w:type="table" w:styleId="affff5" w:customStyle="1">
    <w:basedOn w:val="TableNormal"/>
    <w:tblPr>
      <w:tblStyleRowBandSize w:val="1"/>
      <w:tblStyleColBandSize w:val="1"/>
    </w:tblPr>
  </w:style>
  <w:style w:type="table" w:styleId="affff6" w:customStyle="1">
    <w:basedOn w:val="TableNormal"/>
    <w:tblPr>
      <w:tblStyleRowBandSize w:val="1"/>
      <w:tblStyleColBandSize w:val="1"/>
    </w:tblPr>
  </w:style>
  <w:style w:type="table" w:styleId="affff7" w:customStyle="1">
    <w:basedOn w:val="TableNormal"/>
    <w:tblPr>
      <w:tblStyleRowBandSize w:val="1"/>
      <w:tblStyleColBandSize w:val="1"/>
    </w:tblPr>
  </w:style>
  <w:style w:type="table" w:styleId="affff8" w:customStyle="1">
    <w:basedOn w:val="TableNormal"/>
    <w:tblPr>
      <w:tblStyleRowBandSize w:val="1"/>
      <w:tblStyleColBandSize w:val="1"/>
    </w:tblPr>
  </w:style>
  <w:style w:type="table" w:styleId="affff9" w:customStyle="1">
    <w:basedOn w:val="TableNormal"/>
    <w:tblPr>
      <w:tblStyleRowBandSize w:val="1"/>
      <w:tblStyleColBandSize w:val="1"/>
    </w:tblPr>
  </w:style>
  <w:style w:type="table" w:styleId="affffa" w:customStyle="1">
    <w:basedOn w:val="TableNormal"/>
    <w:tblPr>
      <w:tblStyleRowBandSize w:val="1"/>
      <w:tblStyleColBandSize w:val="1"/>
    </w:tblPr>
  </w:style>
  <w:style w:type="table" w:styleId="affffb" w:customStyle="1">
    <w:basedOn w:val="TableNormal"/>
    <w:tblPr>
      <w:tblStyleRowBandSize w:val="1"/>
      <w:tblStyleColBandSize w:val="1"/>
    </w:tblPr>
  </w:style>
  <w:style w:type="table" w:styleId="affffc" w:customStyle="1">
    <w:basedOn w:val="TableNormal"/>
    <w:tblPr>
      <w:tblStyleRowBandSize w:val="1"/>
      <w:tblStyleColBandSize w:val="1"/>
    </w:tblPr>
  </w:style>
  <w:style w:type="table" w:styleId="affffd" w:customStyle="1">
    <w:basedOn w:val="TableNormal"/>
    <w:tblPr>
      <w:tblStyleRowBandSize w:val="1"/>
      <w:tblStyleColBandSize w:val="1"/>
    </w:tblPr>
  </w:style>
  <w:style w:type="table" w:styleId="affffe" w:customStyle="1">
    <w:basedOn w:val="TableNormal"/>
    <w:tblPr>
      <w:tblStyleRowBandSize w:val="1"/>
      <w:tblStyleColBandSize w:val="1"/>
    </w:tblPr>
  </w:style>
  <w:style w:type="table" w:styleId="afffff" w:customStyle="1">
    <w:basedOn w:val="TableNormal"/>
    <w:tblPr>
      <w:tblStyleRowBandSize w:val="1"/>
      <w:tblStyleColBandSize w:val="1"/>
    </w:tblPr>
  </w:style>
  <w:style w:type="table" w:styleId="afffff0" w:customStyle="1">
    <w:basedOn w:val="TableNormal"/>
    <w:tblPr>
      <w:tblStyleRowBandSize w:val="1"/>
      <w:tblStyleColBandSize w:val="1"/>
    </w:tblPr>
  </w:style>
  <w:style w:type="table" w:styleId="afffff1" w:customStyle="1">
    <w:basedOn w:val="TableNormal"/>
    <w:tblPr>
      <w:tblStyleRowBandSize w:val="1"/>
      <w:tblStyleColBandSize w:val="1"/>
    </w:tblPr>
  </w:style>
  <w:style w:type="table" w:styleId="afffff2" w:customStyle="1">
    <w:basedOn w:val="TableNormal"/>
    <w:tblPr>
      <w:tblStyleRowBandSize w:val="1"/>
      <w:tblStyleColBandSize w:val="1"/>
    </w:tblPr>
  </w:style>
  <w:style w:type="table" w:styleId="afffff3" w:customStyle="1">
    <w:basedOn w:val="TableNormal"/>
    <w:tblPr>
      <w:tblStyleRowBandSize w:val="1"/>
      <w:tblStyleColBandSize w:val="1"/>
    </w:tblPr>
  </w:style>
  <w:style w:type="table" w:styleId="afffff4" w:customStyle="1">
    <w:basedOn w:val="TableNormal"/>
    <w:tblPr>
      <w:tblStyleRowBandSize w:val="1"/>
      <w:tblStyleColBandSize w:val="1"/>
    </w:tblPr>
  </w:style>
  <w:style w:type="table" w:styleId="afffff5" w:customStyle="1">
    <w:basedOn w:val="TableNormal"/>
    <w:tblPr>
      <w:tblStyleRowBandSize w:val="1"/>
      <w:tblStyleColBandSize w:val="1"/>
    </w:tblPr>
  </w:style>
  <w:style w:type="table" w:styleId="afffff6" w:customStyle="1">
    <w:basedOn w:val="TableNormal"/>
    <w:tblPr>
      <w:tblStyleRowBandSize w:val="1"/>
      <w:tblStyleColBandSize w:val="1"/>
    </w:tblPr>
  </w:style>
  <w:style w:type="table" w:styleId="afffff7" w:customStyle="1">
    <w:basedOn w:val="TableNormal"/>
    <w:tblPr>
      <w:tblStyleRowBandSize w:val="1"/>
      <w:tblStyleColBandSize w:val="1"/>
    </w:tblPr>
  </w:style>
  <w:style w:type="table" w:styleId="afffff8" w:customStyle="1">
    <w:basedOn w:val="TableNormal"/>
    <w:tblPr>
      <w:tblStyleRowBandSize w:val="1"/>
      <w:tblStyleColBandSize w:val="1"/>
    </w:tblPr>
  </w:style>
  <w:style w:type="table" w:styleId="afffff9" w:customStyle="1">
    <w:basedOn w:val="TableNormal"/>
    <w:tblPr>
      <w:tblStyleRowBandSize w:val="1"/>
      <w:tblStyleColBandSize w:val="1"/>
    </w:tblPr>
  </w:style>
  <w:style w:type="table" w:styleId="afffffa" w:customStyle="1">
    <w:basedOn w:val="TableNormal"/>
    <w:tblPr>
      <w:tblStyleRowBandSize w:val="1"/>
      <w:tblStyleColBandSize w:val="1"/>
    </w:tblPr>
  </w:style>
  <w:style w:type="table" w:styleId="afffffb" w:customStyle="1">
    <w:basedOn w:val="TableNormal"/>
    <w:tblPr>
      <w:tblStyleRowBandSize w:val="1"/>
      <w:tblStyleColBandSize w:val="1"/>
    </w:tblPr>
  </w:style>
  <w:style w:type="table" w:styleId="afffffc" w:customStyle="1">
    <w:basedOn w:val="TableNormal"/>
    <w:tblPr>
      <w:tblStyleRowBandSize w:val="1"/>
      <w:tblStyleColBandSize w:val="1"/>
    </w:tblPr>
  </w:style>
  <w:style w:type="table" w:styleId="afffffd" w:customStyle="1">
    <w:basedOn w:val="TableNormal"/>
    <w:tblPr>
      <w:tblStyleRowBandSize w:val="1"/>
      <w:tblStyleColBandSize w:val="1"/>
    </w:tblPr>
  </w:style>
  <w:style w:type="table" w:styleId="afffffe" w:customStyle="1">
    <w:basedOn w:val="TableNormal"/>
    <w:tblPr>
      <w:tblStyleRowBandSize w:val="1"/>
      <w:tblStyleColBandSize w:val="1"/>
    </w:tblPr>
  </w:style>
  <w:style w:type="table" w:styleId="affffff" w:customStyle="1">
    <w:basedOn w:val="TableNormal"/>
    <w:tblPr>
      <w:tblStyleRowBandSize w:val="1"/>
      <w:tblStyleColBandSize w:val="1"/>
    </w:tblPr>
  </w:style>
  <w:style w:type="table" w:styleId="affffff0" w:customStyle="1">
    <w:basedOn w:val="TableNormal"/>
    <w:tblPr>
      <w:tblStyleRowBandSize w:val="1"/>
      <w:tblStyleColBandSize w:val="1"/>
    </w:tblPr>
  </w:style>
  <w:style w:type="table" w:styleId="affffff1" w:customStyle="1">
    <w:basedOn w:val="TableNormal"/>
    <w:tblPr>
      <w:tblStyleRowBandSize w:val="1"/>
      <w:tblStyleColBandSize w:val="1"/>
    </w:tblPr>
  </w:style>
  <w:style w:type="table" w:styleId="affffff2" w:customStyle="1">
    <w:basedOn w:val="TableNormal"/>
    <w:tblPr>
      <w:tblStyleRowBandSize w:val="1"/>
      <w:tblStyleColBandSize w:val="1"/>
    </w:tblPr>
  </w:style>
  <w:style w:type="table" w:styleId="affffff3" w:customStyle="1">
    <w:basedOn w:val="TableNormal"/>
    <w:tblPr>
      <w:tblStyleRowBandSize w:val="1"/>
      <w:tblStyleColBandSize w:val="1"/>
    </w:tblPr>
  </w:style>
  <w:style w:type="table" w:styleId="affffff4" w:customStyle="1">
    <w:basedOn w:val="TableNormal"/>
    <w:tblPr>
      <w:tblStyleRowBandSize w:val="1"/>
      <w:tblStyleColBandSize w:val="1"/>
    </w:tblPr>
  </w:style>
  <w:style w:type="table" w:styleId="affffff5" w:customStyle="1">
    <w:basedOn w:val="TableNormal"/>
    <w:tblPr>
      <w:tblStyleRowBandSize w:val="1"/>
      <w:tblStyleColBandSize w:val="1"/>
    </w:tblPr>
  </w:style>
  <w:style w:type="table" w:styleId="affffff6" w:customStyle="1">
    <w:basedOn w:val="TableNormal"/>
    <w:tblPr>
      <w:tblStyleRowBandSize w:val="1"/>
      <w:tblStyleColBandSize w:val="1"/>
    </w:tblPr>
  </w:style>
  <w:style w:type="table" w:styleId="affffff7" w:customStyle="1">
    <w:basedOn w:val="TableNormal"/>
    <w:tblPr>
      <w:tblStyleRowBandSize w:val="1"/>
      <w:tblStyleColBandSize w:val="1"/>
    </w:tblPr>
  </w:style>
  <w:style w:type="table" w:styleId="affffff8" w:customStyle="1">
    <w:basedOn w:val="TableNormal"/>
    <w:tblPr>
      <w:tblStyleRowBandSize w:val="1"/>
      <w:tblStyleColBandSize w:val="1"/>
    </w:tblPr>
  </w:style>
  <w:style w:type="table" w:styleId="affffff9" w:customStyle="1">
    <w:basedOn w:val="TableNormal"/>
    <w:tblPr>
      <w:tblStyleRowBandSize w:val="1"/>
      <w:tblStyleColBandSize w:val="1"/>
    </w:tblPr>
  </w:style>
  <w:style w:type="table" w:styleId="affffffa" w:customStyle="1">
    <w:basedOn w:val="TableNormal"/>
    <w:tblPr>
      <w:tblStyleRowBandSize w:val="1"/>
      <w:tblStyleColBandSize w:val="1"/>
    </w:tblPr>
  </w:style>
  <w:style w:type="table" w:styleId="affffffb" w:customStyle="1">
    <w:basedOn w:val="TableNormal"/>
    <w:tblPr>
      <w:tblStyleRowBandSize w:val="1"/>
      <w:tblStyleColBandSize w:val="1"/>
    </w:tblPr>
  </w:style>
  <w:style w:type="table" w:styleId="affffffc" w:customStyle="1">
    <w:basedOn w:val="TableNormal"/>
    <w:tblPr>
      <w:tblStyleRowBandSize w:val="1"/>
      <w:tblStyleColBandSize w:val="1"/>
    </w:tblPr>
  </w:style>
  <w:style w:type="table" w:styleId="affffffd" w:customStyle="1">
    <w:basedOn w:val="TableNormal"/>
    <w:tblPr>
      <w:tblStyleRowBandSize w:val="1"/>
      <w:tblStyleColBandSize w:val="1"/>
    </w:tblPr>
  </w:style>
  <w:style w:type="table" w:styleId="affffffe" w:customStyle="1">
    <w:basedOn w:val="TableNormal"/>
    <w:tblPr>
      <w:tblStyleRowBandSize w:val="1"/>
      <w:tblStyleColBandSize w:val="1"/>
    </w:tblPr>
  </w:style>
  <w:style w:type="table" w:styleId="afffffff" w:customStyle="1">
    <w:basedOn w:val="TableNormal"/>
    <w:tblPr>
      <w:tblStyleRowBandSize w:val="1"/>
      <w:tblStyleColBandSize w:val="1"/>
    </w:tblPr>
  </w:style>
  <w:style w:type="table" w:styleId="afffffff0" w:customStyle="1">
    <w:basedOn w:val="TableNormal"/>
    <w:tblPr>
      <w:tblStyleRowBandSize w:val="1"/>
      <w:tblStyleColBandSize w:val="1"/>
    </w:tblPr>
  </w:style>
  <w:style w:type="table" w:styleId="afffffff1" w:customStyle="1">
    <w:basedOn w:val="TableNormal"/>
    <w:tblPr>
      <w:tblStyleRowBandSize w:val="1"/>
      <w:tblStyleColBandSize w:val="1"/>
    </w:tblPr>
  </w:style>
  <w:style w:type="table" w:styleId="afffffff2" w:customStyle="1">
    <w:basedOn w:val="TableNormal"/>
    <w:tblPr>
      <w:tblStyleRowBandSize w:val="1"/>
      <w:tblStyleColBandSize w:val="1"/>
    </w:tblPr>
  </w:style>
  <w:style w:type="table" w:styleId="afffffff3" w:customStyle="1">
    <w:basedOn w:val="TableNormal"/>
    <w:tblPr>
      <w:tblStyleRowBandSize w:val="1"/>
      <w:tblStyleColBandSize w:val="1"/>
    </w:tblPr>
  </w:style>
  <w:style w:type="table" w:styleId="afffffff4" w:customStyle="1">
    <w:basedOn w:val="TableNormal"/>
    <w:tblPr>
      <w:tblStyleRowBandSize w:val="1"/>
      <w:tblStyleColBandSize w:val="1"/>
    </w:tblPr>
  </w:style>
  <w:style w:type="table" w:styleId="afffffff5" w:customStyle="1">
    <w:basedOn w:val="TableNormal"/>
    <w:tblPr>
      <w:tblStyleRowBandSize w:val="1"/>
      <w:tblStyleColBandSize w:val="1"/>
    </w:tblPr>
  </w:style>
  <w:style w:type="table" w:styleId="afffffff6" w:customStyle="1">
    <w:basedOn w:val="TableNormal"/>
    <w:tblPr>
      <w:tblStyleRowBandSize w:val="1"/>
      <w:tblStyleColBandSize w:val="1"/>
    </w:tblPr>
  </w:style>
  <w:style w:type="table" w:styleId="afffffff7" w:customStyle="1">
    <w:basedOn w:val="TableNormal"/>
    <w:tblPr>
      <w:tblStyleRowBandSize w:val="1"/>
      <w:tblStyleColBandSize w:val="1"/>
    </w:tblPr>
  </w:style>
  <w:style w:type="table" w:styleId="afffffff8" w:customStyle="1">
    <w:basedOn w:val="TableNormal"/>
    <w:tblPr>
      <w:tblStyleRowBandSize w:val="1"/>
      <w:tblStyleColBandSize w:val="1"/>
    </w:tblPr>
  </w:style>
  <w:style w:type="table" w:styleId="afffffff9" w:customStyle="1">
    <w:basedOn w:val="TableNormal"/>
    <w:tblPr>
      <w:tblStyleRowBandSize w:val="1"/>
      <w:tblStyleColBandSize w:val="1"/>
    </w:tblPr>
  </w:style>
  <w:style w:type="table" w:styleId="afffffffa" w:customStyle="1">
    <w:basedOn w:val="TableNormal"/>
    <w:tblPr>
      <w:tblStyleRowBandSize w:val="1"/>
      <w:tblStyleColBandSize w:val="1"/>
    </w:tblPr>
  </w:style>
  <w:style w:type="table" w:styleId="afffffffb" w:customStyle="1">
    <w:basedOn w:val="TableNormal"/>
    <w:tblPr>
      <w:tblStyleRowBandSize w:val="1"/>
      <w:tblStyleColBandSize w:val="1"/>
    </w:tblPr>
  </w:style>
  <w:style w:type="table" w:styleId="afffffffc" w:customStyle="1">
    <w:basedOn w:val="TableNormal"/>
    <w:tblPr>
      <w:tblStyleRowBandSize w:val="1"/>
      <w:tblStyleColBandSize w:val="1"/>
    </w:tblPr>
  </w:style>
  <w:style w:type="table" w:styleId="afffffffd" w:customStyle="1">
    <w:basedOn w:val="TableNormal"/>
    <w:tblPr>
      <w:tblStyleRowBandSize w:val="1"/>
      <w:tblStyleColBandSize w:val="1"/>
    </w:tblPr>
  </w:style>
  <w:style w:type="table" w:styleId="afffffffe" w:customStyle="1">
    <w:basedOn w:val="TableNormal"/>
    <w:tblPr>
      <w:tblStyleRowBandSize w:val="1"/>
      <w:tblStyleColBandSize w:val="1"/>
    </w:tblPr>
  </w:style>
  <w:style w:type="table" w:styleId="affffffff" w:customStyle="1">
    <w:basedOn w:val="TableNormal"/>
    <w:tblPr>
      <w:tblStyleRowBandSize w:val="1"/>
      <w:tblStyleColBandSize w:val="1"/>
    </w:tblPr>
  </w:style>
  <w:style w:type="table" w:styleId="affffffff0" w:customStyle="1">
    <w:basedOn w:val="TableNormal"/>
    <w:tblPr>
      <w:tblStyleRowBandSize w:val="1"/>
      <w:tblStyleColBandSize w:val="1"/>
    </w:tblPr>
  </w:style>
  <w:style w:type="table" w:styleId="affffffff1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PM0Yw1bXCD9G33wzSDcgirpnGQ==">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2026-09-30T15:16:00Z</dcterms:created>
  <dc:creator>Anna</dc:creator>
</cp:coreProperties>
</file>