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color w:val="0E253F"/>
          <w:sz w:val="48"/>
        </w:rPr>
        <w:t>LIMITRA AFFILIATE PROGRAM POLICY</w:t>
      </w:r>
    </w:p>
    <w:p>
      <w:pPr>
        <w:spacing w:before="0" w:after="160" w:line="276" w:lineRule="auto"/>
        <w:jc w:val="center"/>
      </w:pPr>
      <w:r>
        <w:rPr>
          <w:color w:val="5A5A5A"/>
          <w:sz w:val="23"/>
        </w:rPr>
        <w:t>Rolling 30-Day Commission Structure, Rules, and Operating Guidelines</w:t>
      </w:r>
    </w:p>
    <w:p>
      <w:pPr>
        <w:spacing w:before="0" w:after="200" w:line="276" w:lineRule="auto"/>
        <w:jc w:val="center"/>
        <w:pBdr>
          <w:bottom w:val="single" w:sz="12" w:space="1" w:color="C29123"/>
        </w:pBdr>
      </w:pPr>
      <w:r/>
    </w:p>
    <w:tbl>
      <w:tblPr>
        <w:tblW w:type="auto" w:w="0"/>
        <w:jc w:val="center"/>
        <w:tblLayout w:type="autofit"/>
        <w:tblLook w:firstColumn="1" w:firstRow="1" w:lastColumn="0" w:lastRow="0" w:noHBand="0" w:noVBand="1" w:val="04A0"/>
      </w:tblPr>
      <w:tblGrid>
        <w:gridCol w:w="9936"/>
      </w:tblGrid>
      <w:tr>
        <w:tc>
          <w:tcPr>
            <w:tcW w:type="dxa" w:w="9936"/>
            <w:shd w:fill="F6F8FB"/>
            <w:tcMar>
              <w:top w:w="120" w:type="dxa"/>
              <w:start w:w="140" w:type="dxa"/>
              <w:bottom w:w="120" w:type="dxa"/>
              <w:end w:w="140" w:type="dxa"/>
            </w:tcMar>
            <w:vAlign w:val="center"/>
          </w:tcPr>
          <w:p>
            <w:pPr>
              <w:spacing w:before="0" w:after="0" w:line="276" w:lineRule="auto"/>
            </w:pPr>
            <w:r>
              <w:rPr>
                <w:color w:val="282828"/>
                <w:sz w:val="21"/>
              </w:rPr>
              <w:t>This policy sets out the commission structure for Limitra affiliates. Commission tiers are measured on a rolling 30-day period and are based on valid delivered orders only. Affiliates begin earning from their first valid delivered sale, but higher commission levels require sustained performance.</w:t>
            </w:r>
          </w:p>
        </w:tc>
      </w:tr>
    </w:tbl>
    <w:p/>
    <w:p>
      <w:pPr>
        <w:pStyle w:val="Heading1"/>
        <w:spacing w:before="80" w:after="120" w:line="276" w:lineRule="auto"/>
      </w:pPr>
      <w:r>
        <w:t>1. Commission Structure</w:t>
      </w:r>
    </w:p>
    <w:p>
      <w:pPr>
        <w:spacing w:before="0" w:after="160" w:line="276" w:lineRule="auto"/>
      </w:pPr>
      <w:r>
        <w:rPr>
          <w:sz w:val="21"/>
        </w:rPr>
        <w:t>Affiliates earn commission based on the number of valid delivered orders completed within the most recent 30 days.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fill="0E253F"/>
            <w:tcMar>
              <w:top w:w="100" w:type="dxa"/>
              <w:start w:w="110" w:type="dxa"/>
              <w:bottom w:w="100" w:type="dxa"/>
              <w:end w:w="110" w:type="dxa"/>
            </w:tcMar>
            <w:vAlign w:val="center"/>
          </w:tcPr>
          <w:p>
            <w:pPr>
              <w:jc w:val="center"/>
            </w:pPr>
            <w:r>
              <w:rPr>
                <w:b/>
                <w:color w:val="FFFFFF"/>
                <w:sz w:val="20"/>
              </w:rPr>
              <w:t>Rank Name</w:t>
            </w:r>
          </w:p>
        </w:tc>
        <w:tc>
          <w:tcPr>
            <w:tcW w:type="dxa" w:w="1656"/>
            <w:shd w:fill="0E253F"/>
            <w:tcMar>
              <w:top w:w="100" w:type="dxa"/>
              <w:start w:w="110" w:type="dxa"/>
              <w:bottom w:w="100" w:type="dxa"/>
              <w:end w:w="110" w:type="dxa"/>
            </w:tcMar>
            <w:vAlign w:val="center"/>
          </w:tcPr>
          <w:p>
            <w:pPr>
              <w:jc w:val="center"/>
            </w:pPr>
            <w:r>
              <w:rPr>
                <w:b/>
                <w:color w:val="FFFFFF"/>
                <w:sz w:val="20"/>
              </w:rPr>
              <w:t>Commission Rate</w:t>
            </w:r>
          </w:p>
        </w:tc>
        <w:tc>
          <w:tcPr>
            <w:tcW w:type="dxa" w:w="2736"/>
            <w:shd w:fill="0E253F"/>
            <w:tcMar>
              <w:top w:w="100" w:type="dxa"/>
              <w:start w:w="110" w:type="dxa"/>
              <w:bottom w:w="100" w:type="dxa"/>
              <w:end w:w="110" w:type="dxa"/>
            </w:tcMar>
            <w:vAlign w:val="center"/>
          </w:tcPr>
          <w:p>
            <w:pPr>
              <w:jc w:val="center"/>
            </w:pPr>
            <w:r>
              <w:rPr>
                <w:b/>
                <w:color w:val="FFFFFF"/>
                <w:sz w:val="20"/>
              </w:rPr>
              <w:t>Delivered Orders in 30 Days</w:t>
            </w:r>
          </w:p>
        </w:tc>
        <w:tc>
          <w:tcPr>
            <w:tcW w:type="dxa" w:w="3816"/>
            <w:shd w:fill="0E253F"/>
            <w:tcMar>
              <w:top w:w="100" w:type="dxa"/>
              <w:start w:w="110" w:type="dxa"/>
              <w:bottom w:w="100" w:type="dxa"/>
              <w:end w:w="110" w:type="dxa"/>
            </w:tcMar>
            <w:vAlign w:val="center"/>
          </w:tcPr>
          <w:p>
            <w:pPr>
              <w:jc w:val="center"/>
            </w:pPr>
            <w:r>
              <w:rPr>
                <w:b/>
                <w:color w:val="FFFFFF"/>
                <w:sz w:val="20"/>
              </w:rPr>
              <w:t>Summary</w:t>
            </w:r>
          </w:p>
        </w:tc>
      </w:tr>
      <w:tr>
        <w:tc>
          <w:tcPr>
            <w:tcW w:type="dxa" w:w="2448"/>
            <w:tcMar>
              <w:top w:w="95" w:type="dxa"/>
              <w:start w:w="105" w:type="dxa"/>
              <w:bottom w:w="95" w:type="dxa"/>
              <w:end w:w="105" w:type="dxa"/>
            </w:tcMar>
            <w:vAlign w:val="center"/>
            <w:shd w:fill="F7F9FC"/>
          </w:tcPr>
          <w:p>
            <w:pPr>
              <w:jc w:val="left"/>
            </w:pPr>
            <w:r>
              <w:rPr>
                <w:color w:val="282828"/>
                <w:sz w:val="20"/>
              </w:rPr>
              <w:t>Starter Affiliate</w:t>
            </w:r>
          </w:p>
        </w:tc>
        <w:tc>
          <w:tcPr>
            <w:tcW w:type="dxa" w:w="1656"/>
            <w:tcMar>
              <w:top w:w="95" w:type="dxa"/>
              <w:start w:w="105" w:type="dxa"/>
              <w:bottom w:w="95" w:type="dxa"/>
              <w:end w:w="105" w:type="dxa"/>
            </w:tcMar>
            <w:vAlign w:val="center"/>
            <w:shd w:fill="F7F9FC"/>
          </w:tcPr>
          <w:p>
            <w:pPr>
              <w:jc w:val="center"/>
            </w:pPr>
            <w:r>
              <w:rPr>
                <w:color w:val="282828"/>
                <w:sz w:val="20"/>
              </w:rPr>
              <w:t>5%</w:t>
            </w:r>
          </w:p>
        </w:tc>
        <w:tc>
          <w:tcPr>
            <w:tcW w:type="dxa" w:w="2736"/>
            <w:tcMar>
              <w:top w:w="95" w:type="dxa"/>
              <w:start w:w="105" w:type="dxa"/>
              <w:bottom w:w="95" w:type="dxa"/>
              <w:end w:w="105" w:type="dxa"/>
            </w:tcMar>
            <w:vAlign w:val="center"/>
            <w:shd w:fill="F7F9FC"/>
          </w:tcPr>
          <w:p>
            <w:pPr>
              <w:jc w:val="center"/>
            </w:pPr>
            <w:r>
              <w:rPr>
                <w:color w:val="282828"/>
                <w:sz w:val="20"/>
              </w:rPr>
              <w:t>1–20 orders</w:t>
            </w:r>
          </w:p>
        </w:tc>
        <w:tc>
          <w:tcPr>
            <w:tcW w:type="dxa" w:w="3816"/>
            <w:tcMar>
              <w:top w:w="95" w:type="dxa"/>
              <w:start w:w="105" w:type="dxa"/>
              <w:bottom w:w="95" w:type="dxa"/>
              <w:end w:w="105" w:type="dxa"/>
            </w:tcMar>
            <w:vAlign w:val="center"/>
            <w:shd w:fill="F7F9FC"/>
          </w:tcPr>
          <w:p>
            <w:pPr>
              <w:jc w:val="left"/>
            </w:pPr>
            <w:r>
              <w:rPr>
                <w:color w:val="282828"/>
                <w:sz w:val="20"/>
              </w:rPr>
              <w:t>Base earning level. A valid first sale qualifies.</w:t>
            </w:r>
          </w:p>
        </w:tc>
      </w:tr>
      <w:tr>
        <w:tc>
          <w:tcPr>
            <w:tcW w:type="dxa" w:w="2448"/>
            <w:tcMar>
              <w:top w:w="95" w:type="dxa"/>
              <w:start w:w="105" w:type="dxa"/>
              <w:bottom w:w="95" w:type="dxa"/>
              <w:end w:w="105" w:type="dxa"/>
            </w:tcMar>
            <w:vAlign w:val="center"/>
            <w:shd w:fill="FFFFFF"/>
          </w:tcPr>
          <w:p>
            <w:pPr>
              <w:jc w:val="left"/>
            </w:pPr>
            <w:r>
              <w:rPr>
                <w:color w:val="282828"/>
                <w:sz w:val="20"/>
              </w:rPr>
              <w:t>Builder Affiliate</w:t>
            </w:r>
          </w:p>
        </w:tc>
        <w:tc>
          <w:tcPr>
            <w:tcW w:type="dxa" w:w="1656"/>
            <w:tcMar>
              <w:top w:w="95" w:type="dxa"/>
              <w:start w:w="105" w:type="dxa"/>
              <w:bottom w:w="95" w:type="dxa"/>
              <w:end w:w="105" w:type="dxa"/>
            </w:tcMar>
            <w:vAlign w:val="center"/>
            <w:shd w:fill="FFFFFF"/>
          </w:tcPr>
          <w:p>
            <w:pPr>
              <w:jc w:val="center"/>
            </w:pPr>
            <w:r>
              <w:rPr>
                <w:color w:val="282828"/>
                <w:sz w:val="20"/>
              </w:rPr>
              <w:t>7%</w:t>
            </w:r>
          </w:p>
        </w:tc>
        <w:tc>
          <w:tcPr>
            <w:tcW w:type="dxa" w:w="2736"/>
            <w:tcMar>
              <w:top w:w="95" w:type="dxa"/>
              <w:start w:w="105" w:type="dxa"/>
              <w:bottom w:w="95" w:type="dxa"/>
              <w:end w:w="105" w:type="dxa"/>
            </w:tcMar>
            <w:vAlign w:val="center"/>
            <w:shd w:fill="FFFFFF"/>
          </w:tcPr>
          <w:p>
            <w:pPr>
              <w:jc w:val="center"/>
            </w:pPr>
            <w:r>
              <w:rPr>
                <w:color w:val="282828"/>
                <w:sz w:val="20"/>
              </w:rPr>
              <w:t>21–60 orders</w:t>
            </w:r>
          </w:p>
        </w:tc>
        <w:tc>
          <w:tcPr>
            <w:tcW w:type="dxa" w:w="3816"/>
            <w:tcMar>
              <w:top w:w="95" w:type="dxa"/>
              <w:start w:w="105" w:type="dxa"/>
              <w:bottom w:w="95" w:type="dxa"/>
              <w:end w:w="105" w:type="dxa"/>
            </w:tcMar>
            <w:vAlign w:val="center"/>
            <w:shd w:fill="FFFFFF"/>
          </w:tcPr>
          <w:p>
            <w:pPr>
              <w:jc w:val="left"/>
            </w:pPr>
            <w:r>
              <w:rPr>
                <w:color w:val="282828"/>
                <w:sz w:val="20"/>
              </w:rPr>
              <w:t>For affiliates showing active, consistent selling.</w:t>
            </w:r>
          </w:p>
        </w:tc>
      </w:tr>
      <w:tr>
        <w:tc>
          <w:tcPr>
            <w:tcW w:type="dxa" w:w="2448"/>
            <w:tcMar>
              <w:top w:w="95" w:type="dxa"/>
              <w:start w:w="105" w:type="dxa"/>
              <w:bottom w:w="95" w:type="dxa"/>
              <w:end w:w="105" w:type="dxa"/>
            </w:tcMar>
            <w:vAlign w:val="center"/>
            <w:shd w:fill="F7F9FC"/>
          </w:tcPr>
          <w:p>
            <w:pPr>
              <w:jc w:val="left"/>
            </w:pPr>
            <w:r>
              <w:rPr>
                <w:color w:val="282828"/>
                <w:sz w:val="20"/>
              </w:rPr>
              <w:t>Growth Affiliate</w:t>
            </w:r>
          </w:p>
        </w:tc>
        <w:tc>
          <w:tcPr>
            <w:tcW w:type="dxa" w:w="1656"/>
            <w:tcMar>
              <w:top w:w="95" w:type="dxa"/>
              <w:start w:w="105" w:type="dxa"/>
              <w:bottom w:w="95" w:type="dxa"/>
              <w:end w:w="105" w:type="dxa"/>
            </w:tcMar>
            <w:vAlign w:val="center"/>
            <w:shd w:fill="F7F9FC"/>
          </w:tcPr>
          <w:p>
            <w:pPr>
              <w:jc w:val="center"/>
            </w:pPr>
            <w:r>
              <w:rPr>
                <w:color w:val="282828"/>
                <w:sz w:val="20"/>
              </w:rPr>
              <w:t>10%</w:t>
            </w:r>
          </w:p>
        </w:tc>
        <w:tc>
          <w:tcPr>
            <w:tcW w:type="dxa" w:w="2736"/>
            <w:tcMar>
              <w:top w:w="95" w:type="dxa"/>
              <w:start w:w="105" w:type="dxa"/>
              <w:bottom w:w="95" w:type="dxa"/>
              <w:end w:w="105" w:type="dxa"/>
            </w:tcMar>
            <w:vAlign w:val="center"/>
            <w:shd w:fill="F7F9FC"/>
          </w:tcPr>
          <w:p>
            <w:pPr>
              <w:jc w:val="center"/>
            </w:pPr>
            <w:r>
              <w:rPr>
                <w:color w:val="282828"/>
                <w:sz w:val="20"/>
              </w:rPr>
              <w:t>61–120 orders</w:t>
            </w:r>
          </w:p>
        </w:tc>
        <w:tc>
          <w:tcPr>
            <w:tcW w:type="dxa" w:w="3816"/>
            <w:tcMar>
              <w:top w:w="95" w:type="dxa"/>
              <w:start w:w="105" w:type="dxa"/>
              <w:bottom w:w="95" w:type="dxa"/>
              <w:end w:w="105" w:type="dxa"/>
            </w:tcMar>
            <w:vAlign w:val="center"/>
            <w:shd w:fill="F7F9FC"/>
          </w:tcPr>
          <w:p>
            <w:pPr>
              <w:jc w:val="left"/>
            </w:pPr>
            <w:r>
              <w:rPr>
                <w:color w:val="282828"/>
                <w:sz w:val="20"/>
              </w:rPr>
              <w:t>High-performance level with strong 30-day output.</w:t>
            </w:r>
          </w:p>
        </w:tc>
      </w:tr>
      <w:tr>
        <w:tc>
          <w:tcPr>
            <w:tcW w:type="dxa" w:w="2448"/>
            <w:tcMar>
              <w:top w:w="95" w:type="dxa"/>
              <w:start w:w="105" w:type="dxa"/>
              <w:bottom w:w="95" w:type="dxa"/>
              <w:end w:w="105" w:type="dxa"/>
            </w:tcMar>
            <w:vAlign w:val="center"/>
            <w:shd w:fill="FFFFFF"/>
          </w:tcPr>
          <w:p>
            <w:pPr>
              <w:jc w:val="left"/>
            </w:pPr>
            <w:r>
              <w:rPr>
                <w:color w:val="282828"/>
                <w:sz w:val="20"/>
              </w:rPr>
              <w:t>Pro Affiliate</w:t>
            </w:r>
          </w:p>
        </w:tc>
        <w:tc>
          <w:tcPr>
            <w:tcW w:type="dxa" w:w="1656"/>
            <w:tcMar>
              <w:top w:w="95" w:type="dxa"/>
              <w:start w:w="105" w:type="dxa"/>
              <w:bottom w:w="95" w:type="dxa"/>
              <w:end w:w="105" w:type="dxa"/>
            </w:tcMar>
            <w:vAlign w:val="center"/>
            <w:shd w:fill="FFFFFF"/>
          </w:tcPr>
          <w:p>
            <w:pPr>
              <w:jc w:val="center"/>
            </w:pPr>
            <w:r>
              <w:rPr>
                <w:color w:val="282828"/>
                <w:sz w:val="20"/>
              </w:rPr>
              <w:t>12%</w:t>
            </w:r>
          </w:p>
        </w:tc>
        <w:tc>
          <w:tcPr>
            <w:tcW w:type="dxa" w:w="2736"/>
            <w:tcMar>
              <w:top w:w="95" w:type="dxa"/>
              <w:start w:w="105" w:type="dxa"/>
              <w:bottom w:w="95" w:type="dxa"/>
              <w:end w:w="105" w:type="dxa"/>
            </w:tcMar>
            <w:vAlign w:val="center"/>
            <w:shd w:fill="FFFFFF"/>
          </w:tcPr>
          <w:p>
            <w:pPr>
              <w:jc w:val="center"/>
            </w:pPr>
            <w:r>
              <w:rPr>
                <w:color w:val="282828"/>
                <w:sz w:val="20"/>
              </w:rPr>
              <w:t>121–250 orders</w:t>
            </w:r>
          </w:p>
        </w:tc>
        <w:tc>
          <w:tcPr>
            <w:tcW w:type="dxa" w:w="3816"/>
            <w:tcMar>
              <w:top w:w="95" w:type="dxa"/>
              <w:start w:w="105" w:type="dxa"/>
              <w:bottom w:w="95" w:type="dxa"/>
              <w:end w:w="105" w:type="dxa"/>
            </w:tcMar>
            <w:vAlign w:val="center"/>
            <w:shd w:fill="FFFFFF"/>
          </w:tcPr>
          <w:p>
            <w:pPr>
              <w:jc w:val="left"/>
            </w:pPr>
            <w:r>
              <w:rPr>
                <w:color w:val="282828"/>
                <w:sz w:val="20"/>
              </w:rPr>
              <w:t>Advanced tier requiring substantial sales volume.</w:t>
            </w:r>
          </w:p>
        </w:tc>
      </w:tr>
      <w:tr>
        <w:tc>
          <w:tcPr>
            <w:tcW w:type="dxa" w:w="2448"/>
            <w:tcMar>
              <w:top w:w="95" w:type="dxa"/>
              <w:start w:w="105" w:type="dxa"/>
              <w:bottom w:w="95" w:type="dxa"/>
              <w:end w:w="105" w:type="dxa"/>
            </w:tcMar>
            <w:vAlign w:val="center"/>
            <w:shd w:fill="F7F9FC"/>
          </w:tcPr>
          <w:p>
            <w:pPr>
              <w:jc w:val="left"/>
            </w:pPr>
            <w:r>
              <w:rPr>
                <w:color w:val="282828"/>
                <w:sz w:val="20"/>
              </w:rPr>
              <w:t>Elite Affiliate</w:t>
            </w:r>
          </w:p>
        </w:tc>
        <w:tc>
          <w:tcPr>
            <w:tcW w:type="dxa" w:w="1656"/>
            <w:tcMar>
              <w:top w:w="95" w:type="dxa"/>
              <w:start w:w="105" w:type="dxa"/>
              <w:bottom w:w="95" w:type="dxa"/>
              <w:end w:w="105" w:type="dxa"/>
            </w:tcMar>
            <w:vAlign w:val="center"/>
            <w:shd w:fill="F7F9FC"/>
          </w:tcPr>
          <w:p>
            <w:pPr>
              <w:jc w:val="center"/>
            </w:pPr>
            <w:r>
              <w:rPr>
                <w:color w:val="282828"/>
                <w:sz w:val="20"/>
              </w:rPr>
              <w:t>15%</w:t>
            </w:r>
          </w:p>
        </w:tc>
        <w:tc>
          <w:tcPr>
            <w:tcW w:type="dxa" w:w="2736"/>
            <w:tcMar>
              <w:top w:w="95" w:type="dxa"/>
              <w:start w:w="105" w:type="dxa"/>
              <w:bottom w:w="95" w:type="dxa"/>
              <w:end w:w="105" w:type="dxa"/>
            </w:tcMar>
            <w:vAlign w:val="center"/>
            <w:shd w:fill="F7F9FC"/>
          </w:tcPr>
          <w:p>
            <w:pPr>
              <w:jc w:val="center"/>
            </w:pPr>
            <w:r>
              <w:rPr>
                <w:color w:val="282828"/>
                <w:sz w:val="20"/>
              </w:rPr>
              <w:t>251–350 orders</w:t>
            </w:r>
          </w:p>
        </w:tc>
        <w:tc>
          <w:tcPr>
            <w:tcW w:type="dxa" w:w="3816"/>
            <w:tcMar>
              <w:top w:w="95" w:type="dxa"/>
              <w:start w:w="105" w:type="dxa"/>
              <w:bottom w:w="95" w:type="dxa"/>
              <w:end w:w="105" w:type="dxa"/>
            </w:tcMar>
            <w:vAlign w:val="center"/>
            <w:shd w:fill="F7F9FC"/>
          </w:tcPr>
          <w:p>
            <w:pPr>
              <w:jc w:val="left"/>
            </w:pPr>
            <w:r>
              <w:rPr>
                <w:color w:val="282828"/>
                <w:sz w:val="20"/>
              </w:rPr>
              <w:t>Top tier reserved for exceptional sustained performance.</w:t>
            </w:r>
          </w:p>
        </w:tc>
      </w:tr>
    </w:tbl>
    <w:p/>
    <w:p>
      <w:pPr>
        <w:pStyle w:val="Heading1"/>
        <w:spacing w:before="80" w:after="120" w:line="276" w:lineRule="auto"/>
      </w:pPr>
      <w:r>
        <w:t>2. Core Policy Statement</w:t>
      </w:r>
    </w:p>
    <w:p>
      <w:pPr>
        <w:spacing w:before="0" w:after="160" w:line="276" w:lineRule="auto"/>
      </w:pPr>
      <w:r>
        <w:rPr>
          <w:b/>
          <w:color w:val="0E253F"/>
        </w:rPr>
        <w:t>Affiliate commission levels are based on a rolling 30-day performance period. Commission tier is determined by the total number of valid delivered orders completed within the most recent 30 days. Rank is reviewed every 30 days and may increase or decrease automatically based on actual performance.</w:t>
      </w:r>
    </w:p>
    <w:p>
      <w:pPr>
        <w:pStyle w:val="Heading1"/>
        <w:spacing w:before="80" w:after="80" w:line="276" w:lineRule="auto"/>
      </w:pPr>
      <w:r>
        <w:t>3. Qualification and Rank Review</w:t>
      </w:r>
    </w:p>
    <w:p>
      <w:pPr>
        <w:pStyle w:val="ListBullet"/>
        <w:spacing w:before="0" w:after="40" w:line="276" w:lineRule="auto"/>
      </w:pPr>
      <w:r>
        <w:rPr>
          <w:color w:val="282828"/>
          <w:sz w:val="21"/>
        </w:rPr>
        <w:t>All approved affiliates begin at the 5% base commission level and can earn from their first valid delivered sale.</w:t>
      </w:r>
    </w:p>
    <w:p>
      <w:pPr>
        <w:pStyle w:val="ListBullet"/>
        <w:spacing w:before="0" w:after="40" w:line="276" w:lineRule="auto"/>
      </w:pPr>
      <w:r>
        <w:rPr>
          <w:color w:val="282828"/>
          <w:sz w:val="21"/>
        </w:rPr>
        <w:t>The rolling 30-day period is recalculated continuously using the most recent 30 days of affiliate performance.</w:t>
      </w:r>
    </w:p>
    <w:p>
      <w:pPr>
        <w:pStyle w:val="ListBullet"/>
        <w:spacing w:before="0" w:after="40" w:line="276" w:lineRule="auto"/>
      </w:pPr>
      <w:r>
        <w:rPr>
          <w:color w:val="282828"/>
          <w:sz w:val="21"/>
        </w:rPr>
        <w:t>An affiliate moves up when the number of valid delivered orders reaches the next tier threshold within the rolling 30-day period.</w:t>
      </w:r>
    </w:p>
    <w:p>
      <w:pPr>
        <w:pStyle w:val="ListBullet"/>
        <w:spacing w:before="0" w:after="40" w:line="276" w:lineRule="auto"/>
      </w:pPr>
      <w:r>
        <w:rPr>
          <w:color w:val="282828"/>
          <w:sz w:val="21"/>
        </w:rPr>
        <w:t>An affiliate remains at the current tier only if the most recent 30 days continue to support that tier.</w:t>
      </w:r>
    </w:p>
    <w:p>
      <w:pPr>
        <w:pStyle w:val="ListBullet"/>
        <w:spacing w:before="0" w:after="40" w:line="276" w:lineRule="auto"/>
      </w:pPr>
      <w:r>
        <w:rPr>
          <w:color w:val="282828"/>
          <w:sz w:val="21"/>
        </w:rPr>
        <w:t>If performance falls below a tier threshold, the affiliate automatically drops to the tier supported by the most recent 30-day results.</w:t>
      </w:r>
    </w:p>
    <w:p/>
    <w:p>
      <w:pPr>
        <w:pStyle w:val="Heading1"/>
        <w:spacing w:before="80" w:after="80" w:line="276" w:lineRule="auto"/>
      </w:pPr>
      <w:r>
        <w:t>4. Orders That Count and Orders That Do Not Count</w:t>
      </w:r>
    </w:p>
    <w:p>
      <w:pPr>
        <w:pStyle w:val="Heading2"/>
        <w:spacing w:before="0" w:after="40" w:line="276" w:lineRule="auto"/>
      </w:pPr>
      <w:r>
        <w:t>Orders that count</w:t>
      </w:r>
    </w:p>
    <w:p>
      <w:pPr>
        <w:pStyle w:val="ListBullet"/>
        <w:spacing w:before="0" w:after="40" w:line="276" w:lineRule="auto"/>
      </w:pPr>
      <w:r>
        <w:rPr>
          <w:color w:val="282828"/>
          <w:sz w:val="21"/>
        </w:rPr>
        <w:t>Delivered orders that are successfully completed.</w:t>
      </w:r>
    </w:p>
    <w:p>
      <w:pPr>
        <w:pStyle w:val="ListBullet"/>
        <w:spacing w:before="0" w:after="40" w:line="276" w:lineRule="auto"/>
      </w:pPr>
      <w:r>
        <w:rPr>
          <w:color w:val="282828"/>
          <w:sz w:val="21"/>
        </w:rPr>
        <w:t>Paid orders that pass Limitra review and are accepted as valid.</w:t>
      </w:r>
    </w:p>
    <w:p>
      <w:pPr>
        <w:pStyle w:val="ListBullet"/>
        <w:spacing w:before="0" w:after="40" w:line="276" w:lineRule="auto"/>
      </w:pPr>
      <w:r>
        <w:rPr>
          <w:color w:val="282828"/>
          <w:sz w:val="21"/>
        </w:rPr>
        <w:t>Orders from legitimate customers obtained through the affiliate’s approved referral method.</w:t>
      </w:r>
    </w:p>
    <w:p>
      <w:pPr>
        <w:pStyle w:val="Heading2"/>
        <w:spacing w:before="120" w:after="40" w:line="276" w:lineRule="auto"/>
      </w:pPr>
      <w:r>
        <w:t>Orders that do not count</w:t>
      </w:r>
    </w:p>
    <w:p>
      <w:pPr>
        <w:pStyle w:val="ListBullet"/>
        <w:spacing w:before="0" w:after="40" w:line="276" w:lineRule="auto"/>
      </w:pPr>
      <w:r>
        <w:rPr>
          <w:color w:val="282828"/>
          <w:sz w:val="21"/>
        </w:rPr>
        <w:t>Cancelled orders.</w:t>
      </w:r>
    </w:p>
    <w:p>
      <w:pPr>
        <w:pStyle w:val="ListBullet"/>
        <w:spacing w:before="0" w:after="40" w:line="276" w:lineRule="auto"/>
      </w:pPr>
      <w:r>
        <w:rPr>
          <w:color w:val="282828"/>
          <w:sz w:val="21"/>
        </w:rPr>
        <w:t>Refunded or reversed orders.</w:t>
      </w:r>
    </w:p>
    <w:p>
      <w:pPr>
        <w:pStyle w:val="ListBullet"/>
        <w:spacing w:before="0" w:after="40" w:line="276" w:lineRule="auto"/>
      </w:pPr>
      <w:r>
        <w:rPr>
          <w:color w:val="282828"/>
          <w:sz w:val="21"/>
        </w:rPr>
        <w:t>Returned orders.</w:t>
      </w:r>
    </w:p>
    <w:p>
      <w:pPr>
        <w:pStyle w:val="ListBullet"/>
        <w:spacing w:before="0" w:after="40" w:line="276" w:lineRule="auto"/>
      </w:pPr>
      <w:r>
        <w:rPr>
          <w:color w:val="282828"/>
          <w:sz w:val="21"/>
        </w:rPr>
        <w:t>Failed deliveries.</w:t>
      </w:r>
    </w:p>
    <w:p>
      <w:pPr>
        <w:pStyle w:val="ListBullet"/>
        <w:spacing w:before="0" w:after="40" w:line="276" w:lineRule="auto"/>
      </w:pPr>
      <w:r>
        <w:rPr>
          <w:color w:val="282828"/>
          <w:sz w:val="21"/>
        </w:rPr>
        <w:t>Duplicate orders.</w:t>
      </w:r>
    </w:p>
    <w:p>
      <w:pPr>
        <w:pStyle w:val="ListBullet"/>
        <w:spacing w:before="0" w:after="40" w:line="276" w:lineRule="auto"/>
      </w:pPr>
      <w:r>
        <w:rPr>
          <w:color w:val="282828"/>
          <w:sz w:val="21"/>
        </w:rPr>
        <w:t>Self-referrals or orders placed by the affiliate for the purpose of manipulating tier level or commission.</w:t>
      </w:r>
    </w:p>
    <w:p>
      <w:pPr>
        <w:pStyle w:val="ListBullet"/>
        <w:spacing w:before="0" w:after="40" w:line="276" w:lineRule="auto"/>
      </w:pPr>
      <w:r>
        <w:rPr>
          <w:color w:val="282828"/>
          <w:sz w:val="21"/>
        </w:rPr>
        <w:t>Fraudulent, misleading, suspicious, or invalid transactions.</w:t>
      </w:r>
    </w:p>
    <w:p/>
    <w:p>
      <w:pPr>
        <w:pStyle w:val="Heading1"/>
        <w:spacing w:before="80" w:after="80" w:line="276" w:lineRule="auto"/>
      </w:pPr>
      <w:r>
        <w:t>5. Affiliate Conduct Guidelines</w:t>
      </w:r>
    </w:p>
    <w:p>
      <w:pPr>
        <w:pStyle w:val="ListBullet"/>
        <w:spacing w:before="0" w:after="40" w:line="276" w:lineRule="auto"/>
      </w:pPr>
      <w:r>
        <w:rPr>
          <w:color w:val="282828"/>
          <w:sz w:val="21"/>
        </w:rPr>
        <w:t>Affiliates must promote Limitra honestly and must not make false claims about products, pricing, shipping, discounts, or earnings.</w:t>
      </w:r>
    </w:p>
    <w:p>
      <w:pPr>
        <w:pStyle w:val="ListBullet"/>
        <w:spacing w:before="0" w:after="40" w:line="276" w:lineRule="auto"/>
      </w:pPr>
      <w:r>
        <w:rPr>
          <w:color w:val="282828"/>
          <w:sz w:val="21"/>
        </w:rPr>
        <w:t>Affiliates must represent the Limitra brand professionally and may not use offensive, deceptive, unlawful, or damaging content.</w:t>
      </w:r>
    </w:p>
    <w:p>
      <w:pPr>
        <w:pStyle w:val="ListBullet"/>
        <w:spacing w:before="0" w:after="40" w:line="276" w:lineRule="auto"/>
      </w:pPr>
      <w:r>
        <w:rPr>
          <w:color w:val="282828"/>
          <w:sz w:val="21"/>
        </w:rPr>
        <w:t>Spam, fake urgency, impersonation, unauthorized paid ads using Limitra identity, and misleading discount promises are prohibited.</w:t>
      </w:r>
    </w:p>
    <w:p>
      <w:pPr>
        <w:pStyle w:val="ListBullet"/>
        <w:spacing w:before="0" w:after="40" w:line="276" w:lineRule="auto"/>
      </w:pPr>
      <w:r>
        <w:rPr>
          <w:color w:val="282828"/>
          <w:sz w:val="21"/>
        </w:rPr>
        <w:t>Affiliates must comply with any campaign-specific instructions, approved promotional materials, and brand usage rules issued by Limitra.</w:t>
      </w:r>
    </w:p>
    <w:p>
      <w:pPr>
        <w:pStyle w:val="ListBullet"/>
        <w:spacing w:before="0" w:after="40" w:line="276" w:lineRule="auto"/>
      </w:pPr>
      <w:r>
        <w:rPr>
          <w:color w:val="282828"/>
          <w:sz w:val="21"/>
        </w:rPr>
        <w:t>Any use of bots, fake accounts, manipulated traffic, coupon abuse, or manufactured orders is prohibited.</w:t>
      </w:r>
    </w:p>
    <w:p/>
    <w:p>
      <w:pPr>
        <w:pStyle w:val="Heading1"/>
        <w:spacing w:before="80" w:after="80" w:line="276" w:lineRule="auto"/>
      </w:pPr>
      <w:r>
        <w:t>6. Rank Adjustment, Downgrade, Suspension, and Removal</w:t>
      </w:r>
    </w:p>
    <w:p>
      <w:pPr>
        <w:pStyle w:val="ListBullet"/>
        <w:spacing w:before="0" w:after="40" w:line="276" w:lineRule="auto"/>
      </w:pPr>
      <w:r>
        <w:rPr>
          <w:color w:val="282828"/>
          <w:sz w:val="21"/>
        </w:rPr>
        <w:t>Rank is not permanent. It can increase or decrease as the rolling 30-day results change.</w:t>
      </w:r>
    </w:p>
    <w:p>
      <w:pPr>
        <w:pStyle w:val="ListBullet"/>
        <w:spacing w:before="0" w:after="40" w:line="276" w:lineRule="auto"/>
      </w:pPr>
      <w:r>
        <w:rPr>
          <w:color w:val="282828"/>
          <w:sz w:val="21"/>
        </w:rPr>
        <w:t>If an affiliate no longer qualifies for a higher tier, the commission rate automatically adjusts downward to the correct tier.</w:t>
      </w:r>
    </w:p>
    <w:p>
      <w:pPr>
        <w:pStyle w:val="ListBullet"/>
        <w:spacing w:before="0" w:after="40" w:line="276" w:lineRule="auto"/>
      </w:pPr>
      <w:r>
        <w:rPr>
          <w:color w:val="282828"/>
          <w:sz w:val="21"/>
        </w:rPr>
        <w:t>If an affiliate becomes inactive or fails to generate sufficient valid delivered orders, the account remains at or returns to the level supported by current results.</w:t>
      </w:r>
    </w:p>
    <w:p>
      <w:pPr>
        <w:pStyle w:val="ListBullet"/>
        <w:spacing w:before="0" w:after="40" w:line="276" w:lineRule="auto"/>
      </w:pPr>
      <w:r>
        <w:rPr>
          <w:color w:val="282828"/>
          <w:sz w:val="21"/>
        </w:rPr>
        <w:t>Limitra may suspend commissions, pause affiliate access, or remove an affiliate from the program where fraud, abuse, misconduct, or policy violation is detected.</w:t>
      </w:r>
    </w:p>
    <w:p>
      <w:pPr>
        <w:pStyle w:val="ListBullet"/>
        <w:spacing w:before="0" w:after="40" w:line="276" w:lineRule="auto"/>
      </w:pPr>
      <w:r>
        <w:rPr>
          <w:color w:val="282828"/>
          <w:sz w:val="21"/>
        </w:rPr>
        <w:t>Limitra may investigate any unusual pattern before confirming commission or tier status.</w:t>
      </w:r>
    </w:p>
    <w:p/>
    <w:p>
      <w:pPr>
        <w:pStyle w:val="Heading1"/>
        <w:spacing w:before="80" w:after="80" w:line="276" w:lineRule="auto"/>
      </w:pPr>
      <w:r>
        <w:t>7. Commission Payment Guidelines</w:t>
      </w:r>
    </w:p>
    <w:p>
      <w:pPr>
        <w:pStyle w:val="ListBullet"/>
        <w:spacing w:before="0" w:after="40" w:line="276" w:lineRule="auto"/>
      </w:pPr>
      <w:r>
        <w:rPr>
          <w:color w:val="282828"/>
          <w:sz w:val="21"/>
        </w:rPr>
        <w:t>Commission is payable only on valid qualifying orders confirmed by Limitra.</w:t>
      </w:r>
    </w:p>
    <w:p>
      <w:pPr>
        <w:pStyle w:val="ListBullet"/>
        <w:spacing w:before="0" w:after="40" w:line="276" w:lineRule="auto"/>
      </w:pPr>
      <w:r>
        <w:rPr>
          <w:color w:val="282828"/>
          <w:sz w:val="21"/>
        </w:rPr>
        <w:t>Limitra may place commissions on hold for review, reconciliation, fraud screening, return checks, or customer dispute validation.</w:t>
      </w:r>
    </w:p>
    <w:p>
      <w:pPr>
        <w:pStyle w:val="ListBullet"/>
        <w:spacing w:before="0" w:after="40" w:line="276" w:lineRule="auto"/>
      </w:pPr>
      <w:r>
        <w:rPr>
          <w:color w:val="282828"/>
          <w:sz w:val="21"/>
        </w:rPr>
        <w:t>Any commission tied to cancelled, refunded, returned, duplicate, or invalid transactions may be reversed, withheld, or removed from payout.</w:t>
      </w:r>
    </w:p>
    <w:p>
      <w:pPr>
        <w:pStyle w:val="ListBullet"/>
        <w:spacing w:before="0" w:after="40" w:line="276" w:lineRule="auto"/>
      </w:pPr>
      <w:r>
        <w:rPr>
          <w:color w:val="282828"/>
          <w:sz w:val="21"/>
        </w:rPr>
        <w:t>Limitra may set payout schedules, minimum payout thresholds, and approved payment channels as part of operational administration.</w:t>
      </w:r>
    </w:p>
    <w:p/>
    <w:p>
      <w:pPr>
        <w:pStyle w:val="Heading1"/>
        <w:spacing w:before="80" w:after="80" w:line="276" w:lineRule="auto"/>
      </w:pPr>
      <w:r>
        <w:t>8. Program Administration and Final Authority</w:t>
      </w:r>
    </w:p>
    <w:p>
      <w:pPr>
        <w:pStyle w:val="ListBullet"/>
        <w:spacing w:before="0" w:after="40" w:line="276" w:lineRule="auto"/>
      </w:pPr>
      <w:r>
        <w:rPr>
          <w:color w:val="282828"/>
          <w:sz w:val="21"/>
        </w:rPr>
        <w:t>Limitra reserves the right to interpret this policy and determine whether orders, traffic, and affiliate activity qualify under the program.</w:t>
      </w:r>
    </w:p>
    <w:p>
      <w:pPr>
        <w:pStyle w:val="ListBullet"/>
        <w:spacing w:before="0" w:after="40" w:line="276" w:lineRule="auto"/>
      </w:pPr>
      <w:r>
        <w:rPr>
          <w:color w:val="282828"/>
          <w:sz w:val="21"/>
        </w:rPr>
        <w:t>Limitra may revise commission levels, qualification ranges, operating rules, campaign mechanics, payout terms, or participation requirements when necessary to protect the business.</w:t>
      </w:r>
    </w:p>
    <w:p>
      <w:pPr>
        <w:pStyle w:val="ListBullet"/>
        <w:spacing w:before="0" w:after="40" w:line="276" w:lineRule="auto"/>
      </w:pPr>
      <w:r>
        <w:rPr>
          <w:color w:val="282828"/>
          <w:sz w:val="21"/>
        </w:rPr>
        <w:t>Any exception granted in one case does not create a permanent entitlement for other affiliates or future transactions.</w:t>
      </w:r>
    </w:p>
    <w:p/>
    <w:p>
      <w:pPr>
        <w:pStyle w:val="Heading1"/>
        <w:spacing w:before="80" w:after="120" w:line="276" w:lineRule="auto"/>
      </w:pPr>
      <w:r>
        <w:t>9. Quick Reference Summary</w:t>
      </w:r>
    </w:p>
    <w:tbl>
      <w:tblPr>
        <w:tblStyle w:val="TableGrid"/>
        <w:tblW w:type="auto" w:w="0"/>
        <w:jc w:val="center"/>
        <w:tblLook w:firstColumn="1" w:firstRow="1" w:lastColumn="0" w:lastRow="0" w:noHBand="0" w:noVBand="1" w:val="04A0"/>
      </w:tblPr>
      <w:tblGrid>
        <w:gridCol w:w="4968"/>
        <w:gridCol w:w="4968"/>
      </w:tblGrid>
      <w:tr>
        <w:tc>
          <w:tcPr>
            <w:tcW w:type="dxa" w:w="2448"/>
            <w:tcMar>
              <w:top w:w="90" w:type="dxa"/>
              <w:start w:w="110" w:type="dxa"/>
              <w:bottom w:w="90" w:type="dxa"/>
              <w:end w:w="110" w:type="dxa"/>
            </w:tcMar>
            <w:shd w:fill="F8F9FB"/>
            <w:vAlign w:val="center"/>
          </w:tcPr>
          <w:p>
            <w:r>
              <w:t>Base earning</w:t>
            </w:r>
          </w:p>
        </w:tc>
        <w:tc>
          <w:tcPr>
            <w:tcW w:type="dxa" w:w="6912"/>
            <w:tcMar>
              <w:top w:w="90" w:type="dxa"/>
              <w:start w:w="110" w:type="dxa"/>
              <w:bottom w:w="90" w:type="dxa"/>
              <w:end w:w="110" w:type="dxa"/>
            </w:tcMar>
            <w:shd w:fill="F8F9FB"/>
            <w:vAlign w:val="center"/>
          </w:tcPr>
          <w:p>
            <w:pPr>
              <w:jc w:val="left"/>
            </w:pPr>
            <w:r>
              <w:rPr>
                <w:color w:val="282828"/>
                <w:sz w:val="20"/>
              </w:rPr>
              <w:t>Every approved affiliate can earn 5% from the first valid delivered sale.</w:t>
            </w:r>
          </w:p>
        </w:tc>
      </w:tr>
      <w:tr>
        <w:tc>
          <w:tcPr>
            <w:tcW w:type="dxa" w:w="2448"/>
            <w:tcMar>
              <w:top w:w="90" w:type="dxa"/>
              <w:start w:w="110" w:type="dxa"/>
              <w:bottom w:w="90" w:type="dxa"/>
              <w:end w:w="110" w:type="dxa"/>
            </w:tcMar>
            <w:shd w:fill="FFFFFF"/>
            <w:vAlign w:val="center"/>
          </w:tcPr>
          <w:p>
            <w:pPr>
              <w:jc w:val="left"/>
            </w:pPr>
            <w:r>
              <w:rPr>
                <w:b/>
                <w:color w:val="0E253F"/>
                <w:sz w:val="20"/>
              </w:rPr>
              <w:t>Review period</w:t>
            </w:r>
          </w:p>
        </w:tc>
        <w:tc>
          <w:tcPr>
            <w:tcW w:type="dxa" w:w="6912"/>
            <w:tcMar>
              <w:top w:w="90" w:type="dxa"/>
              <w:start w:w="110" w:type="dxa"/>
              <w:bottom w:w="90" w:type="dxa"/>
              <w:end w:w="110" w:type="dxa"/>
            </w:tcMar>
            <w:shd w:fill="FFFFFF"/>
            <w:vAlign w:val="center"/>
          </w:tcPr>
          <w:p>
            <w:pPr>
              <w:jc w:val="left"/>
            </w:pPr>
            <w:r>
              <w:rPr>
                <w:color w:val="282828"/>
                <w:sz w:val="20"/>
              </w:rPr>
              <w:t>Rolling 30 days.</w:t>
            </w:r>
          </w:p>
        </w:tc>
      </w:tr>
      <w:tr>
        <w:tc>
          <w:tcPr>
            <w:tcW w:type="dxa" w:w="2448"/>
            <w:tcMar>
              <w:top w:w="90" w:type="dxa"/>
              <w:start w:w="110" w:type="dxa"/>
              <w:bottom w:w="90" w:type="dxa"/>
              <w:end w:w="110" w:type="dxa"/>
            </w:tcMar>
            <w:shd w:fill="F8F9FB"/>
            <w:vAlign w:val="center"/>
          </w:tcPr>
          <w:p>
            <w:pPr>
              <w:jc w:val="left"/>
            </w:pPr>
            <w:r>
              <w:rPr>
                <w:b/>
                <w:color w:val="0E253F"/>
                <w:sz w:val="20"/>
              </w:rPr>
              <w:t>Rank basis</w:t>
            </w:r>
          </w:p>
        </w:tc>
        <w:tc>
          <w:tcPr>
            <w:tcW w:type="dxa" w:w="6912"/>
            <w:tcMar>
              <w:top w:w="90" w:type="dxa"/>
              <w:start w:w="110" w:type="dxa"/>
              <w:bottom w:w="90" w:type="dxa"/>
              <w:end w:w="110" w:type="dxa"/>
            </w:tcMar>
            <w:shd w:fill="F8F9FB"/>
            <w:vAlign w:val="center"/>
          </w:tcPr>
          <w:p>
            <w:pPr>
              <w:jc w:val="left"/>
            </w:pPr>
            <w:r>
              <w:rPr>
                <w:color w:val="282828"/>
                <w:sz w:val="20"/>
              </w:rPr>
              <w:t>Valid delivered orders only.</w:t>
            </w:r>
          </w:p>
        </w:tc>
      </w:tr>
      <w:tr>
        <w:tc>
          <w:tcPr>
            <w:tcW w:type="dxa" w:w="2448"/>
            <w:tcMar>
              <w:top w:w="90" w:type="dxa"/>
              <w:start w:w="110" w:type="dxa"/>
              <w:bottom w:w="90" w:type="dxa"/>
              <w:end w:w="110" w:type="dxa"/>
            </w:tcMar>
            <w:shd w:fill="FFFFFF"/>
            <w:vAlign w:val="center"/>
          </w:tcPr>
          <w:p>
            <w:pPr>
              <w:jc w:val="left"/>
            </w:pPr>
            <w:r>
              <w:rPr>
                <w:b/>
                <w:color w:val="0E253F"/>
                <w:sz w:val="20"/>
              </w:rPr>
              <w:t>Higher tiers</w:t>
            </w:r>
          </w:p>
        </w:tc>
        <w:tc>
          <w:tcPr>
            <w:tcW w:type="dxa" w:w="6912"/>
            <w:tcMar>
              <w:top w:w="90" w:type="dxa"/>
              <w:start w:w="110" w:type="dxa"/>
              <w:bottom w:w="90" w:type="dxa"/>
              <w:end w:w="110" w:type="dxa"/>
            </w:tcMar>
            <w:shd w:fill="FFFFFF"/>
            <w:vAlign w:val="center"/>
          </w:tcPr>
          <w:p>
            <w:pPr>
              <w:jc w:val="left"/>
            </w:pPr>
            <w:r>
              <w:rPr>
                <w:color w:val="282828"/>
                <w:sz w:val="20"/>
              </w:rPr>
              <w:t>7% at 21–60, 10% at 61–120, 12% at 121–250, 15% at 251–350.</w:t>
            </w:r>
          </w:p>
        </w:tc>
      </w:tr>
      <w:tr>
        <w:tc>
          <w:tcPr>
            <w:tcW w:type="dxa" w:w="2448"/>
            <w:tcMar>
              <w:top w:w="90" w:type="dxa"/>
              <w:start w:w="110" w:type="dxa"/>
              <w:bottom w:w="90" w:type="dxa"/>
              <w:end w:w="110" w:type="dxa"/>
            </w:tcMar>
            <w:shd w:fill="F8F9FB"/>
            <w:vAlign w:val="center"/>
          </w:tcPr>
          <w:p>
            <w:pPr>
              <w:jc w:val="left"/>
            </w:pPr>
            <w:r>
              <w:rPr>
                <w:b/>
                <w:color w:val="0E253F"/>
                <w:sz w:val="20"/>
              </w:rPr>
              <w:t>Non-qualifying orders</w:t>
            </w:r>
          </w:p>
        </w:tc>
        <w:tc>
          <w:tcPr>
            <w:tcW w:type="dxa" w:w="6912"/>
            <w:tcMar>
              <w:top w:w="90" w:type="dxa"/>
              <w:start w:w="110" w:type="dxa"/>
              <w:bottom w:w="90" w:type="dxa"/>
              <w:end w:w="110" w:type="dxa"/>
            </w:tcMar>
            <w:shd w:fill="F8F9FB"/>
            <w:vAlign w:val="center"/>
          </w:tcPr>
          <w:p>
            <w:pPr>
              <w:jc w:val="left"/>
            </w:pPr>
            <w:r>
              <w:rPr>
                <w:color w:val="282828"/>
                <w:sz w:val="20"/>
              </w:rPr>
              <w:t>Cancelled, refunded, returned, duplicate, self-referred, fraudulent, or invalid orders.</w:t>
            </w:r>
          </w:p>
        </w:tc>
      </w:tr>
      <w:tr>
        <w:tc>
          <w:tcPr>
            <w:tcW w:type="dxa" w:w="2448"/>
            <w:tcMar>
              <w:top w:w="90" w:type="dxa"/>
              <w:start w:w="110" w:type="dxa"/>
              <w:bottom w:w="90" w:type="dxa"/>
              <w:end w:w="110" w:type="dxa"/>
            </w:tcMar>
            <w:shd w:fill="FFFFFF"/>
            <w:vAlign w:val="center"/>
          </w:tcPr>
          <w:p>
            <w:pPr>
              <w:jc w:val="left"/>
            </w:pPr>
            <w:r>
              <w:rPr>
                <w:b/>
                <w:color w:val="0E253F"/>
                <w:sz w:val="20"/>
              </w:rPr>
              <w:t>Adjustment rule</w:t>
            </w:r>
          </w:p>
        </w:tc>
        <w:tc>
          <w:tcPr>
            <w:tcW w:type="dxa" w:w="6912"/>
            <w:tcMar>
              <w:top w:w="90" w:type="dxa"/>
              <w:start w:w="110" w:type="dxa"/>
              <w:bottom w:w="90" w:type="dxa"/>
              <w:end w:w="110" w:type="dxa"/>
            </w:tcMar>
            <w:shd w:fill="FFFFFF"/>
            <w:vAlign w:val="center"/>
          </w:tcPr>
          <w:p>
            <w:pPr>
              <w:jc w:val="left"/>
            </w:pPr>
            <w:r>
              <w:rPr>
                <w:color w:val="282828"/>
                <w:sz w:val="20"/>
              </w:rPr>
              <w:t>Tier can move up or down automatically based on the most recent 30-day results.</w:t>
            </w:r>
          </w:p>
        </w:tc>
      </w:tr>
    </w:tbl>
    <w:p>
      <w:pPr>
        <w:spacing w:before="200" w:after="0" w:line="276" w:lineRule="auto"/>
        <w:jc w:val="center"/>
      </w:pPr>
      <w:r>
        <w:rPr>
          <w:color w:val="5A5A5A"/>
          <w:sz w:val="18"/>
        </w:rPr>
        <w:t>Prepared for Limitra internal and program use.</w:t>
      </w:r>
    </w:p>
    <w:sectPr w:rsidR="00FC693F" w:rsidRPr="0006063C" w:rsidSect="00034616">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25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E253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E25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