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A0E2F2">
      <w:pPr>
        <w:pStyle w:val="2"/>
        <w:numPr>
          <w:ilvl w:val="0"/>
          <w:numId w:val="1"/>
        </w:numPr>
        <w:pBdr>
          <w:bottom w:val="single" w:color="auto" w:sz="12" w:space="3"/>
        </w:pBdr>
        <w:jc w:val="right"/>
        <w:rPr>
          <w:rFonts w:ascii="Arial" w:hAnsi="Arial" w:cs="Arial"/>
          <w:b/>
          <w:bCs/>
          <w:color w:val="auto"/>
          <w:sz w:val="32"/>
          <w:szCs w:val="32"/>
        </w:rPr>
      </w:pPr>
      <w:r>
        <w:rPr>
          <w:rFonts w:ascii="Arial" w:hAnsi="Arial" w:cs="Arial"/>
          <w:b/>
          <w:bCs/>
          <w:color w:val="auto"/>
          <w:sz w:val="32"/>
          <w:szCs w:val="32"/>
        </w:rPr>
        <w:t>CVE-2024-xxxx评估信息</w:t>
      </w:r>
    </w:p>
    <w:p w14:paraId="74BC1485">
      <w:pPr>
        <w:rPr>
          <w:rFonts w:hint="eastAsia"/>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5FD2C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shd w:val="clear" w:color="auto" w:fill="E7E6E6" w:themeFill="background2"/>
          </w:tcPr>
          <w:p w14:paraId="24F82C93">
            <w:pPr>
              <w:spacing w:after="0" w:line="240" w:lineRule="auto"/>
              <w:rPr>
                <w:rFonts w:hint="eastAsia" w:ascii="黑体" w:hAnsi="黑体" w:eastAsia="黑体"/>
                <w:sz w:val="18"/>
                <w:szCs w:val="18"/>
              </w:rPr>
            </w:pPr>
            <w:r>
              <w:rPr>
                <w:rFonts w:hint="eastAsia" w:ascii="黑体" w:hAnsi="黑体" w:eastAsia="黑体"/>
                <w:sz w:val="18"/>
                <w:szCs w:val="18"/>
              </w:rPr>
              <w:t>基本信息</w:t>
            </w:r>
          </w:p>
        </w:tc>
      </w:tr>
      <w:tr w14:paraId="3C623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37393C1">
            <w:pPr>
              <w:spacing w:after="0" w:line="240" w:lineRule="auto"/>
              <w:rPr>
                <w:rFonts w:hint="eastAsia" w:ascii="宋体" w:hAnsi="宋体" w:eastAsia="宋体"/>
                <w:b/>
                <w:bCs/>
                <w:sz w:val="18"/>
                <w:szCs w:val="18"/>
              </w:rPr>
            </w:pPr>
            <w:r>
              <w:rPr>
                <w:rFonts w:ascii="Times New Roman" w:hAnsi="Times New Roman" w:eastAsia="宋体" w:cs="Times New Roman"/>
                <w:b/>
                <w:bCs/>
                <w:sz w:val="18"/>
                <w:szCs w:val="18"/>
              </w:rPr>
              <w:t>CVE</w:t>
            </w:r>
            <w:r>
              <w:rPr>
                <w:rFonts w:hint="eastAsia" w:ascii="宋体" w:hAnsi="宋体" w:eastAsia="宋体"/>
                <w:b/>
                <w:bCs/>
                <w:sz w:val="18"/>
                <w:szCs w:val="18"/>
              </w:rPr>
              <w:t>评估责任人</w:t>
            </w:r>
          </w:p>
        </w:tc>
        <w:tc>
          <w:tcPr>
            <w:tcW w:w="2074" w:type="dxa"/>
          </w:tcPr>
          <w:p w14:paraId="73F81FE9">
            <w:pPr>
              <w:spacing w:after="0" w:line="240" w:lineRule="auto"/>
              <w:rPr>
                <w:rFonts w:hint="default" w:eastAsiaTheme="minorEastAsia"/>
                <w:i/>
                <w:iCs/>
                <w:color w:val="3366FF"/>
                <w:lang w:val="en-US" w:eastAsia="zh-CN"/>
              </w:rPr>
            </w:pPr>
            <w:r>
              <w:rPr>
                <w:rFonts w:hint="eastAsia"/>
                <w:i/>
                <w:iCs/>
                <w:color w:val="3366FF"/>
                <w:lang w:val="en-US" w:eastAsia="zh-CN"/>
              </w:rPr>
              <w:t>姓名 工号</w:t>
            </w:r>
          </w:p>
        </w:tc>
        <w:tc>
          <w:tcPr>
            <w:tcW w:w="2074" w:type="dxa"/>
          </w:tcPr>
          <w:p w14:paraId="10ED34D2">
            <w:pPr>
              <w:spacing w:after="0" w:line="240" w:lineRule="auto"/>
              <w:rPr>
                <w:rFonts w:hint="eastAsia" w:ascii="宋体" w:hAnsi="宋体" w:eastAsia="宋体"/>
                <w:b/>
                <w:bCs/>
                <w:sz w:val="18"/>
                <w:szCs w:val="18"/>
              </w:rPr>
            </w:pPr>
            <w:r>
              <w:rPr>
                <w:rFonts w:hint="eastAsia" w:ascii="宋体" w:hAnsi="宋体" w:eastAsia="宋体"/>
                <w:b/>
                <w:bCs/>
                <w:sz w:val="18"/>
                <w:szCs w:val="18"/>
              </w:rPr>
              <w:t>部门</w:t>
            </w:r>
          </w:p>
        </w:tc>
        <w:tc>
          <w:tcPr>
            <w:tcW w:w="2074" w:type="dxa"/>
          </w:tcPr>
          <w:p w14:paraId="77100379">
            <w:pPr>
              <w:spacing w:after="0" w:line="240" w:lineRule="auto"/>
              <w:rPr>
                <w:rFonts w:hint="eastAsia"/>
              </w:rPr>
            </w:pPr>
          </w:p>
        </w:tc>
      </w:tr>
      <w:tr w14:paraId="6DFE6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F34CBD9">
            <w:pPr>
              <w:spacing w:after="0" w:line="240" w:lineRule="auto"/>
              <w:rPr>
                <w:rFonts w:hint="eastAsia" w:ascii="宋体" w:hAnsi="宋体" w:eastAsia="宋体"/>
                <w:b/>
                <w:bCs/>
                <w:sz w:val="18"/>
                <w:szCs w:val="18"/>
              </w:rPr>
            </w:pPr>
            <w:r>
              <w:rPr>
                <w:rFonts w:ascii="Times New Roman" w:hAnsi="Times New Roman" w:eastAsia="宋体" w:cs="Times New Roman"/>
                <w:b/>
                <w:bCs/>
                <w:sz w:val="18"/>
                <w:szCs w:val="18"/>
              </w:rPr>
              <w:t>CVE</w:t>
            </w:r>
            <w:r>
              <w:rPr>
                <w:rFonts w:hint="eastAsia" w:ascii="宋体" w:hAnsi="宋体" w:eastAsia="宋体"/>
                <w:b/>
                <w:bCs/>
                <w:sz w:val="18"/>
                <w:szCs w:val="18"/>
              </w:rPr>
              <w:t>评估日期</w:t>
            </w:r>
          </w:p>
        </w:tc>
        <w:tc>
          <w:tcPr>
            <w:tcW w:w="2074" w:type="dxa"/>
          </w:tcPr>
          <w:p w14:paraId="477D08EA">
            <w:pPr>
              <w:spacing w:after="0" w:line="240" w:lineRule="auto"/>
              <w:rPr>
                <w:rFonts w:hint="eastAsia"/>
                <w:i/>
                <w:iCs/>
                <w:color w:val="3366FF"/>
              </w:rPr>
            </w:pPr>
            <w:r>
              <w:rPr>
                <w:rFonts w:hint="eastAsia" w:ascii="Times New Roman" w:hAnsi="Times New Roman" w:eastAsia="宋体" w:cs="Times New Roman"/>
                <w:i/>
                <w:iCs/>
                <w:color w:val="3366FF"/>
                <w:sz w:val="18"/>
                <w:szCs w:val="18"/>
              </w:rPr>
              <w:t>2024-XX-XX</w:t>
            </w:r>
          </w:p>
        </w:tc>
        <w:tc>
          <w:tcPr>
            <w:tcW w:w="2074" w:type="dxa"/>
          </w:tcPr>
          <w:p w14:paraId="22CBE4FB">
            <w:pPr>
              <w:spacing w:after="0" w:line="240" w:lineRule="auto"/>
              <w:rPr>
                <w:rFonts w:hint="eastAsia" w:ascii="宋体" w:hAnsi="宋体" w:eastAsia="宋体"/>
                <w:b/>
                <w:bCs/>
                <w:sz w:val="18"/>
                <w:szCs w:val="18"/>
              </w:rPr>
            </w:pPr>
            <w:r>
              <w:rPr>
                <w:rFonts w:hint="eastAsia" w:ascii="Times New Roman" w:hAnsi="Times New Roman" w:eastAsia="宋体" w:cs="Times New Roman"/>
                <w:b/>
                <w:bCs/>
                <w:sz w:val="18"/>
                <w:szCs w:val="18"/>
              </w:rPr>
              <w:t>CVE</w:t>
            </w:r>
            <w:r>
              <w:rPr>
                <w:rFonts w:hint="eastAsia" w:ascii="宋体" w:hAnsi="宋体" w:eastAsia="宋体"/>
                <w:b/>
                <w:bCs/>
                <w:sz w:val="18"/>
                <w:szCs w:val="18"/>
              </w:rPr>
              <w:t>评估协助人</w:t>
            </w:r>
          </w:p>
        </w:tc>
        <w:tc>
          <w:tcPr>
            <w:tcW w:w="2074" w:type="dxa"/>
          </w:tcPr>
          <w:p w14:paraId="031C4136">
            <w:pPr>
              <w:spacing w:after="0" w:line="240" w:lineRule="auto"/>
              <w:rPr>
                <w:rFonts w:hint="eastAsia" w:eastAsiaTheme="minorEastAsia"/>
                <w:i/>
                <w:iCs/>
                <w:lang w:val="en-US" w:eastAsia="zh-CN"/>
              </w:rPr>
            </w:pPr>
            <w:r>
              <w:rPr>
                <w:rFonts w:hint="eastAsia"/>
                <w:i/>
                <w:iCs/>
                <w:color w:val="3366FF"/>
                <w:lang w:val="en-US" w:eastAsia="zh-CN"/>
              </w:rPr>
              <w:t>姓名</w:t>
            </w:r>
            <w:r>
              <w:rPr>
                <w:rFonts w:hint="eastAsia"/>
                <w:i/>
                <w:iCs/>
                <w:color w:val="3366FF"/>
              </w:rPr>
              <w:t xml:space="preserve"> </w:t>
            </w:r>
            <w:r>
              <w:rPr>
                <w:rFonts w:hint="eastAsia"/>
                <w:i/>
                <w:iCs/>
                <w:color w:val="3366FF"/>
                <w:lang w:val="en-US" w:eastAsia="zh-CN"/>
              </w:rPr>
              <w:t>工号</w:t>
            </w:r>
          </w:p>
        </w:tc>
      </w:tr>
      <w:tr w14:paraId="34DB6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3E0B2E9">
            <w:pPr>
              <w:spacing w:after="0" w:line="240" w:lineRule="auto"/>
              <w:rPr>
                <w:rFonts w:hint="eastAsia" w:ascii="宋体" w:hAnsi="宋体" w:eastAsia="宋体"/>
                <w:b/>
                <w:bCs/>
                <w:sz w:val="18"/>
                <w:szCs w:val="18"/>
              </w:rPr>
            </w:pPr>
            <w:r>
              <w:rPr>
                <w:rFonts w:hint="eastAsia" w:ascii="宋体" w:hAnsi="宋体" w:eastAsia="宋体"/>
                <w:b/>
                <w:bCs/>
                <w:sz w:val="18"/>
                <w:szCs w:val="18"/>
              </w:rPr>
              <w:t>原始</w:t>
            </w:r>
            <w:r>
              <w:rPr>
                <w:rFonts w:ascii="Times New Roman" w:hAnsi="Times New Roman" w:eastAsia="宋体" w:cs="Times New Roman"/>
                <w:b/>
                <w:bCs/>
                <w:sz w:val="18"/>
                <w:szCs w:val="18"/>
              </w:rPr>
              <w:t>CVSS</w:t>
            </w:r>
            <w:r>
              <w:rPr>
                <w:rFonts w:hint="eastAsia" w:ascii="宋体" w:hAnsi="宋体" w:eastAsia="宋体"/>
                <w:b/>
                <w:bCs/>
                <w:sz w:val="18"/>
                <w:szCs w:val="18"/>
              </w:rPr>
              <w:t>分值</w:t>
            </w:r>
          </w:p>
        </w:tc>
        <w:tc>
          <w:tcPr>
            <w:tcW w:w="6222" w:type="dxa"/>
            <w:gridSpan w:val="3"/>
          </w:tcPr>
          <w:p w14:paraId="2A1CFB24">
            <w:pPr>
              <w:spacing w:after="0" w:line="240" w:lineRule="auto"/>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8.2 （CVSS:3.1/AV:L/AC:H/PR:H/UI:N/S:C/C:H/I:L/A:N）</w:t>
            </w:r>
          </w:p>
        </w:tc>
      </w:tr>
      <w:tr w14:paraId="2001D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FE6CF9F">
            <w:pPr>
              <w:spacing w:after="0" w:line="240" w:lineRule="auto"/>
              <w:rPr>
                <w:rFonts w:hint="eastAsia" w:ascii="宋体" w:hAnsi="宋体" w:eastAsia="宋体"/>
                <w:b/>
                <w:bCs/>
                <w:sz w:val="18"/>
                <w:szCs w:val="18"/>
              </w:rPr>
            </w:pPr>
            <w:r>
              <w:rPr>
                <w:rFonts w:hint="eastAsia" w:ascii="宋体" w:hAnsi="宋体" w:eastAsia="宋体"/>
                <w:b/>
                <w:bCs/>
                <w:sz w:val="18"/>
                <w:szCs w:val="18"/>
              </w:rPr>
              <w:t>评估后</w:t>
            </w:r>
            <w:r>
              <w:rPr>
                <w:rFonts w:ascii="Times New Roman" w:hAnsi="Times New Roman" w:eastAsia="宋体" w:cs="Times New Roman"/>
                <w:b/>
                <w:bCs/>
                <w:sz w:val="18"/>
                <w:szCs w:val="18"/>
              </w:rPr>
              <w:t>CVSS</w:t>
            </w:r>
            <w:r>
              <w:rPr>
                <w:rFonts w:hint="eastAsia" w:ascii="宋体" w:hAnsi="宋体" w:eastAsia="宋体"/>
                <w:b/>
                <w:bCs/>
                <w:sz w:val="18"/>
                <w:szCs w:val="18"/>
              </w:rPr>
              <w:t>分值</w:t>
            </w:r>
          </w:p>
        </w:tc>
        <w:tc>
          <w:tcPr>
            <w:tcW w:w="6222" w:type="dxa"/>
            <w:gridSpan w:val="3"/>
          </w:tcPr>
          <w:p w14:paraId="139A42D0">
            <w:pPr>
              <w:spacing w:after="0" w:line="240" w:lineRule="auto"/>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6.1 （CVSS:3.1/AV:L/AC:H/PR:H/UI:N/S:C/C:H/I:L/A:N）</w:t>
            </w:r>
          </w:p>
        </w:tc>
      </w:tr>
      <w:tr w14:paraId="03E46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4"/>
            <w:shd w:val="clear" w:color="auto" w:fill="E7E6E6" w:themeFill="background2"/>
          </w:tcPr>
          <w:p w14:paraId="0DB8C183">
            <w:pPr>
              <w:spacing w:after="0" w:line="240" w:lineRule="auto"/>
              <w:rPr>
                <w:rFonts w:hint="eastAsia" w:ascii="宋体" w:hAnsi="宋体" w:eastAsia="宋体"/>
                <w:sz w:val="18"/>
                <w:szCs w:val="18"/>
              </w:rPr>
            </w:pPr>
            <w:r>
              <w:rPr>
                <w:rFonts w:hint="eastAsia" w:ascii="宋体" w:hAnsi="宋体" w:eastAsia="宋体"/>
                <w:sz w:val="18"/>
                <w:szCs w:val="18"/>
              </w:rPr>
              <w:t>评估版本</w:t>
            </w:r>
          </w:p>
        </w:tc>
      </w:tr>
      <w:tr w14:paraId="7BBB7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Merge w:val="restart"/>
          </w:tcPr>
          <w:p w14:paraId="4EFF6E15">
            <w:pPr>
              <w:spacing w:after="0" w:line="240" w:lineRule="auto"/>
              <w:rPr>
                <w:rFonts w:hint="eastAsia" w:ascii="宋体" w:hAnsi="宋体" w:eastAsia="宋体"/>
                <w:b/>
                <w:bCs/>
                <w:sz w:val="18"/>
                <w:szCs w:val="18"/>
              </w:rPr>
            </w:pPr>
            <w:r>
              <w:rPr>
                <w:rFonts w:hint="eastAsia" w:ascii="宋体" w:hAnsi="宋体" w:eastAsia="宋体"/>
                <w:b/>
                <w:bCs/>
                <w:sz w:val="18"/>
                <w:szCs w:val="18"/>
              </w:rPr>
              <w:t>当前版本</w:t>
            </w:r>
          </w:p>
        </w:tc>
        <w:tc>
          <w:tcPr>
            <w:tcW w:w="2074" w:type="dxa"/>
          </w:tcPr>
          <w:p w14:paraId="382EEF2D">
            <w:pPr>
              <w:spacing w:after="0" w:line="240" w:lineRule="auto"/>
              <w:rPr>
                <w:rFonts w:hint="eastAsia"/>
                <w:i/>
                <w:iCs/>
                <w:color w:val="3366FF"/>
              </w:rPr>
            </w:pPr>
            <w:r>
              <w:rPr>
                <w:rFonts w:hint="eastAsia" w:ascii="宋体" w:hAnsi="宋体" w:eastAsia="宋体"/>
                <w:i/>
                <w:iCs/>
                <w:color w:val="3366FF"/>
                <w:sz w:val="18"/>
                <w:szCs w:val="18"/>
              </w:rPr>
              <w:t>产品名1（如</w:t>
            </w:r>
            <w:r>
              <w:rPr>
                <w:rFonts w:hint="eastAsia" w:ascii="Times New Roman" w:hAnsi="Times New Roman" w:eastAsia="宋体" w:cs="Times New Roman"/>
                <w:i/>
                <w:iCs/>
                <w:color w:val="3366FF"/>
                <w:sz w:val="18"/>
                <w:szCs w:val="18"/>
              </w:rPr>
              <w:t>XXXX</w:t>
            </w:r>
            <w:r>
              <w:rPr>
                <w:rFonts w:hint="eastAsia" w:ascii="宋体" w:hAnsi="宋体" w:eastAsia="宋体"/>
                <w:i/>
                <w:iCs/>
                <w:color w:val="3366FF"/>
                <w:sz w:val="18"/>
                <w:szCs w:val="18"/>
              </w:rPr>
              <w:t>）</w:t>
            </w:r>
          </w:p>
        </w:tc>
        <w:tc>
          <w:tcPr>
            <w:tcW w:w="4148" w:type="dxa"/>
            <w:gridSpan w:val="2"/>
          </w:tcPr>
          <w:p w14:paraId="6B5A2146">
            <w:pPr>
              <w:spacing w:after="0" w:line="240" w:lineRule="auto"/>
              <w:rPr>
                <w:rFonts w:hint="eastAsia"/>
                <w:i/>
                <w:iCs/>
                <w:color w:val="3366FF"/>
              </w:rPr>
            </w:pPr>
            <w:r>
              <w:rPr>
                <w:rFonts w:hint="eastAsia" w:ascii="宋体" w:hAnsi="宋体" w:eastAsia="宋体"/>
                <w:i/>
                <w:iCs/>
                <w:color w:val="3366FF"/>
                <w:sz w:val="18"/>
                <w:szCs w:val="18"/>
              </w:rPr>
              <w:t>或者更细粒度版本号</w:t>
            </w:r>
          </w:p>
        </w:tc>
      </w:tr>
      <w:tr w14:paraId="6E207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Merge w:val="continue"/>
          </w:tcPr>
          <w:p w14:paraId="1540685B">
            <w:pPr>
              <w:spacing w:after="0" w:line="240" w:lineRule="auto"/>
              <w:rPr>
                <w:rFonts w:hint="eastAsia" w:ascii="宋体" w:hAnsi="宋体" w:eastAsia="宋体"/>
                <w:b/>
                <w:bCs/>
                <w:sz w:val="18"/>
                <w:szCs w:val="18"/>
              </w:rPr>
            </w:pPr>
          </w:p>
        </w:tc>
        <w:tc>
          <w:tcPr>
            <w:tcW w:w="2074" w:type="dxa"/>
          </w:tcPr>
          <w:p w14:paraId="62F032C3">
            <w:pPr>
              <w:spacing w:after="0" w:line="240" w:lineRule="auto"/>
              <w:rPr>
                <w:rFonts w:hint="eastAsia"/>
                <w:i/>
                <w:iCs/>
                <w:color w:val="3366FF"/>
              </w:rPr>
            </w:pPr>
            <w:r>
              <w:rPr>
                <w:rFonts w:hint="eastAsia" w:ascii="宋体" w:hAnsi="宋体" w:eastAsia="宋体"/>
                <w:i/>
                <w:iCs/>
                <w:color w:val="3366FF"/>
                <w:sz w:val="18"/>
                <w:szCs w:val="18"/>
              </w:rPr>
              <w:t>产品名2（如</w:t>
            </w:r>
            <w:r>
              <w:rPr>
                <w:rFonts w:hint="eastAsia" w:ascii="Times New Roman" w:hAnsi="Times New Roman" w:eastAsia="宋体" w:cs="Times New Roman"/>
                <w:i/>
                <w:iCs/>
                <w:color w:val="3366FF"/>
                <w:sz w:val="18"/>
                <w:szCs w:val="18"/>
              </w:rPr>
              <w:t>XXXX</w:t>
            </w:r>
            <w:r>
              <w:rPr>
                <w:rFonts w:hint="eastAsia" w:ascii="宋体" w:hAnsi="宋体" w:eastAsia="宋体"/>
                <w:i/>
                <w:iCs/>
                <w:color w:val="3366FF"/>
                <w:sz w:val="18"/>
                <w:szCs w:val="18"/>
              </w:rPr>
              <w:t>）</w:t>
            </w:r>
          </w:p>
        </w:tc>
        <w:tc>
          <w:tcPr>
            <w:tcW w:w="4148" w:type="dxa"/>
            <w:gridSpan w:val="2"/>
          </w:tcPr>
          <w:p w14:paraId="0E6259EC">
            <w:pPr>
              <w:spacing w:after="0" w:line="240" w:lineRule="auto"/>
              <w:rPr>
                <w:rFonts w:hint="eastAsia"/>
                <w:i/>
                <w:iCs/>
                <w:color w:val="3366FF"/>
              </w:rPr>
            </w:pPr>
          </w:p>
        </w:tc>
      </w:tr>
      <w:tr w14:paraId="7D684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Merge w:val="restart"/>
          </w:tcPr>
          <w:p w14:paraId="18FFA818">
            <w:pPr>
              <w:spacing w:after="0" w:line="240" w:lineRule="auto"/>
              <w:rPr>
                <w:rFonts w:hint="eastAsia" w:ascii="宋体" w:hAnsi="宋体" w:eastAsia="宋体"/>
                <w:b/>
                <w:bCs/>
                <w:sz w:val="18"/>
                <w:szCs w:val="18"/>
              </w:rPr>
            </w:pPr>
            <w:r>
              <w:rPr>
                <w:rFonts w:hint="eastAsia" w:ascii="宋体" w:hAnsi="宋体" w:eastAsia="宋体"/>
                <w:b/>
                <w:bCs/>
                <w:sz w:val="18"/>
                <w:szCs w:val="18"/>
              </w:rPr>
              <w:t>现网存量版本</w:t>
            </w:r>
          </w:p>
        </w:tc>
        <w:tc>
          <w:tcPr>
            <w:tcW w:w="2074" w:type="dxa"/>
          </w:tcPr>
          <w:p w14:paraId="22E06581">
            <w:pPr>
              <w:spacing w:after="0" w:line="240" w:lineRule="auto"/>
              <w:rPr>
                <w:rFonts w:hint="eastAsia"/>
                <w:i/>
                <w:iCs/>
                <w:color w:val="3366FF"/>
              </w:rPr>
            </w:pPr>
            <w:r>
              <w:rPr>
                <w:rFonts w:hint="eastAsia" w:ascii="宋体" w:hAnsi="宋体" w:eastAsia="宋体"/>
                <w:i/>
                <w:iCs/>
                <w:color w:val="3366FF"/>
                <w:sz w:val="18"/>
                <w:szCs w:val="18"/>
              </w:rPr>
              <w:t>产品名1（如</w:t>
            </w:r>
            <w:r>
              <w:rPr>
                <w:rFonts w:hint="eastAsia" w:ascii="Times New Roman" w:hAnsi="Times New Roman" w:eastAsia="宋体" w:cs="Times New Roman"/>
                <w:i/>
                <w:iCs/>
                <w:color w:val="3366FF"/>
                <w:sz w:val="18"/>
                <w:szCs w:val="18"/>
              </w:rPr>
              <w:t>XXXX</w:t>
            </w:r>
            <w:r>
              <w:rPr>
                <w:rFonts w:hint="eastAsia" w:ascii="宋体" w:hAnsi="宋体" w:eastAsia="宋体"/>
                <w:i/>
                <w:iCs/>
                <w:color w:val="3366FF"/>
                <w:sz w:val="18"/>
                <w:szCs w:val="18"/>
              </w:rPr>
              <w:t>）</w:t>
            </w:r>
          </w:p>
        </w:tc>
        <w:tc>
          <w:tcPr>
            <w:tcW w:w="4148" w:type="dxa"/>
            <w:gridSpan w:val="2"/>
          </w:tcPr>
          <w:p w14:paraId="22F71EE0">
            <w:pPr>
              <w:spacing w:after="0" w:line="240" w:lineRule="auto"/>
              <w:rPr>
                <w:rFonts w:hint="eastAsia"/>
                <w:i/>
                <w:iCs/>
                <w:color w:val="3366FF"/>
              </w:rPr>
            </w:pPr>
          </w:p>
        </w:tc>
      </w:tr>
      <w:tr w14:paraId="4008A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Merge w:val="continue"/>
          </w:tcPr>
          <w:p w14:paraId="79F7E3A5">
            <w:pPr>
              <w:spacing w:after="0" w:line="240" w:lineRule="auto"/>
              <w:rPr>
                <w:rFonts w:hint="eastAsia"/>
              </w:rPr>
            </w:pPr>
          </w:p>
        </w:tc>
        <w:tc>
          <w:tcPr>
            <w:tcW w:w="2074" w:type="dxa"/>
          </w:tcPr>
          <w:p w14:paraId="35E53185">
            <w:pPr>
              <w:spacing w:after="0" w:line="240" w:lineRule="auto"/>
              <w:rPr>
                <w:rFonts w:hint="eastAsia"/>
                <w:i/>
                <w:iCs/>
                <w:color w:val="3366FF"/>
              </w:rPr>
            </w:pPr>
            <w:r>
              <w:rPr>
                <w:rFonts w:hint="eastAsia" w:ascii="宋体" w:hAnsi="宋体" w:eastAsia="宋体"/>
                <w:i/>
                <w:iCs/>
                <w:color w:val="3366FF"/>
                <w:sz w:val="18"/>
                <w:szCs w:val="18"/>
              </w:rPr>
              <w:t>产品名2（如</w:t>
            </w:r>
            <w:r>
              <w:rPr>
                <w:rFonts w:hint="eastAsia" w:ascii="Times New Roman" w:hAnsi="Times New Roman" w:eastAsia="宋体" w:cs="Times New Roman"/>
                <w:i/>
                <w:iCs/>
                <w:color w:val="3366FF"/>
                <w:sz w:val="18"/>
                <w:szCs w:val="18"/>
              </w:rPr>
              <w:t>XXXX</w:t>
            </w:r>
            <w:r>
              <w:rPr>
                <w:rFonts w:hint="eastAsia" w:ascii="宋体" w:hAnsi="宋体" w:eastAsia="宋体"/>
                <w:i/>
                <w:iCs/>
                <w:color w:val="3366FF"/>
                <w:sz w:val="18"/>
                <w:szCs w:val="18"/>
              </w:rPr>
              <w:t>）</w:t>
            </w:r>
          </w:p>
        </w:tc>
        <w:tc>
          <w:tcPr>
            <w:tcW w:w="4148" w:type="dxa"/>
            <w:gridSpan w:val="2"/>
          </w:tcPr>
          <w:p w14:paraId="670B8560">
            <w:pPr>
              <w:spacing w:after="0" w:line="240" w:lineRule="auto"/>
              <w:rPr>
                <w:rFonts w:hint="eastAsia"/>
                <w:i/>
                <w:iCs/>
                <w:color w:val="3366FF"/>
              </w:rPr>
            </w:pPr>
          </w:p>
        </w:tc>
      </w:tr>
      <w:tr w14:paraId="278E0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Merge w:val="continue"/>
          </w:tcPr>
          <w:p w14:paraId="3F5361AF">
            <w:pPr>
              <w:spacing w:after="0" w:line="240" w:lineRule="auto"/>
              <w:rPr>
                <w:rFonts w:hint="eastAsia"/>
              </w:rPr>
            </w:pPr>
          </w:p>
        </w:tc>
        <w:tc>
          <w:tcPr>
            <w:tcW w:w="2074" w:type="dxa"/>
          </w:tcPr>
          <w:p w14:paraId="7CD74A1E">
            <w:pPr>
              <w:spacing w:after="0" w:line="240" w:lineRule="auto"/>
              <w:rPr>
                <w:rFonts w:hint="eastAsia"/>
                <w:i/>
                <w:iCs/>
                <w:color w:val="3366FF"/>
              </w:rPr>
            </w:pPr>
            <w:r>
              <w:rPr>
                <w:i/>
                <w:iCs/>
                <w:color w:val="3366FF"/>
              </w:rPr>
              <w:t>……</w:t>
            </w:r>
            <w:bookmarkStart w:id="0" w:name="_GoBack"/>
            <w:bookmarkEnd w:id="0"/>
          </w:p>
        </w:tc>
        <w:tc>
          <w:tcPr>
            <w:tcW w:w="4148" w:type="dxa"/>
            <w:gridSpan w:val="2"/>
          </w:tcPr>
          <w:p w14:paraId="333C3370">
            <w:pPr>
              <w:spacing w:after="0" w:line="240" w:lineRule="auto"/>
              <w:rPr>
                <w:rFonts w:hint="eastAsia"/>
                <w:i/>
                <w:iCs/>
                <w:color w:val="3366FF"/>
              </w:rPr>
            </w:pPr>
          </w:p>
        </w:tc>
      </w:tr>
      <w:tr w14:paraId="67400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Merge w:val="continue"/>
          </w:tcPr>
          <w:p w14:paraId="5FD5E061">
            <w:pPr>
              <w:spacing w:after="0" w:line="240" w:lineRule="auto"/>
              <w:rPr>
                <w:rFonts w:hint="eastAsia"/>
              </w:rPr>
            </w:pPr>
          </w:p>
        </w:tc>
        <w:tc>
          <w:tcPr>
            <w:tcW w:w="2074" w:type="dxa"/>
          </w:tcPr>
          <w:p w14:paraId="2B0DCA59">
            <w:pPr>
              <w:spacing w:after="0" w:line="240" w:lineRule="auto"/>
              <w:rPr>
                <w:rFonts w:hint="eastAsia"/>
                <w:i/>
                <w:iCs/>
                <w:color w:val="3366FF"/>
              </w:rPr>
            </w:pPr>
            <w:r>
              <w:rPr>
                <w:rFonts w:hint="eastAsia" w:ascii="宋体" w:hAnsi="宋体" w:eastAsia="宋体"/>
                <w:i/>
                <w:iCs/>
                <w:color w:val="3366FF"/>
                <w:sz w:val="18"/>
                <w:szCs w:val="18"/>
              </w:rPr>
              <w:t>是否完成现网存量版本全量评估</w:t>
            </w:r>
          </w:p>
        </w:tc>
        <w:tc>
          <w:tcPr>
            <w:tcW w:w="4148" w:type="dxa"/>
            <w:gridSpan w:val="2"/>
          </w:tcPr>
          <w:p w14:paraId="05429AFA">
            <w:pPr>
              <w:spacing w:after="0" w:line="240" w:lineRule="auto"/>
              <w:rPr>
                <w:rFonts w:hint="eastAsia"/>
                <w:i/>
                <w:iCs/>
                <w:color w:val="3366FF"/>
              </w:rPr>
            </w:pPr>
            <w:r>
              <w:rPr>
                <w:rFonts w:hint="eastAsia" w:ascii="Times New Roman" w:hAnsi="Times New Roman" w:eastAsia="宋体" w:cs="Times New Roman"/>
                <w:i/>
                <w:iCs/>
                <w:color w:val="3366FF"/>
                <w:sz w:val="18"/>
                <w:szCs w:val="18"/>
              </w:rPr>
              <w:t>Y</w:t>
            </w:r>
          </w:p>
        </w:tc>
      </w:tr>
    </w:tbl>
    <w:p w14:paraId="12D58094">
      <w:pPr>
        <w:rPr>
          <w:rFonts w:hint="eastAsia"/>
        </w:rPr>
      </w:pPr>
    </w:p>
    <w:p w14:paraId="1F8CBA12">
      <w:pPr>
        <w:rPr>
          <w:rFonts w:hint="eastAsia"/>
        </w:rPr>
      </w:pPr>
    </w:p>
    <w:p w14:paraId="2BD58964">
      <w:pPr>
        <w:rPr>
          <w:rFonts w:hint="eastAsia"/>
        </w:rPr>
      </w:pPr>
    </w:p>
    <w:p w14:paraId="5B886BE6">
      <w:pPr>
        <w:rPr>
          <w:rFonts w:hint="eastAsia"/>
        </w:rPr>
      </w:pPr>
    </w:p>
    <w:p w14:paraId="6CE8D34A">
      <w:pPr>
        <w:rPr>
          <w:rFonts w:hint="eastAsia"/>
        </w:rPr>
      </w:pPr>
    </w:p>
    <w:p w14:paraId="58B57069">
      <w:pPr>
        <w:rPr>
          <w:rFonts w:hint="eastAsia"/>
        </w:rPr>
      </w:pPr>
    </w:p>
    <w:p w14:paraId="60D9D80C">
      <w:pPr>
        <w:rPr>
          <w:rFonts w:hint="eastAsia"/>
        </w:rPr>
      </w:pPr>
    </w:p>
    <w:p w14:paraId="273951E9">
      <w:pPr>
        <w:rPr>
          <w:rFonts w:hint="eastAsia"/>
        </w:rPr>
      </w:pPr>
    </w:p>
    <w:p w14:paraId="1D931CE7">
      <w:pPr>
        <w:rPr>
          <w:rFonts w:hint="eastAsia"/>
        </w:rPr>
      </w:pPr>
    </w:p>
    <w:p w14:paraId="3D08D4A0">
      <w:pPr>
        <w:rPr>
          <w:rFonts w:hint="eastAsia"/>
        </w:rPr>
      </w:pPr>
    </w:p>
    <w:p w14:paraId="0C344673">
      <w:pPr>
        <w:rPr>
          <w:rFonts w:hint="eastAsia"/>
        </w:rPr>
      </w:pPr>
    </w:p>
    <w:p w14:paraId="4B888B09">
      <w:pPr>
        <w:rPr>
          <w:rFonts w:hint="eastAsia"/>
        </w:rPr>
      </w:pPr>
    </w:p>
    <w:p w14:paraId="5FDE6878">
      <w:pPr>
        <w:rPr>
          <w:rFonts w:hint="eastAsia"/>
        </w:rPr>
      </w:pPr>
    </w:p>
    <w:p w14:paraId="190320C0">
      <w:pPr>
        <w:pStyle w:val="2"/>
        <w:numPr>
          <w:ilvl w:val="0"/>
          <w:numId w:val="1"/>
        </w:numPr>
        <w:pBdr>
          <w:bottom w:val="single" w:color="auto" w:sz="12" w:space="3"/>
        </w:pBdr>
        <w:jc w:val="right"/>
        <w:rPr>
          <w:rFonts w:ascii="Arial" w:hAnsi="Arial" w:cs="Arial"/>
          <w:b/>
          <w:bCs/>
          <w:color w:val="auto"/>
          <w:sz w:val="32"/>
          <w:szCs w:val="32"/>
        </w:rPr>
      </w:pPr>
      <w:r>
        <w:rPr>
          <w:rFonts w:hint="eastAsia" w:ascii="Arial" w:hAnsi="Arial" w:cs="Arial"/>
          <w:b/>
          <w:bCs/>
          <w:color w:val="auto"/>
          <w:sz w:val="32"/>
          <w:szCs w:val="32"/>
        </w:rPr>
        <w:t>漏洞详细描述</w:t>
      </w:r>
    </w:p>
    <w:p w14:paraId="1D35CA7D">
      <w:pPr>
        <w:pStyle w:val="3"/>
        <w:numPr>
          <w:ilvl w:val="0"/>
          <w:numId w:val="2"/>
        </w:numPr>
        <w:rPr>
          <w:rFonts w:hint="eastAsia" w:ascii="黑体" w:hAnsi="黑体" w:eastAsia="黑体"/>
          <w:color w:val="auto"/>
          <w:sz w:val="24"/>
          <w:szCs w:val="24"/>
        </w:rPr>
      </w:pPr>
      <w:r>
        <w:rPr>
          <w:rFonts w:hint="eastAsia" w:ascii="黑体" w:hAnsi="黑体" w:eastAsia="黑体"/>
          <w:color w:val="auto"/>
          <w:sz w:val="24"/>
          <w:szCs w:val="24"/>
        </w:rPr>
        <w:t>漏洞描述</w:t>
      </w:r>
    </w:p>
    <w:p w14:paraId="08B8FA61">
      <w:pPr>
        <w:rPr>
          <w:rFonts w:ascii="Times New Roman" w:hAnsi="Times New Roman" w:eastAsia="宋体" w:cs="Times New Roman"/>
          <w:i/>
          <w:iCs/>
          <w:color w:val="3366FF"/>
          <w:sz w:val="18"/>
          <w:szCs w:val="18"/>
        </w:rPr>
      </w:pPr>
      <w:r>
        <w:fldChar w:fldCharType="begin"/>
      </w:r>
      <w:r>
        <w:instrText xml:space="preserve"> HYPERLINK "https://www.intel.com/content/www/us/en/security-center/advisory/intel-sa-00390.html" </w:instrText>
      </w:r>
      <w:r>
        <w:fldChar w:fldCharType="separate"/>
      </w:r>
      <w:r>
        <w:rPr>
          <w:rFonts w:ascii="Times New Roman" w:hAnsi="Times New Roman" w:eastAsia="宋体" w:cs="Times New Roman"/>
          <w:i/>
          <w:iCs/>
          <w:color w:val="3366FF"/>
          <w:sz w:val="18"/>
          <w:szCs w:val="18"/>
        </w:rPr>
        <w:t>https://</w:t>
      </w:r>
      <w:r>
        <w:rPr>
          <w:rFonts w:hint="eastAsia" w:ascii="Times New Roman" w:hAnsi="Times New Roman" w:eastAsia="宋体" w:cs="Times New Roman"/>
          <w:i/>
          <w:iCs/>
          <w:color w:val="3366FF"/>
          <w:sz w:val="18"/>
          <w:szCs w:val="18"/>
        </w:rPr>
        <w:t>www.intel.com/content/www/us/en/security-center/advisory/intel-sa-00390.html</w:t>
      </w:r>
      <w:r>
        <w:rPr>
          <w:rFonts w:hint="eastAsia" w:ascii="Times New Roman" w:hAnsi="Times New Roman" w:eastAsia="宋体" w:cs="Times New Roman"/>
          <w:i/>
          <w:iCs/>
          <w:color w:val="3366FF"/>
          <w:sz w:val="18"/>
          <w:szCs w:val="18"/>
        </w:rPr>
        <w:fldChar w:fldCharType="end"/>
      </w:r>
    </w:p>
    <w:p w14:paraId="169E6C82">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Improper access control in BIOS firmware for some Intel(R) Processors may allow a privileged user to potentially enable escalation of privilege via local access.</w:t>
      </w:r>
    </w:p>
    <w:p w14:paraId="0BB21F8B">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某些英特尔</w:t>
      </w:r>
      <w:r>
        <w:rPr>
          <w:rFonts w:ascii="Times New Roman" w:hAnsi="Times New Roman" w:eastAsia="宋体" w:cs="Times New Roman"/>
          <w:i/>
          <w:iCs/>
          <w:color w:val="3366FF"/>
          <w:sz w:val="18"/>
          <w:szCs w:val="18"/>
        </w:rPr>
        <w:t>®</w:t>
      </w:r>
      <w:r>
        <w:rPr>
          <w:rFonts w:hint="eastAsia" w:ascii="Times New Roman" w:hAnsi="Times New Roman" w:eastAsia="宋体" w:cs="Times New Roman"/>
          <w:i/>
          <w:iCs/>
          <w:color w:val="3366FF"/>
          <w:sz w:val="18"/>
          <w:szCs w:val="18"/>
        </w:rPr>
        <w:t>处理器的BIOS固件中不正确的访问控制可能是特权用户能够通过本地访问进行权限提升。</w:t>
      </w:r>
    </w:p>
    <w:p w14:paraId="466F910C">
      <w:pPr>
        <w:pStyle w:val="3"/>
        <w:numPr>
          <w:ilvl w:val="0"/>
          <w:numId w:val="2"/>
        </w:numPr>
        <w:rPr>
          <w:rFonts w:hint="eastAsia" w:ascii="黑体" w:hAnsi="黑体" w:eastAsia="黑体"/>
          <w:color w:val="auto"/>
          <w:sz w:val="24"/>
          <w:szCs w:val="24"/>
        </w:rPr>
      </w:pPr>
      <w:r>
        <w:rPr>
          <w:rFonts w:hint="eastAsia" w:ascii="黑体" w:hAnsi="黑体" w:eastAsia="黑体"/>
          <w:color w:val="auto"/>
          <w:sz w:val="24"/>
          <w:szCs w:val="24"/>
        </w:rPr>
        <w:t>影响范围和风险</w:t>
      </w:r>
    </w:p>
    <w:p w14:paraId="1A11A31C">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涉及漏洞的组件、开源、自研的名称和版本</w:t>
      </w:r>
    </w:p>
    <w:p w14:paraId="4C8C69EA">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漏洞被利用的影响产生的风险</w:t>
      </w:r>
    </w:p>
    <w:p w14:paraId="691A0A6A">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例如：</w:t>
      </w:r>
    </w:p>
    <w:p w14:paraId="47EE9B17">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涉及LOG-uniBIOS Grangeville V100R007C52SPC002B020</w:t>
      </w:r>
    </w:p>
    <w:p w14:paraId="36C9F409">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LOG-uniBIOS Grantley V00R007C06SPC003B020</w:t>
      </w:r>
    </w:p>
    <w:p w14:paraId="54AF2798">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会导致特权提升</w:t>
      </w:r>
    </w:p>
    <w:p w14:paraId="6FC02860">
      <w:pPr>
        <w:pStyle w:val="3"/>
        <w:numPr>
          <w:ilvl w:val="0"/>
          <w:numId w:val="2"/>
        </w:numPr>
        <w:rPr>
          <w:rFonts w:hint="eastAsia" w:ascii="黑体" w:hAnsi="黑体" w:eastAsia="黑体"/>
          <w:color w:val="auto"/>
          <w:sz w:val="24"/>
          <w:szCs w:val="24"/>
        </w:rPr>
      </w:pPr>
      <w:r>
        <w:rPr>
          <w:rFonts w:hint="eastAsia" w:ascii="黑体" w:hAnsi="黑体" w:eastAsia="黑体"/>
          <w:color w:val="auto"/>
          <w:sz w:val="24"/>
          <w:szCs w:val="24"/>
        </w:rPr>
        <w:t>触发条件</w:t>
      </w:r>
    </w:p>
    <w:p w14:paraId="61F3D9C2">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触发条件，例如：</w:t>
      </w:r>
    </w:p>
    <w:p w14:paraId="2F478318">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本地访问</w:t>
      </w:r>
    </w:p>
    <w:p w14:paraId="7D1E8418">
      <w:pPr>
        <w:pStyle w:val="3"/>
        <w:numPr>
          <w:ilvl w:val="0"/>
          <w:numId w:val="2"/>
        </w:numPr>
        <w:rPr>
          <w:rFonts w:hint="eastAsia" w:ascii="黑体" w:hAnsi="黑体" w:eastAsia="黑体"/>
          <w:color w:val="auto"/>
          <w:sz w:val="24"/>
          <w:szCs w:val="24"/>
        </w:rPr>
      </w:pPr>
      <w:r>
        <w:rPr>
          <w:rFonts w:hint="eastAsia" w:ascii="黑体" w:hAnsi="黑体" w:eastAsia="黑体"/>
          <w:color w:val="auto"/>
          <w:sz w:val="24"/>
          <w:szCs w:val="24"/>
        </w:rPr>
        <w:t>故障现象</w:t>
      </w:r>
    </w:p>
    <w:p w14:paraId="2B488F7D">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故障现象，例如：</w:t>
      </w:r>
    </w:p>
    <w:p w14:paraId="779323E1">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特权用户本地登录触发漏洞后能提升权限。</w:t>
      </w:r>
    </w:p>
    <w:p w14:paraId="45987BD0">
      <w:pPr>
        <w:pStyle w:val="3"/>
        <w:numPr>
          <w:ilvl w:val="0"/>
          <w:numId w:val="2"/>
        </w:numPr>
        <w:rPr>
          <w:rFonts w:hint="eastAsia" w:ascii="黑体" w:hAnsi="黑体" w:eastAsia="黑体"/>
          <w:color w:val="auto"/>
          <w:sz w:val="24"/>
          <w:szCs w:val="24"/>
        </w:rPr>
      </w:pPr>
      <w:r>
        <w:rPr>
          <w:rFonts w:hint="eastAsia" w:ascii="黑体" w:hAnsi="黑体" w:eastAsia="黑体"/>
          <w:color w:val="auto"/>
          <w:sz w:val="24"/>
          <w:szCs w:val="24"/>
        </w:rPr>
        <w:t>根本原因</w:t>
      </w:r>
    </w:p>
    <w:p w14:paraId="2F32338E">
      <w:pPr>
        <w:rPr>
          <w:rFonts w:ascii="Times New Roman" w:hAnsi="Times New Roman" w:eastAsia="宋体" w:cs="Times New Roman"/>
          <w:b/>
          <w:bCs/>
          <w:i/>
          <w:iCs/>
          <w:color w:val="3366FF"/>
          <w:sz w:val="20"/>
          <w:szCs w:val="20"/>
        </w:rPr>
      </w:pPr>
      <w:r>
        <w:rPr>
          <w:rFonts w:hint="eastAsia" w:ascii="Times New Roman" w:hAnsi="Times New Roman" w:eastAsia="宋体" w:cs="Times New Roman"/>
          <w:b/>
          <w:bCs/>
          <w:i/>
          <w:iCs/>
          <w:color w:val="3366FF"/>
          <w:sz w:val="20"/>
          <w:szCs w:val="20"/>
        </w:rPr>
        <w:t>要求给出支撑漏洞原理分析的漏洞关键代码片段，可以是漏洞成因代码，也可以是patch代码。</w:t>
      </w:r>
    </w:p>
    <w:p w14:paraId="5AD7513D">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例如：2.65.3版本之前的glib，其g_option_group_add_entries命令行参数解析函数中存在整数溢出，可能会导致越界写入。</w:t>
      </w:r>
    </w:p>
    <w:p w14:paraId="7AA87A24">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可附上代码截图</w:t>
      </w:r>
    </w:p>
    <w:p w14:paraId="60D630B4">
      <w:pPr>
        <w:pStyle w:val="3"/>
        <w:numPr>
          <w:ilvl w:val="0"/>
          <w:numId w:val="2"/>
        </w:numPr>
        <w:rPr>
          <w:rFonts w:hint="eastAsia" w:ascii="黑体" w:hAnsi="黑体" w:eastAsia="黑体"/>
          <w:color w:val="auto"/>
          <w:sz w:val="24"/>
          <w:szCs w:val="24"/>
        </w:rPr>
      </w:pPr>
      <w:r>
        <w:rPr>
          <w:rFonts w:hint="eastAsia" w:ascii="黑体" w:hAnsi="黑体" w:eastAsia="黑体"/>
          <w:color w:val="auto"/>
          <w:sz w:val="24"/>
          <w:szCs w:val="24"/>
        </w:rPr>
        <w:t>排查/判断方法</w:t>
      </w:r>
    </w:p>
    <w:p w14:paraId="5BB734B6">
      <w:pPr>
        <w:rPr>
          <w:rFonts w:ascii="Times New Roman" w:hAnsi="Times New Roman" w:eastAsia="宋体" w:cs="Times New Roman"/>
          <w:b/>
          <w:bCs/>
          <w:i/>
          <w:iCs/>
          <w:color w:val="3366FF"/>
          <w:sz w:val="20"/>
          <w:szCs w:val="20"/>
        </w:rPr>
      </w:pPr>
      <w:r>
        <w:rPr>
          <w:rFonts w:hint="eastAsia" w:ascii="Times New Roman" w:hAnsi="Times New Roman" w:eastAsia="宋体" w:cs="Times New Roman"/>
          <w:b/>
          <w:bCs/>
          <w:i/>
          <w:iCs/>
          <w:color w:val="3366FF"/>
          <w:sz w:val="20"/>
          <w:szCs w:val="20"/>
        </w:rPr>
        <w:t>可以复制组件给出的排查方法，或者第三方的发布的确认方法</w:t>
      </w:r>
    </w:p>
    <w:p w14:paraId="14FB94A6">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例如：</w:t>
      </w:r>
    </w:p>
    <w:p w14:paraId="1579AF4D">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 xml:space="preserve">是否裁剪乐力bglib-2.0包，即是否有package add2release </w:t>
      </w:r>
      <w:r>
        <w:rPr>
          <w:rFonts w:ascii="Times New Roman" w:hAnsi="Times New Roman" w:eastAsia="宋体" w:cs="Times New Roman"/>
          <w:i/>
          <w:iCs/>
          <w:color w:val="3366FF"/>
          <w:sz w:val="18"/>
          <w:szCs w:val="18"/>
        </w:rPr>
        <w:t>“</w:t>
      </w:r>
      <w:r>
        <w:rPr>
          <w:rFonts w:hint="eastAsia" w:ascii="Times New Roman" w:hAnsi="Times New Roman" w:eastAsia="宋体" w:cs="Times New Roman"/>
          <w:i/>
          <w:iCs/>
          <w:color w:val="3366FF"/>
          <w:sz w:val="18"/>
          <w:szCs w:val="18"/>
        </w:rPr>
        <w:t>libglib-2.0</w:t>
      </w:r>
      <w:r>
        <w:rPr>
          <w:rFonts w:ascii="Times New Roman" w:hAnsi="Times New Roman" w:eastAsia="宋体" w:cs="Times New Roman"/>
          <w:i/>
          <w:iCs/>
          <w:color w:val="3366FF"/>
          <w:sz w:val="18"/>
          <w:szCs w:val="18"/>
        </w:rPr>
        <w:t>”</w:t>
      </w:r>
      <w:r>
        <w:rPr>
          <w:rFonts w:hint="eastAsia" w:ascii="Times New Roman" w:hAnsi="Times New Roman" w:eastAsia="宋体" w:cs="Times New Roman"/>
          <w:i/>
          <w:iCs/>
          <w:color w:val="3366FF"/>
          <w:sz w:val="18"/>
          <w:szCs w:val="18"/>
        </w:rPr>
        <w:t xml:space="preserve">或package add2release </w:t>
      </w:r>
      <w:r>
        <w:rPr>
          <w:rFonts w:ascii="Times New Roman" w:hAnsi="Times New Roman" w:eastAsia="宋体" w:cs="Times New Roman"/>
          <w:i/>
          <w:iCs/>
          <w:color w:val="3366FF"/>
          <w:sz w:val="18"/>
          <w:szCs w:val="18"/>
        </w:rPr>
        <w:t>“</w:t>
      </w:r>
      <w:r>
        <w:rPr>
          <w:rFonts w:hint="eastAsia" w:ascii="Times New Roman" w:hAnsi="Times New Roman" w:eastAsia="宋体" w:cs="Times New Roman"/>
          <w:i/>
          <w:iCs/>
          <w:color w:val="3366FF"/>
          <w:sz w:val="18"/>
          <w:szCs w:val="18"/>
        </w:rPr>
        <w:t>libglib-2.0-lib32</w:t>
      </w:r>
      <w:r>
        <w:rPr>
          <w:rFonts w:ascii="Times New Roman" w:hAnsi="Times New Roman" w:eastAsia="宋体" w:cs="Times New Roman"/>
          <w:i/>
          <w:iCs/>
          <w:color w:val="3366FF"/>
          <w:sz w:val="18"/>
          <w:szCs w:val="18"/>
        </w:rPr>
        <w:t>”</w:t>
      </w:r>
      <w:r>
        <w:rPr>
          <w:rFonts w:hint="eastAsia" w:ascii="Times New Roman" w:hAnsi="Times New Roman" w:eastAsia="宋体" w:cs="Times New Roman"/>
          <w:i/>
          <w:iCs/>
          <w:color w:val="3366FF"/>
          <w:sz w:val="18"/>
          <w:szCs w:val="18"/>
        </w:rPr>
        <w:t>裁剪动作，不包含组件，不涉及；</w:t>
      </w:r>
    </w:p>
    <w:p w14:paraId="56F97B79">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 xml:space="preserve">是否裁剪了，即是否有file add2release </w:t>
      </w:r>
      <w:r>
        <w:rPr>
          <w:rFonts w:ascii="Times New Roman" w:hAnsi="Times New Roman" w:eastAsia="宋体" w:cs="Times New Roman"/>
          <w:i/>
          <w:iCs/>
          <w:color w:val="3366FF"/>
          <w:sz w:val="18"/>
          <w:szCs w:val="18"/>
        </w:rPr>
        <w:t>“</w:t>
      </w:r>
      <w:r>
        <w:rPr>
          <w:rFonts w:hint="eastAsia" w:ascii="Times New Roman" w:hAnsi="Times New Roman" w:eastAsia="宋体" w:cs="Times New Roman"/>
          <w:i/>
          <w:iCs/>
          <w:color w:val="3366FF"/>
          <w:sz w:val="18"/>
          <w:szCs w:val="18"/>
        </w:rPr>
        <w:t>libglib-2.0.0@@/usr/lib64/libglib-2.0.so.0.6200.5</w:t>
      </w:r>
      <w:r>
        <w:rPr>
          <w:rFonts w:ascii="Times New Roman" w:hAnsi="Times New Roman" w:eastAsia="宋体" w:cs="Times New Roman"/>
          <w:i/>
          <w:iCs/>
          <w:color w:val="3366FF"/>
          <w:sz w:val="18"/>
          <w:szCs w:val="18"/>
        </w:rPr>
        <w:t>”</w:t>
      </w:r>
      <w:r>
        <w:rPr>
          <w:rFonts w:hint="eastAsia" w:ascii="Times New Roman" w:hAnsi="Times New Roman" w:eastAsia="宋体" w:cs="Times New Roman"/>
          <w:i/>
          <w:iCs/>
          <w:color w:val="3366FF"/>
          <w:sz w:val="18"/>
          <w:szCs w:val="18"/>
        </w:rPr>
        <w:t xml:space="preserve">或file add2release2release </w:t>
      </w:r>
      <w:r>
        <w:rPr>
          <w:rFonts w:ascii="Times New Roman" w:hAnsi="Times New Roman" w:eastAsia="宋体" w:cs="Times New Roman"/>
          <w:i/>
          <w:iCs/>
          <w:color w:val="3366FF"/>
          <w:sz w:val="18"/>
          <w:szCs w:val="18"/>
        </w:rPr>
        <w:t>“</w:t>
      </w:r>
      <w:r>
        <w:rPr>
          <w:rFonts w:hint="eastAsia" w:ascii="Times New Roman" w:hAnsi="Times New Roman" w:eastAsia="宋体" w:cs="Times New Roman"/>
          <w:i/>
          <w:iCs/>
          <w:color w:val="3366FF"/>
          <w:sz w:val="18"/>
          <w:szCs w:val="18"/>
        </w:rPr>
        <w:t>libglib-2.0.0-lib32@@/usr/lib64/libglib-2.0.so.0.6200.5</w:t>
      </w:r>
      <w:r>
        <w:rPr>
          <w:rFonts w:ascii="Times New Roman" w:hAnsi="Times New Roman" w:eastAsia="宋体" w:cs="Times New Roman"/>
          <w:i/>
          <w:iCs/>
          <w:color w:val="3366FF"/>
          <w:sz w:val="18"/>
          <w:szCs w:val="18"/>
        </w:rPr>
        <w:t>”</w:t>
      </w:r>
      <w:r>
        <w:rPr>
          <w:rFonts w:hint="eastAsia" w:ascii="Times New Roman" w:hAnsi="Times New Roman" w:eastAsia="宋体" w:cs="Times New Roman"/>
          <w:i/>
          <w:iCs/>
          <w:color w:val="3366FF"/>
          <w:sz w:val="18"/>
          <w:szCs w:val="18"/>
        </w:rPr>
        <w:t xml:space="preserve">或file add2release2release </w:t>
      </w:r>
      <w:r>
        <w:rPr>
          <w:rFonts w:ascii="Times New Roman" w:hAnsi="Times New Roman" w:eastAsia="宋体" w:cs="Times New Roman"/>
          <w:i/>
          <w:iCs/>
          <w:color w:val="3366FF"/>
          <w:sz w:val="18"/>
          <w:szCs w:val="18"/>
        </w:rPr>
        <w:t>“</w:t>
      </w:r>
      <w:r>
        <w:rPr>
          <w:rFonts w:hint="eastAsia" w:ascii="Times New Roman" w:hAnsi="Times New Roman" w:eastAsia="宋体" w:cs="Times New Roman"/>
          <w:i/>
          <w:iCs/>
          <w:color w:val="3366FF"/>
          <w:sz w:val="18"/>
          <w:szCs w:val="18"/>
        </w:rPr>
        <w:t>libglib-2.0.0@@/usr/lib64/libglib-2.0.so.0.6200.5</w:t>
      </w:r>
      <w:r>
        <w:rPr>
          <w:rFonts w:ascii="Times New Roman" w:hAnsi="Times New Roman" w:eastAsia="宋体" w:cs="Times New Roman"/>
          <w:i/>
          <w:iCs/>
          <w:color w:val="3366FF"/>
          <w:sz w:val="18"/>
          <w:szCs w:val="18"/>
        </w:rPr>
        <w:t>”</w:t>
      </w:r>
      <w:r>
        <w:rPr>
          <w:rFonts w:hint="eastAsia" w:ascii="Times New Roman" w:hAnsi="Times New Roman" w:eastAsia="宋体" w:cs="Times New Roman"/>
          <w:i/>
          <w:iCs/>
          <w:color w:val="3366FF"/>
          <w:sz w:val="18"/>
          <w:szCs w:val="18"/>
        </w:rPr>
        <w:t>裁剪动作，动态库被裁剪不涉及；</w:t>
      </w:r>
    </w:p>
    <w:p w14:paraId="675B13F6">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用户态diamante是否调用了g_option_group_add_entries函数，无调用不涉及；</w:t>
      </w:r>
    </w:p>
    <w:p w14:paraId="0DD6C526">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满足已上分条件，则不涉及。</w:t>
      </w:r>
    </w:p>
    <w:p w14:paraId="775A2CF3">
      <w:pPr>
        <w:pStyle w:val="3"/>
        <w:numPr>
          <w:ilvl w:val="0"/>
          <w:numId w:val="2"/>
        </w:numPr>
        <w:rPr>
          <w:rFonts w:hint="eastAsia" w:ascii="黑体" w:hAnsi="黑体" w:eastAsia="黑体"/>
          <w:color w:val="auto"/>
          <w:sz w:val="24"/>
          <w:szCs w:val="24"/>
        </w:rPr>
      </w:pPr>
      <w:r>
        <w:rPr>
          <w:rFonts w:hint="eastAsia" w:ascii="黑体" w:hAnsi="黑体" w:eastAsia="黑体"/>
          <w:color w:val="auto"/>
          <w:sz w:val="24"/>
          <w:szCs w:val="24"/>
        </w:rPr>
        <w:t>规避方案及剩余风险</w:t>
      </w:r>
    </w:p>
    <w:p w14:paraId="77746B5B">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规避方案：如果存在规避方案请给出，否则写无；剩余风险：规避方案实施后的剩余风险</w:t>
      </w:r>
    </w:p>
    <w:p w14:paraId="20CF9ADA">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例如：</w:t>
      </w:r>
    </w:p>
    <w:p w14:paraId="6FA315ED">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无，需合入Insyde提供的微码；规避方案实施后的剩余风险</w:t>
      </w:r>
    </w:p>
    <w:p w14:paraId="36EF836F">
      <w:pPr>
        <w:rPr>
          <w:rFonts w:ascii="Times New Roman" w:hAnsi="Times New Roman" w:eastAsia="宋体" w:cs="Times New Roman"/>
          <w:i/>
          <w:iCs/>
          <w:color w:val="3366FF"/>
          <w:sz w:val="18"/>
          <w:szCs w:val="18"/>
        </w:rPr>
      </w:pPr>
    </w:p>
    <w:p w14:paraId="04A34138">
      <w:pPr>
        <w:rPr>
          <w:rFonts w:ascii="Times New Roman" w:hAnsi="Times New Roman" w:eastAsia="宋体" w:cs="Times New Roman"/>
          <w:i/>
          <w:iCs/>
          <w:color w:val="3366FF"/>
          <w:sz w:val="18"/>
          <w:szCs w:val="18"/>
        </w:rPr>
      </w:pPr>
    </w:p>
    <w:p w14:paraId="3AD2ABD6">
      <w:pPr>
        <w:rPr>
          <w:rFonts w:ascii="Times New Roman" w:hAnsi="Times New Roman" w:eastAsia="宋体" w:cs="Times New Roman"/>
          <w:i/>
          <w:iCs/>
          <w:color w:val="3366FF"/>
          <w:sz w:val="18"/>
          <w:szCs w:val="18"/>
        </w:rPr>
      </w:pPr>
    </w:p>
    <w:p w14:paraId="70DB74DC">
      <w:pPr>
        <w:rPr>
          <w:rFonts w:ascii="Times New Roman" w:hAnsi="Times New Roman" w:eastAsia="宋体" w:cs="Times New Roman"/>
          <w:i/>
          <w:iCs/>
          <w:color w:val="3366FF"/>
          <w:sz w:val="18"/>
          <w:szCs w:val="18"/>
        </w:rPr>
      </w:pPr>
    </w:p>
    <w:p w14:paraId="79983407">
      <w:pPr>
        <w:rPr>
          <w:rFonts w:ascii="Times New Roman" w:hAnsi="Times New Roman" w:eastAsia="宋体" w:cs="Times New Roman"/>
          <w:i/>
          <w:iCs/>
          <w:color w:val="3366FF"/>
          <w:sz w:val="18"/>
          <w:szCs w:val="18"/>
        </w:rPr>
      </w:pPr>
    </w:p>
    <w:p w14:paraId="2763C78C">
      <w:pPr>
        <w:rPr>
          <w:rFonts w:ascii="Times New Roman" w:hAnsi="Times New Roman" w:eastAsia="宋体" w:cs="Times New Roman"/>
          <w:i/>
          <w:iCs/>
          <w:color w:val="3366FF"/>
          <w:sz w:val="18"/>
          <w:szCs w:val="18"/>
        </w:rPr>
      </w:pPr>
    </w:p>
    <w:p w14:paraId="09F5A12E">
      <w:pPr>
        <w:rPr>
          <w:rFonts w:ascii="Times New Roman" w:hAnsi="Times New Roman" w:eastAsia="宋体" w:cs="Times New Roman"/>
          <w:i/>
          <w:iCs/>
          <w:color w:val="3366FF"/>
          <w:sz w:val="18"/>
          <w:szCs w:val="18"/>
        </w:rPr>
      </w:pPr>
    </w:p>
    <w:p w14:paraId="2357FA27">
      <w:pPr>
        <w:rPr>
          <w:rFonts w:ascii="Times New Roman" w:hAnsi="Times New Roman" w:eastAsia="宋体" w:cs="Times New Roman"/>
          <w:i/>
          <w:iCs/>
          <w:color w:val="3366FF"/>
          <w:sz w:val="18"/>
          <w:szCs w:val="18"/>
        </w:rPr>
      </w:pPr>
    </w:p>
    <w:p w14:paraId="6F484526">
      <w:pPr>
        <w:rPr>
          <w:rFonts w:ascii="Times New Roman" w:hAnsi="Times New Roman" w:eastAsia="宋体" w:cs="Times New Roman"/>
          <w:i/>
          <w:iCs/>
          <w:color w:val="3366FF"/>
          <w:sz w:val="18"/>
          <w:szCs w:val="18"/>
        </w:rPr>
      </w:pPr>
    </w:p>
    <w:p w14:paraId="6A71FDC6">
      <w:pPr>
        <w:rPr>
          <w:rFonts w:ascii="Times New Roman" w:hAnsi="Times New Roman" w:eastAsia="宋体" w:cs="Times New Roman"/>
          <w:i/>
          <w:iCs/>
          <w:color w:val="3366FF"/>
          <w:sz w:val="18"/>
          <w:szCs w:val="18"/>
        </w:rPr>
      </w:pPr>
    </w:p>
    <w:p w14:paraId="4CE77095">
      <w:pPr>
        <w:rPr>
          <w:rFonts w:ascii="Times New Roman" w:hAnsi="Times New Roman" w:eastAsia="宋体" w:cs="Times New Roman"/>
          <w:i/>
          <w:iCs/>
          <w:color w:val="3366FF"/>
          <w:sz w:val="18"/>
          <w:szCs w:val="18"/>
        </w:rPr>
      </w:pPr>
    </w:p>
    <w:p w14:paraId="028C3C8D">
      <w:pPr>
        <w:pStyle w:val="2"/>
        <w:numPr>
          <w:ilvl w:val="0"/>
          <w:numId w:val="1"/>
        </w:numPr>
        <w:pBdr>
          <w:bottom w:val="single" w:color="auto" w:sz="12" w:space="3"/>
        </w:pBdr>
        <w:jc w:val="right"/>
        <w:rPr>
          <w:rFonts w:ascii="Arial" w:hAnsi="Arial" w:cs="Arial"/>
          <w:b/>
          <w:bCs/>
          <w:color w:val="auto"/>
          <w:sz w:val="32"/>
          <w:szCs w:val="32"/>
        </w:rPr>
      </w:pPr>
      <w:r>
        <w:rPr>
          <w:rFonts w:hint="eastAsia" w:ascii="Arial" w:hAnsi="Arial" w:cs="Arial"/>
          <w:b/>
          <w:bCs/>
          <w:color w:val="auto"/>
          <w:sz w:val="32"/>
          <w:szCs w:val="32"/>
        </w:rPr>
        <w:t>产品排查和举证</w:t>
      </w:r>
    </w:p>
    <w:p w14:paraId="3F4E9D01">
      <w:pPr>
        <w:pStyle w:val="3"/>
        <w:numPr>
          <w:ilvl w:val="0"/>
          <w:numId w:val="3"/>
        </w:numPr>
        <w:rPr>
          <w:rFonts w:hint="eastAsia" w:ascii="黑体" w:hAnsi="黑体" w:eastAsia="黑体"/>
          <w:color w:val="auto"/>
          <w:sz w:val="24"/>
          <w:szCs w:val="24"/>
        </w:rPr>
      </w:pPr>
      <w:r>
        <w:rPr>
          <w:rFonts w:hint="eastAsia" w:ascii="黑体" w:hAnsi="黑体" w:eastAsia="黑体"/>
          <w:color w:val="auto"/>
          <w:sz w:val="24"/>
          <w:szCs w:val="24"/>
        </w:rPr>
        <w:t>无攻击场景排查和举证</w:t>
      </w:r>
    </w:p>
    <w:p w14:paraId="3109C21B">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在举证的无攻击场景子章节详细给出证据和分析过程，其他子章节填写为NA。</w:t>
      </w:r>
    </w:p>
    <w:p w14:paraId="21CBD14E">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例如：</w:t>
      </w:r>
    </w:p>
    <w:p w14:paraId="1D3DB694">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XXX产品前台单板配套Unibios Grantley平台和Grangeville平台，不收该漏洞影响。</w:t>
      </w:r>
    </w:p>
    <w:p w14:paraId="1C12CE9D">
      <w:pPr>
        <w:pStyle w:val="4"/>
        <w:numPr>
          <w:ilvl w:val="0"/>
          <w:numId w:val="4"/>
        </w:numPr>
        <w:rPr>
          <w:rFonts w:hint="eastAsia" w:ascii="黑体" w:hAnsi="黑体" w:eastAsia="黑体"/>
          <w:color w:val="auto"/>
          <w:sz w:val="24"/>
          <w:szCs w:val="24"/>
        </w:rPr>
      </w:pPr>
      <w:r>
        <w:rPr>
          <w:rFonts w:hint="eastAsia" w:ascii="黑体" w:hAnsi="黑体" w:eastAsia="黑体"/>
          <w:color w:val="auto"/>
          <w:sz w:val="24"/>
          <w:szCs w:val="24"/>
        </w:rPr>
        <w:t>未编译代码</w:t>
      </w:r>
    </w:p>
    <w:p w14:paraId="690B8D9C">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NA</w:t>
      </w:r>
    </w:p>
    <w:p w14:paraId="6E80DD5A">
      <w:pPr>
        <w:pStyle w:val="4"/>
        <w:numPr>
          <w:ilvl w:val="0"/>
          <w:numId w:val="4"/>
        </w:numPr>
        <w:rPr>
          <w:rFonts w:hint="eastAsia" w:ascii="黑体" w:hAnsi="黑体" w:eastAsia="黑体"/>
          <w:color w:val="auto"/>
          <w:sz w:val="24"/>
          <w:szCs w:val="24"/>
        </w:rPr>
      </w:pPr>
      <w:r>
        <w:rPr>
          <w:rFonts w:hint="eastAsia" w:ascii="黑体" w:hAnsi="黑体" w:eastAsia="黑体"/>
          <w:color w:val="auto"/>
          <w:sz w:val="24"/>
          <w:szCs w:val="24"/>
        </w:rPr>
        <w:t>无调用点代码</w:t>
      </w:r>
    </w:p>
    <w:p w14:paraId="4D134056">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NA</w:t>
      </w:r>
    </w:p>
    <w:p w14:paraId="58412F09">
      <w:pPr>
        <w:pStyle w:val="4"/>
        <w:numPr>
          <w:ilvl w:val="0"/>
          <w:numId w:val="4"/>
        </w:numPr>
        <w:rPr>
          <w:rFonts w:hint="eastAsia" w:ascii="黑体" w:hAnsi="黑体" w:eastAsia="黑体"/>
          <w:color w:val="auto"/>
          <w:sz w:val="24"/>
          <w:szCs w:val="24"/>
        </w:rPr>
      </w:pPr>
      <w:r>
        <w:rPr>
          <w:rFonts w:hint="eastAsia" w:ascii="黑体" w:hAnsi="黑体" w:eastAsia="黑体"/>
          <w:color w:val="auto"/>
          <w:sz w:val="24"/>
          <w:szCs w:val="24"/>
        </w:rPr>
        <w:t>函数调用上下文保护</w:t>
      </w:r>
    </w:p>
    <w:p w14:paraId="7EAE48B1">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NA</w:t>
      </w:r>
    </w:p>
    <w:p w14:paraId="6AC932A3">
      <w:pPr>
        <w:pStyle w:val="4"/>
        <w:numPr>
          <w:ilvl w:val="0"/>
          <w:numId w:val="4"/>
        </w:numPr>
        <w:rPr>
          <w:rFonts w:hint="eastAsia" w:ascii="黑体" w:hAnsi="黑体" w:eastAsia="黑体"/>
          <w:color w:val="auto"/>
          <w:sz w:val="24"/>
          <w:szCs w:val="24"/>
        </w:rPr>
      </w:pPr>
      <w:r>
        <w:rPr>
          <w:rFonts w:hint="eastAsia" w:ascii="黑体" w:hAnsi="黑体" w:eastAsia="黑体"/>
          <w:color w:val="auto"/>
          <w:sz w:val="24"/>
          <w:szCs w:val="24"/>
        </w:rPr>
        <w:t>函数内上下文保护</w:t>
      </w:r>
    </w:p>
    <w:p w14:paraId="71EE0333">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NA</w:t>
      </w:r>
    </w:p>
    <w:p w14:paraId="3835280D">
      <w:pPr>
        <w:pStyle w:val="4"/>
        <w:numPr>
          <w:ilvl w:val="0"/>
          <w:numId w:val="4"/>
        </w:numPr>
        <w:rPr>
          <w:rFonts w:hint="eastAsia" w:ascii="黑体" w:hAnsi="黑体" w:eastAsia="黑体"/>
          <w:color w:val="auto"/>
          <w:sz w:val="24"/>
          <w:szCs w:val="24"/>
        </w:rPr>
      </w:pPr>
      <w:r>
        <w:rPr>
          <w:rFonts w:hint="eastAsia" w:ascii="黑体" w:hAnsi="黑体" w:eastAsia="黑体"/>
          <w:color w:val="auto"/>
          <w:sz w:val="24"/>
          <w:szCs w:val="24"/>
        </w:rPr>
        <w:t>编译选项保护</w:t>
      </w:r>
    </w:p>
    <w:p w14:paraId="656C82F3">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NA</w:t>
      </w:r>
    </w:p>
    <w:p w14:paraId="59AEFEFA">
      <w:pPr>
        <w:pStyle w:val="4"/>
        <w:numPr>
          <w:ilvl w:val="0"/>
          <w:numId w:val="4"/>
        </w:numPr>
        <w:rPr>
          <w:rFonts w:hint="eastAsia" w:ascii="黑体" w:hAnsi="黑体" w:eastAsia="黑体"/>
          <w:color w:val="auto"/>
          <w:sz w:val="24"/>
          <w:szCs w:val="24"/>
        </w:rPr>
      </w:pPr>
      <w:r>
        <w:rPr>
          <w:rFonts w:hint="eastAsia" w:ascii="黑体" w:hAnsi="黑体" w:eastAsia="黑体"/>
          <w:color w:val="auto"/>
          <w:sz w:val="24"/>
          <w:szCs w:val="24"/>
        </w:rPr>
        <w:t>攻击条件不在产品硬件规范范围内</w:t>
      </w:r>
    </w:p>
    <w:p w14:paraId="416A1B05">
      <w:pPr>
        <w:rPr>
          <w:rFonts w:ascii="Times New Roman" w:hAnsi="Times New Roman" w:eastAsia="宋体" w:cs="Times New Roman"/>
          <w:b/>
          <w:bCs/>
          <w:i/>
          <w:iCs/>
          <w:color w:val="3366FF"/>
          <w:sz w:val="20"/>
          <w:szCs w:val="20"/>
        </w:rPr>
      </w:pPr>
      <w:r>
        <w:rPr>
          <w:rFonts w:hint="eastAsia" w:ascii="Times New Roman" w:hAnsi="Times New Roman" w:eastAsia="宋体" w:cs="Times New Roman"/>
          <w:b/>
          <w:bCs/>
          <w:i/>
          <w:iCs/>
          <w:color w:val="3366FF"/>
          <w:sz w:val="20"/>
          <w:szCs w:val="20"/>
        </w:rPr>
        <w:t>前台单板无法SSH本地访问，因此无攻击场景。</w:t>
      </w:r>
    </w:p>
    <w:p w14:paraId="3EFDD9A1">
      <w:pPr>
        <w:pStyle w:val="3"/>
        <w:numPr>
          <w:ilvl w:val="0"/>
          <w:numId w:val="3"/>
        </w:numPr>
        <w:rPr>
          <w:rFonts w:hint="eastAsia" w:ascii="黑体" w:hAnsi="黑体" w:eastAsia="黑体"/>
          <w:color w:val="auto"/>
          <w:sz w:val="24"/>
          <w:szCs w:val="24"/>
        </w:rPr>
      </w:pPr>
      <w:r>
        <w:rPr>
          <w:rFonts w:hint="eastAsia" w:ascii="黑体" w:hAnsi="黑体" w:eastAsia="黑体"/>
          <w:color w:val="auto"/>
          <w:sz w:val="24"/>
          <w:szCs w:val="24"/>
        </w:rPr>
        <w:t>攻击场景降分的排查和举证</w:t>
      </w:r>
    </w:p>
    <w:p w14:paraId="717F5A1D">
      <w:pPr>
        <w:rPr>
          <w:rFonts w:ascii="Times New Roman" w:hAnsi="Times New Roman" w:eastAsia="宋体" w:cs="Times New Roman"/>
          <w:b/>
          <w:bCs/>
          <w:i/>
          <w:iCs/>
          <w:color w:val="3366FF"/>
          <w:sz w:val="20"/>
          <w:szCs w:val="20"/>
        </w:rPr>
      </w:pPr>
      <w:r>
        <w:rPr>
          <w:rFonts w:hint="eastAsia" w:ascii="Times New Roman" w:hAnsi="Times New Roman" w:eastAsia="宋体" w:cs="Times New Roman"/>
          <w:b/>
          <w:bCs/>
          <w:i/>
          <w:iCs/>
          <w:color w:val="3366FF"/>
          <w:sz w:val="20"/>
          <w:szCs w:val="20"/>
        </w:rPr>
        <w:t>给出受影响原因总结，例如：</w:t>
      </w:r>
    </w:p>
    <w:p w14:paraId="1F814664">
      <w:pPr>
        <w:rPr>
          <w:rFonts w:ascii="Times New Roman" w:hAnsi="Times New Roman" w:eastAsia="宋体" w:cs="Times New Roman"/>
          <w:b/>
          <w:bCs/>
          <w:i/>
          <w:iCs/>
          <w:color w:val="3366FF"/>
          <w:sz w:val="20"/>
          <w:szCs w:val="20"/>
        </w:rPr>
      </w:pPr>
      <w:r>
        <w:rPr>
          <w:rFonts w:hint="eastAsia" w:ascii="Times New Roman" w:hAnsi="Times New Roman" w:eastAsia="宋体" w:cs="Times New Roman"/>
          <w:b/>
          <w:bCs/>
          <w:i/>
          <w:iCs/>
          <w:color w:val="3366FF"/>
          <w:sz w:val="20"/>
          <w:szCs w:val="20"/>
        </w:rPr>
        <w:t>控制器BSC6910后台操作维护单板EOMUb配套Unibios Grantley平台，且编译了IIO Smm驱动，受此漏洞影响。</w:t>
      </w:r>
    </w:p>
    <w:p w14:paraId="1B62FECD">
      <w:pPr>
        <w:pStyle w:val="4"/>
        <w:numPr>
          <w:ilvl w:val="0"/>
          <w:numId w:val="5"/>
        </w:numPr>
        <w:rPr>
          <w:rFonts w:hint="eastAsia" w:ascii="黑体" w:hAnsi="黑体" w:eastAsia="黑体"/>
          <w:color w:val="auto"/>
          <w:sz w:val="24"/>
          <w:szCs w:val="24"/>
        </w:rPr>
      </w:pPr>
      <w:r>
        <w:rPr>
          <w:rFonts w:hint="eastAsia" w:ascii="黑体" w:hAnsi="黑体" w:eastAsia="黑体"/>
          <w:color w:val="auto"/>
          <w:sz w:val="24"/>
          <w:szCs w:val="24"/>
        </w:rPr>
        <w:t>评估矢量</w:t>
      </w:r>
    </w:p>
    <w:p w14:paraId="320B0EF8">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6.1 （CVSS:3.1/AV:L/AC:H/PR:H/UI:N/S:C/C:H/I:L/A:N）</w:t>
      </w:r>
    </w:p>
    <w:p w14:paraId="2F47D05F">
      <w:pPr>
        <w:rPr>
          <w:rFonts w:ascii="Times New Roman" w:hAnsi="Times New Roman" w:eastAsia="宋体" w:cs="Times New Roman"/>
          <w:i/>
          <w:iCs/>
          <w:color w:val="3366FF"/>
          <w:sz w:val="18"/>
          <w:szCs w:val="18"/>
        </w:rPr>
      </w:pPr>
      <w:r>
        <w:rPr>
          <w:rFonts w:hint="eastAsia" w:ascii="Times New Roman" w:hAnsi="Times New Roman" w:eastAsia="宋体" w:cs="Times New Roman"/>
          <w:i/>
          <w:iCs/>
          <w:color w:val="3366FF"/>
          <w:sz w:val="18"/>
          <w:szCs w:val="18"/>
        </w:rPr>
        <w:t>如果某一矢量和原始打分有变更，要求给出变更原因。未变化矢量可以不写原因，填NA。如下所示：</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67B26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D5399C4">
            <w:pPr>
              <w:spacing w:after="0" w:line="240" w:lineRule="auto"/>
              <w:rPr>
                <w:rFonts w:ascii="Times New Roman" w:hAnsi="Times New Roman" w:eastAsia="宋体" w:cs="Times New Roman"/>
                <w:b/>
                <w:bCs/>
                <w:sz w:val="21"/>
                <w:szCs w:val="21"/>
              </w:rPr>
            </w:pPr>
            <w:r>
              <w:rPr>
                <w:rFonts w:hint="eastAsia" w:ascii="Times New Roman" w:hAnsi="Times New Roman" w:eastAsia="宋体" w:cs="Times New Roman"/>
                <w:b/>
                <w:bCs/>
                <w:sz w:val="21"/>
                <w:szCs w:val="21"/>
              </w:rPr>
              <w:t>评估矢量</w:t>
            </w:r>
          </w:p>
        </w:tc>
        <w:tc>
          <w:tcPr>
            <w:tcW w:w="2765" w:type="dxa"/>
          </w:tcPr>
          <w:p w14:paraId="5B3EB251">
            <w:pPr>
              <w:spacing w:after="0" w:line="240" w:lineRule="auto"/>
              <w:rPr>
                <w:rFonts w:ascii="Times New Roman" w:hAnsi="Times New Roman" w:eastAsia="宋体" w:cs="Times New Roman"/>
                <w:b/>
                <w:bCs/>
                <w:sz w:val="21"/>
                <w:szCs w:val="21"/>
              </w:rPr>
            </w:pPr>
            <w:r>
              <w:rPr>
                <w:rFonts w:hint="eastAsia" w:ascii="Times New Roman" w:hAnsi="Times New Roman" w:eastAsia="宋体" w:cs="Times New Roman"/>
                <w:b/>
                <w:bCs/>
                <w:sz w:val="21"/>
                <w:szCs w:val="21"/>
              </w:rPr>
              <w:t>是否跟随社区</w:t>
            </w:r>
          </w:p>
        </w:tc>
        <w:tc>
          <w:tcPr>
            <w:tcW w:w="2766" w:type="dxa"/>
          </w:tcPr>
          <w:p w14:paraId="0F4BBD86">
            <w:pPr>
              <w:spacing w:after="0" w:line="240" w:lineRule="auto"/>
              <w:rPr>
                <w:rFonts w:ascii="Times New Roman" w:hAnsi="Times New Roman" w:eastAsia="宋体" w:cs="Times New Roman"/>
                <w:b/>
                <w:bCs/>
                <w:sz w:val="21"/>
                <w:szCs w:val="21"/>
              </w:rPr>
            </w:pPr>
            <w:r>
              <w:rPr>
                <w:rFonts w:hint="eastAsia" w:ascii="Times New Roman" w:hAnsi="Times New Roman" w:eastAsia="宋体" w:cs="Times New Roman"/>
                <w:b/>
                <w:bCs/>
                <w:sz w:val="21"/>
                <w:szCs w:val="21"/>
              </w:rPr>
              <w:t>不跟随社区原因</w:t>
            </w:r>
          </w:p>
        </w:tc>
      </w:tr>
      <w:tr w14:paraId="08175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224EECB">
            <w:pPr>
              <w:spacing w:after="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Attack Vector(AV):</w:t>
            </w:r>
          </w:p>
        </w:tc>
        <w:tc>
          <w:tcPr>
            <w:tcW w:w="2765" w:type="dxa"/>
          </w:tcPr>
          <w:p w14:paraId="1DE9AC27">
            <w:pPr>
              <w:spacing w:after="0" w:line="240" w:lineRule="auto"/>
              <w:rPr>
                <w:rFonts w:ascii="Times New Roman" w:hAnsi="Times New Roman" w:eastAsia="宋体" w:cs="Times New Roman"/>
                <w:b/>
                <w:bCs/>
                <w:i/>
                <w:iCs/>
                <w:color w:val="3366FF"/>
                <w:sz w:val="18"/>
                <w:szCs w:val="18"/>
              </w:rPr>
            </w:pPr>
            <w:r>
              <w:rPr>
                <w:rFonts w:hint="eastAsia" w:ascii="Times New Roman" w:hAnsi="Times New Roman" w:eastAsia="宋体" w:cs="Times New Roman"/>
                <w:b/>
                <w:bCs/>
                <w:i/>
                <w:iCs/>
                <w:color w:val="3366FF"/>
                <w:sz w:val="18"/>
                <w:szCs w:val="18"/>
              </w:rPr>
              <w:t>Y</w:t>
            </w:r>
          </w:p>
        </w:tc>
        <w:tc>
          <w:tcPr>
            <w:tcW w:w="2766" w:type="dxa"/>
          </w:tcPr>
          <w:p w14:paraId="287E15CF">
            <w:pPr>
              <w:spacing w:after="0" w:line="240" w:lineRule="auto"/>
              <w:rPr>
                <w:rFonts w:ascii="Times New Roman" w:hAnsi="Times New Roman" w:eastAsia="宋体" w:cs="Times New Roman"/>
                <w:b/>
                <w:bCs/>
                <w:i/>
                <w:iCs/>
                <w:color w:val="3366FF"/>
                <w:sz w:val="18"/>
                <w:szCs w:val="18"/>
              </w:rPr>
            </w:pPr>
            <w:r>
              <w:rPr>
                <w:rFonts w:hint="eastAsia" w:ascii="Times New Roman" w:hAnsi="Times New Roman" w:eastAsia="宋体" w:cs="Times New Roman"/>
                <w:b/>
                <w:bCs/>
                <w:i/>
                <w:iCs/>
                <w:color w:val="3366FF"/>
                <w:sz w:val="18"/>
                <w:szCs w:val="18"/>
              </w:rPr>
              <w:t>NA</w:t>
            </w:r>
          </w:p>
        </w:tc>
      </w:tr>
      <w:tr w14:paraId="724B9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3848BC4">
            <w:pPr>
              <w:spacing w:after="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Attack Complexity(AC):</w:t>
            </w:r>
          </w:p>
        </w:tc>
        <w:tc>
          <w:tcPr>
            <w:tcW w:w="2765" w:type="dxa"/>
          </w:tcPr>
          <w:p w14:paraId="0EF28026">
            <w:pPr>
              <w:spacing w:after="0" w:line="240" w:lineRule="auto"/>
              <w:rPr>
                <w:rFonts w:ascii="Times New Roman" w:hAnsi="Times New Roman" w:eastAsia="宋体" w:cs="Times New Roman"/>
                <w:b/>
                <w:bCs/>
                <w:i/>
                <w:iCs/>
                <w:color w:val="3366FF"/>
                <w:sz w:val="18"/>
                <w:szCs w:val="18"/>
              </w:rPr>
            </w:pPr>
            <w:r>
              <w:rPr>
                <w:rFonts w:hint="eastAsia" w:ascii="Times New Roman" w:hAnsi="Times New Roman" w:eastAsia="宋体" w:cs="Times New Roman"/>
                <w:b/>
                <w:bCs/>
                <w:i/>
                <w:iCs/>
                <w:color w:val="3366FF"/>
                <w:sz w:val="18"/>
                <w:szCs w:val="18"/>
              </w:rPr>
              <w:t>Y</w:t>
            </w:r>
          </w:p>
        </w:tc>
        <w:tc>
          <w:tcPr>
            <w:tcW w:w="2766" w:type="dxa"/>
          </w:tcPr>
          <w:p w14:paraId="082AF026">
            <w:pPr>
              <w:spacing w:after="0" w:line="240" w:lineRule="auto"/>
              <w:rPr>
                <w:rFonts w:ascii="Times New Roman" w:hAnsi="Times New Roman" w:eastAsia="宋体" w:cs="Times New Roman"/>
                <w:b/>
                <w:bCs/>
                <w:i/>
                <w:iCs/>
                <w:color w:val="3366FF"/>
                <w:sz w:val="18"/>
                <w:szCs w:val="18"/>
              </w:rPr>
            </w:pPr>
            <w:r>
              <w:rPr>
                <w:rFonts w:hint="eastAsia" w:ascii="Times New Roman" w:hAnsi="Times New Roman" w:eastAsia="宋体" w:cs="Times New Roman"/>
                <w:b/>
                <w:bCs/>
                <w:i/>
                <w:iCs/>
                <w:color w:val="3366FF"/>
                <w:sz w:val="18"/>
                <w:szCs w:val="18"/>
              </w:rPr>
              <w:t>NA</w:t>
            </w:r>
          </w:p>
        </w:tc>
      </w:tr>
      <w:tr w14:paraId="6ADBD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962B48D">
            <w:pPr>
              <w:spacing w:after="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Privileges Required(PR):</w:t>
            </w:r>
          </w:p>
        </w:tc>
        <w:tc>
          <w:tcPr>
            <w:tcW w:w="2765" w:type="dxa"/>
          </w:tcPr>
          <w:p w14:paraId="3AB5638F">
            <w:pPr>
              <w:spacing w:after="0" w:line="240" w:lineRule="auto"/>
              <w:rPr>
                <w:rFonts w:ascii="Times New Roman" w:hAnsi="Times New Roman" w:eastAsia="宋体" w:cs="Times New Roman"/>
                <w:b/>
                <w:bCs/>
                <w:i/>
                <w:iCs/>
                <w:color w:val="3366FF"/>
                <w:sz w:val="18"/>
                <w:szCs w:val="18"/>
              </w:rPr>
            </w:pPr>
            <w:r>
              <w:rPr>
                <w:rFonts w:hint="eastAsia" w:ascii="Times New Roman" w:hAnsi="Times New Roman" w:eastAsia="宋体" w:cs="Times New Roman"/>
                <w:b/>
                <w:bCs/>
                <w:i/>
                <w:iCs/>
                <w:color w:val="3366FF"/>
                <w:sz w:val="18"/>
                <w:szCs w:val="18"/>
              </w:rPr>
              <w:t>Y</w:t>
            </w:r>
          </w:p>
        </w:tc>
        <w:tc>
          <w:tcPr>
            <w:tcW w:w="2766" w:type="dxa"/>
          </w:tcPr>
          <w:p w14:paraId="5BB932B9">
            <w:pPr>
              <w:spacing w:after="0" w:line="240" w:lineRule="auto"/>
              <w:rPr>
                <w:rFonts w:ascii="Times New Roman" w:hAnsi="Times New Roman" w:eastAsia="宋体" w:cs="Times New Roman"/>
                <w:b/>
                <w:bCs/>
                <w:i/>
                <w:iCs/>
                <w:color w:val="3366FF"/>
                <w:sz w:val="18"/>
                <w:szCs w:val="18"/>
              </w:rPr>
            </w:pPr>
            <w:r>
              <w:rPr>
                <w:rFonts w:hint="eastAsia" w:ascii="Times New Roman" w:hAnsi="Times New Roman" w:eastAsia="宋体" w:cs="Times New Roman"/>
                <w:b/>
                <w:bCs/>
                <w:i/>
                <w:iCs/>
                <w:color w:val="3366FF"/>
                <w:sz w:val="18"/>
                <w:szCs w:val="18"/>
              </w:rPr>
              <w:t>NA</w:t>
            </w:r>
          </w:p>
        </w:tc>
      </w:tr>
      <w:tr w14:paraId="40F35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E0F6315">
            <w:pPr>
              <w:spacing w:after="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User Interaction(UI):</w:t>
            </w:r>
          </w:p>
        </w:tc>
        <w:tc>
          <w:tcPr>
            <w:tcW w:w="2765" w:type="dxa"/>
          </w:tcPr>
          <w:p w14:paraId="7F58D4E6">
            <w:pPr>
              <w:spacing w:after="0" w:line="240" w:lineRule="auto"/>
              <w:rPr>
                <w:rFonts w:ascii="Times New Roman" w:hAnsi="Times New Roman" w:eastAsia="宋体" w:cs="Times New Roman"/>
                <w:b/>
                <w:bCs/>
                <w:i/>
                <w:iCs/>
                <w:color w:val="3366FF"/>
                <w:sz w:val="18"/>
                <w:szCs w:val="18"/>
              </w:rPr>
            </w:pPr>
            <w:r>
              <w:rPr>
                <w:rFonts w:hint="eastAsia" w:ascii="Times New Roman" w:hAnsi="Times New Roman" w:eastAsia="宋体" w:cs="Times New Roman"/>
                <w:b/>
                <w:bCs/>
                <w:i/>
                <w:iCs/>
                <w:color w:val="3366FF"/>
                <w:sz w:val="18"/>
                <w:szCs w:val="18"/>
              </w:rPr>
              <w:t>Y</w:t>
            </w:r>
          </w:p>
        </w:tc>
        <w:tc>
          <w:tcPr>
            <w:tcW w:w="2766" w:type="dxa"/>
          </w:tcPr>
          <w:p w14:paraId="0DEC6535">
            <w:pPr>
              <w:spacing w:after="0" w:line="240" w:lineRule="auto"/>
              <w:rPr>
                <w:rFonts w:ascii="Times New Roman" w:hAnsi="Times New Roman" w:eastAsia="宋体" w:cs="Times New Roman"/>
                <w:b/>
                <w:bCs/>
                <w:i/>
                <w:iCs/>
                <w:color w:val="3366FF"/>
                <w:sz w:val="18"/>
                <w:szCs w:val="18"/>
              </w:rPr>
            </w:pPr>
            <w:r>
              <w:rPr>
                <w:rFonts w:hint="eastAsia" w:ascii="Times New Roman" w:hAnsi="Times New Roman" w:eastAsia="宋体" w:cs="Times New Roman"/>
                <w:b/>
                <w:bCs/>
                <w:i/>
                <w:iCs/>
                <w:color w:val="3366FF"/>
                <w:sz w:val="18"/>
                <w:szCs w:val="18"/>
              </w:rPr>
              <w:t>NA</w:t>
            </w:r>
          </w:p>
        </w:tc>
      </w:tr>
      <w:tr w14:paraId="390E0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2D930D8">
            <w:pPr>
              <w:spacing w:after="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Scope(S):</w:t>
            </w:r>
          </w:p>
        </w:tc>
        <w:tc>
          <w:tcPr>
            <w:tcW w:w="2765" w:type="dxa"/>
          </w:tcPr>
          <w:p w14:paraId="7133BD23">
            <w:pPr>
              <w:spacing w:after="0" w:line="240" w:lineRule="auto"/>
              <w:rPr>
                <w:rFonts w:ascii="Times New Roman" w:hAnsi="Times New Roman" w:eastAsia="宋体" w:cs="Times New Roman"/>
                <w:b/>
                <w:bCs/>
                <w:i/>
                <w:iCs/>
                <w:color w:val="3366FF"/>
                <w:sz w:val="18"/>
                <w:szCs w:val="18"/>
              </w:rPr>
            </w:pPr>
            <w:r>
              <w:rPr>
                <w:rFonts w:hint="eastAsia" w:ascii="Times New Roman" w:hAnsi="Times New Roman" w:eastAsia="宋体" w:cs="Times New Roman"/>
                <w:b/>
                <w:bCs/>
                <w:i/>
                <w:iCs/>
                <w:color w:val="3366FF"/>
                <w:sz w:val="18"/>
                <w:szCs w:val="18"/>
              </w:rPr>
              <w:t>N</w:t>
            </w:r>
          </w:p>
        </w:tc>
        <w:tc>
          <w:tcPr>
            <w:tcW w:w="2766" w:type="dxa"/>
          </w:tcPr>
          <w:p w14:paraId="68EBCC6B">
            <w:pPr>
              <w:spacing w:after="0" w:line="240" w:lineRule="auto"/>
              <w:rPr>
                <w:rFonts w:ascii="Times New Roman" w:hAnsi="Times New Roman" w:eastAsia="宋体" w:cs="Times New Roman"/>
                <w:b/>
                <w:bCs/>
                <w:i/>
                <w:iCs/>
                <w:color w:val="3366FF"/>
                <w:sz w:val="18"/>
                <w:szCs w:val="18"/>
              </w:rPr>
            </w:pPr>
            <w:r>
              <w:rPr>
                <w:rFonts w:hint="eastAsia" w:ascii="Times New Roman" w:hAnsi="Times New Roman" w:eastAsia="宋体" w:cs="Times New Roman"/>
                <w:b/>
                <w:bCs/>
                <w:i/>
                <w:iCs/>
                <w:color w:val="3366FF"/>
                <w:sz w:val="18"/>
                <w:szCs w:val="18"/>
              </w:rPr>
              <w:t>漏洞组件=影响组件</w:t>
            </w:r>
          </w:p>
        </w:tc>
      </w:tr>
      <w:tr w14:paraId="40325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9A95583">
            <w:pPr>
              <w:spacing w:after="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Confidentiality(C):</w:t>
            </w:r>
          </w:p>
        </w:tc>
        <w:tc>
          <w:tcPr>
            <w:tcW w:w="2765" w:type="dxa"/>
          </w:tcPr>
          <w:p w14:paraId="204260C7">
            <w:pPr>
              <w:spacing w:after="0" w:line="240" w:lineRule="auto"/>
              <w:rPr>
                <w:rFonts w:ascii="Times New Roman" w:hAnsi="Times New Roman" w:eastAsia="宋体" w:cs="Times New Roman"/>
                <w:b/>
                <w:bCs/>
                <w:i/>
                <w:iCs/>
                <w:color w:val="3366FF"/>
                <w:sz w:val="18"/>
                <w:szCs w:val="18"/>
              </w:rPr>
            </w:pPr>
            <w:r>
              <w:rPr>
                <w:rFonts w:hint="eastAsia" w:ascii="Times New Roman" w:hAnsi="Times New Roman" w:eastAsia="宋体" w:cs="Times New Roman"/>
                <w:b/>
                <w:bCs/>
                <w:i/>
                <w:iCs/>
                <w:color w:val="3366FF"/>
                <w:sz w:val="18"/>
                <w:szCs w:val="18"/>
              </w:rPr>
              <w:t>Y</w:t>
            </w:r>
          </w:p>
        </w:tc>
        <w:tc>
          <w:tcPr>
            <w:tcW w:w="2766" w:type="dxa"/>
          </w:tcPr>
          <w:p w14:paraId="2D877222">
            <w:pPr>
              <w:spacing w:after="0" w:line="240" w:lineRule="auto"/>
              <w:rPr>
                <w:rFonts w:ascii="Times New Roman" w:hAnsi="Times New Roman" w:eastAsia="宋体" w:cs="Times New Roman"/>
                <w:b/>
                <w:bCs/>
                <w:i/>
                <w:iCs/>
                <w:color w:val="3366FF"/>
                <w:sz w:val="18"/>
                <w:szCs w:val="18"/>
              </w:rPr>
            </w:pPr>
            <w:r>
              <w:rPr>
                <w:rFonts w:hint="eastAsia" w:ascii="Times New Roman" w:hAnsi="Times New Roman" w:eastAsia="宋体" w:cs="Times New Roman"/>
                <w:b/>
                <w:bCs/>
                <w:i/>
                <w:iCs/>
                <w:color w:val="3366FF"/>
                <w:sz w:val="18"/>
                <w:szCs w:val="18"/>
              </w:rPr>
              <w:t>NA</w:t>
            </w:r>
          </w:p>
        </w:tc>
      </w:tr>
      <w:tr w14:paraId="4D40F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5A32582">
            <w:pPr>
              <w:spacing w:after="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Integrity(I):</w:t>
            </w:r>
          </w:p>
        </w:tc>
        <w:tc>
          <w:tcPr>
            <w:tcW w:w="2765" w:type="dxa"/>
          </w:tcPr>
          <w:p w14:paraId="3EE2D1E8">
            <w:pPr>
              <w:spacing w:after="0" w:line="240" w:lineRule="auto"/>
              <w:rPr>
                <w:rFonts w:ascii="Times New Roman" w:hAnsi="Times New Roman" w:eastAsia="宋体" w:cs="Times New Roman"/>
                <w:b/>
                <w:bCs/>
                <w:i/>
                <w:iCs/>
                <w:color w:val="3366FF"/>
                <w:sz w:val="18"/>
                <w:szCs w:val="18"/>
              </w:rPr>
            </w:pPr>
            <w:r>
              <w:rPr>
                <w:rFonts w:hint="eastAsia" w:ascii="Times New Roman" w:hAnsi="Times New Roman" w:eastAsia="宋体" w:cs="Times New Roman"/>
                <w:b/>
                <w:bCs/>
                <w:i/>
                <w:iCs/>
                <w:color w:val="3366FF"/>
                <w:sz w:val="18"/>
                <w:szCs w:val="18"/>
              </w:rPr>
              <w:t>Y</w:t>
            </w:r>
          </w:p>
        </w:tc>
        <w:tc>
          <w:tcPr>
            <w:tcW w:w="2766" w:type="dxa"/>
          </w:tcPr>
          <w:p w14:paraId="1E9B776B">
            <w:pPr>
              <w:spacing w:after="0" w:line="240" w:lineRule="auto"/>
              <w:rPr>
                <w:rFonts w:ascii="Times New Roman" w:hAnsi="Times New Roman" w:eastAsia="宋体" w:cs="Times New Roman"/>
                <w:b/>
                <w:bCs/>
                <w:i/>
                <w:iCs/>
                <w:color w:val="3366FF"/>
                <w:sz w:val="18"/>
                <w:szCs w:val="18"/>
              </w:rPr>
            </w:pPr>
            <w:r>
              <w:rPr>
                <w:rFonts w:hint="eastAsia" w:ascii="Times New Roman" w:hAnsi="Times New Roman" w:eastAsia="宋体" w:cs="Times New Roman"/>
                <w:b/>
                <w:bCs/>
                <w:i/>
                <w:iCs/>
                <w:color w:val="3366FF"/>
                <w:sz w:val="18"/>
                <w:szCs w:val="18"/>
              </w:rPr>
              <w:t>NA</w:t>
            </w:r>
          </w:p>
        </w:tc>
      </w:tr>
      <w:tr w14:paraId="7A89C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074E1F8">
            <w:pPr>
              <w:spacing w:after="0" w:line="240" w:lineRule="auto"/>
              <w:rPr>
                <w:rFonts w:ascii="Times New Roman" w:hAnsi="Times New Roman" w:eastAsia="宋体" w:cs="Times New Roman"/>
                <w:sz w:val="21"/>
                <w:szCs w:val="21"/>
              </w:rPr>
            </w:pPr>
            <w:r>
              <w:rPr>
                <w:rFonts w:hint="eastAsia" w:ascii="Times New Roman" w:hAnsi="Times New Roman" w:eastAsia="宋体" w:cs="Times New Roman"/>
                <w:sz w:val="21"/>
                <w:szCs w:val="21"/>
              </w:rPr>
              <w:t>Availability(A):</w:t>
            </w:r>
          </w:p>
        </w:tc>
        <w:tc>
          <w:tcPr>
            <w:tcW w:w="2765" w:type="dxa"/>
          </w:tcPr>
          <w:p w14:paraId="2F0DC5E1">
            <w:pPr>
              <w:spacing w:after="0" w:line="240" w:lineRule="auto"/>
              <w:rPr>
                <w:rFonts w:ascii="Times New Roman" w:hAnsi="Times New Roman" w:eastAsia="宋体" w:cs="Times New Roman"/>
                <w:b/>
                <w:bCs/>
                <w:i/>
                <w:iCs/>
                <w:color w:val="3366FF"/>
                <w:sz w:val="18"/>
                <w:szCs w:val="18"/>
              </w:rPr>
            </w:pPr>
            <w:r>
              <w:rPr>
                <w:rFonts w:hint="eastAsia" w:ascii="Times New Roman" w:hAnsi="Times New Roman" w:eastAsia="宋体" w:cs="Times New Roman"/>
                <w:b/>
                <w:bCs/>
                <w:i/>
                <w:iCs/>
                <w:color w:val="3366FF"/>
                <w:sz w:val="18"/>
                <w:szCs w:val="18"/>
              </w:rPr>
              <w:t>Y</w:t>
            </w:r>
          </w:p>
        </w:tc>
        <w:tc>
          <w:tcPr>
            <w:tcW w:w="2766" w:type="dxa"/>
          </w:tcPr>
          <w:p w14:paraId="3E6D19F6">
            <w:pPr>
              <w:spacing w:after="0" w:line="240" w:lineRule="auto"/>
              <w:rPr>
                <w:rFonts w:ascii="Times New Roman" w:hAnsi="Times New Roman" w:eastAsia="宋体" w:cs="Times New Roman"/>
                <w:b/>
                <w:bCs/>
                <w:i/>
                <w:iCs/>
                <w:color w:val="3366FF"/>
                <w:sz w:val="18"/>
                <w:szCs w:val="18"/>
              </w:rPr>
            </w:pPr>
            <w:r>
              <w:rPr>
                <w:rFonts w:hint="eastAsia" w:ascii="Times New Roman" w:hAnsi="Times New Roman" w:eastAsia="宋体" w:cs="Times New Roman"/>
                <w:b/>
                <w:bCs/>
                <w:i/>
                <w:iCs/>
                <w:color w:val="3366FF"/>
                <w:sz w:val="18"/>
                <w:szCs w:val="18"/>
              </w:rPr>
              <w:t>NA</w:t>
            </w:r>
          </w:p>
        </w:tc>
      </w:tr>
    </w:tbl>
    <w:p w14:paraId="5203B3DD">
      <w:pPr>
        <w:rPr>
          <w:rFonts w:ascii="Times New Roman" w:hAnsi="Times New Roman" w:eastAsia="宋体" w:cs="Times New Roman"/>
          <w:b/>
          <w:bCs/>
          <w:i/>
          <w:iCs/>
          <w:color w:val="3366FF"/>
          <w:sz w:val="20"/>
          <w:szCs w:val="20"/>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Book Antiqua">
    <w:altName w:val="Segoe Print"/>
    <w:panose1 w:val="02040602050305030304"/>
    <w:charset w:val="00"/>
    <w:family w:val="roman"/>
    <w:pitch w:val="default"/>
    <w:sig w:usb0="00000000" w:usb1="00000000" w:usb2="00000000" w:usb3="00000000" w:csb0="0000009F" w:csb1="00000000"/>
  </w:font>
  <w:font w:name="Arial">
    <w:panose1 w:val="020B0604020202020204"/>
    <w:charset w:val="00"/>
    <w:family w:val="swiss"/>
    <w:pitch w:val="default"/>
    <w:sig w:usb0="E0002EFF" w:usb1="C000785B" w:usb2="00000009" w:usb3="00000000" w:csb0="400001FF" w:csb1="FFFF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021B30"/>
    <w:multiLevelType w:val="multilevel"/>
    <w:tmpl w:val="0A021B30"/>
    <w:lvl w:ilvl="0" w:tentative="0">
      <w:start w:val="1"/>
      <w:numFmt w:val="decimal"/>
      <w:lvlText w:val="2.%1"/>
      <w:lvlJc w:val="left"/>
      <w:pPr>
        <w:ind w:left="440" w:hanging="440"/>
      </w:pPr>
      <w:rPr>
        <w:rFonts w:hint="default" w:ascii="Book Antiqua" w:hAnsi="Book Antiqua"/>
        <w:sz w:val="36"/>
        <w:szCs w:val="36"/>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A8E1124"/>
    <w:multiLevelType w:val="multilevel"/>
    <w:tmpl w:val="3A8E1124"/>
    <w:lvl w:ilvl="0" w:tentative="0">
      <w:start w:val="1"/>
      <w:numFmt w:val="decimal"/>
      <w:lvlText w:val="3.1.%1"/>
      <w:lvlJc w:val="left"/>
      <w:pPr>
        <w:ind w:left="440" w:hanging="440"/>
      </w:pPr>
      <w:rPr>
        <w:rFonts w:hint="default" w:ascii="Book Antiqua" w:hAnsi="Book Antiqua"/>
        <w:sz w:val="32"/>
        <w:szCs w:val="32"/>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53A65880"/>
    <w:multiLevelType w:val="multilevel"/>
    <w:tmpl w:val="53A65880"/>
    <w:lvl w:ilvl="0" w:tentative="0">
      <w:start w:val="1"/>
      <w:numFmt w:val="decimal"/>
      <w:lvlText w:val="%1"/>
      <w:lvlJc w:val="left"/>
      <w:pPr>
        <w:ind w:left="440" w:hanging="440"/>
      </w:pPr>
      <w:rPr>
        <w:rFonts w:hint="default" w:ascii="Book Antiqua" w:hAnsi="Book Antiqua"/>
        <w:sz w:val="144"/>
        <w:szCs w:val="144"/>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5BD41136"/>
    <w:multiLevelType w:val="multilevel"/>
    <w:tmpl w:val="5BD41136"/>
    <w:lvl w:ilvl="0" w:tentative="0">
      <w:start w:val="1"/>
      <w:numFmt w:val="decimal"/>
      <w:lvlText w:val="3.%1"/>
      <w:lvlJc w:val="left"/>
      <w:pPr>
        <w:ind w:left="440" w:hanging="440"/>
      </w:pPr>
      <w:rPr>
        <w:rFonts w:hint="default" w:ascii="Book Antiqua" w:hAnsi="Book Antiqua"/>
        <w:sz w:val="36"/>
        <w:szCs w:val="36"/>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9C53AE8"/>
    <w:multiLevelType w:val="multilevel"/>
    <w:tmpl w:val="79C53AE8"/>
    <w:lvl w:ilvl="0" w:tentative="0">
      <w:start w:val="1"/>
      <w:numFmt w:val="decimal"/>
      <w:lvlText w:val="3.2.%1"/>
      <w:lvlJc w:val="left"/>
      <w:pPr>
        <w:ind w:left="440" w:hanging="440"/>
      </w:pPr>
      <w:rPr>
        <w:rFonts w:hint="default" w:ascii="Book Antiqua" w:hAnsi="Book Antiqua"/>
        <w:sz w:val="32"/>
        <w:szCs w:val="32"/>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0"/>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C8D"/>
    <w:rsid w:val="001B34C1"/>
    <w:rsid w:val="001B42CC"/>
    <w:rsid w:val="00385ACD"/>
    <w:rsid w:val="00794C8D"/>
    <w:rsid w:val="007C5F4E"/>
    <w:rsid w:val="008C180E"/>
    <w:rsid w:val="00A62148"/>
    <w:rsid w:val="00A771EB"/>
    <w:rsid w:val="00AB2561"/>
    <w:rsid w:val="00DF1144"/>
    <w:rsid w:val="00FF3947"/>
    <w:rsid w:val="23D906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9"/>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2"/>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3"/>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4">
    <w:name w:val="Table Grid"/>
    <w:basedOn w:val="1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unhideWhenUsed/>
    <w:uiPriority w:val="99"/>
    <w:rPr>
      <w:color w:val="0563C1" w:themeColor="hyperlink"/>
      <w:u w:val="single"/>
      <w14:textFill>
        <w14:solidFill>
          <w14:schemeClr w14:val="hlink"/>
        </w14:solidFill>
      </w14:textFill>
    </w:rPr>
  </w:style>
  <w:style w:type="character" w:customStyle="1" w:styleId="17">
    <w:name w:val="标题 1 字符"/>
    <w:basedOn w:val="15"/>
    <w:link w:val="2"/>
    <w:uiPriority w:val="9"/>
    <w:rPr>
      <w:rFonts w:asciiTheme="majorHAnsi" w:hAnsiTheme="majorHAnsi" w:eastAsiaTheme="majorEastAsia" w:cstheme="majorBidi"/>
      <w:color w:val="2F5597" w:themeColor="accent1" w:themeShade="BF"/>
      <w:sz w:val="48"/>
      <w:szCs w:val="48"/>
    </w:rPr>
  </w:style>
  <w:style w:type="character" w:customStyle="1" w:styleId="18">
    <w:name w:val="标题 2 字符"/>
    <w:basedOn w:val="15"/>
    <w:link w:val="3"/>
    <w:uiPriority w:val="9"/>
    <w:rPr>
      <w:rFonts w:asciiTheme="majorHAnsi" w:hAnsiTheme="majorHAnsi" w:eastAsiaTheme="majorEastAsia" w:cstheme="majorBidi"/>
      <w:color w:val="2F5597" w:themeColor="accent1" w:themeShade="BF"/>
      <w:sz w:val="40"/>
      <w:szCs w:val="40"/>
    </w:rPr>
  </w:style>
  <w:style w:type="character" w:customStyle="1" w:styleId="19">
    <w:name w:val="标题 3 字符"/>
    <w:basedOn w:val="15"/>
    <w:link w:val="4"/>
    <w:uiPriority w:val="9"/>
    <w:rPr>
      <w:rFonts w:asciiTheme="majorHAnsi" w:hAnsiTheme="majorHAnsi" w:eastAsiaTheme="majorEastAsia" w:cstheme="majorBidi"/>
      <w:color w:val="2F5597" w:themeColor="accent1" w:themeShade="BF"/>
      <w:sz w:val="32"/>
      <w:szCs w:val="32"/>
    </w:rPr>
  </w:style>
  <w:style w:type="character" w:customStyle="1" w:styleId="20">
    <w:name w:val="标题 4 字符"/>
    <w:basedOn w:val="15"/>
    <w:link w:val="5"/>
    <w:semiHidden/>
    <w:uiPriority w:val="9"/>
    <w:rPr>
      <w:rFonts w:cstheme="majorBidi"/>
      <w:color w:val="2F5597" w:themeColor="accent1" w:themeShade="BF"/>
      <w:sz w:val="28"/>
      <w:szCs w:val="28"/>
    </w:rPr>
  </w:style>
  <w:style w:type="character" w:customStyle="1" w:styleId="21">
    <w:name w:val="标题 5 字符"/>
    <w:basedOn w:val="15"/>
    <w:link w:val="6"/>
    <w:semiHidden/>
    <w:uiPriority w:val="9"/>
    <w:rPr>
      <w:rFonts w:cstheme="majorBidi"/>
      <w:color w:val="2F5597" w:themeColor="accent1" w:themeShade="BF"/>
      <w:sz w:val="24"/>
    </w:rPr>
  </w:style>
  <w:style w:type="character" w:customStyle="1" w:styleId="22">
    <w:name w:val="标题 6 字符"/>
    <w:basedOn w:val="15"/>
    <w:link w:val="7"/>
    <w:semiHidden/>
    <w:uiPriority w:val="9"/>
    <w:rPr>
      <w:rFonts w:cstheme="majorBidi"/>
      <w:b/>
      <w:bCs/>
      <w:color w:val="2F5597" w:themeColor="accent1" w:themeShade="BF"/>
    </w:rPr>
  </w:style>
  <w:style w:type="character" w:customStyle="1" w:styleId="23">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5"/>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5"/>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5"/>
    <w:link w:val="12"/>
    <w:uiPriority w:val="10"/>
    <w:rPr>
      <w:rFonts w:asciiTheme="majorHAnsi" w:hAnsiTheme="majorHAnsi" w:eastAsiaTheme="majorEastAsia" w:cstheme="majorBidi"/>
      <w:spacing w:val="-10"/>
      <w:kern w:val="28"/>
      <w:sz w:val="56"/>
      <w:szCs w:val="56"/>
    </w:rPr>
  </w:style>
  <w:style w:type="character" w:customStyle="1" w:styleId="27">
    <w:name w:val="副标题 字符"/>
    <w:basedOn w:val="15"/>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5"/>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5"/>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明显引用 字符"/>
    <w:basedOn w:val="15"/>
    <w:link w:val="32"/>
    <w:uiPriority w:val="30"/>
    <w:rPr>
      <w:i/>
      <w:iCs/>
      <w:color w:val="2F5597" w:themeColor="accent1" w:themeShade="BF"/>
    </w:rPr>
  </w:style>
  <w:style w:type="character" w:customStyle="1" w:styleId="34">
    <w:name w:val="Intense Reference"/>
    <w:basedOn w:val="15"/>
    <w:qFormat/>
    <w:uiPriority w:val="32"/>
    <w:rPr>
      <w:b/>
      <w:bCs/>
      <w:smallCaps/>
      <w:color w:val="2F5597" w:themeColor="accent1" w:themeShade="BF"/>
      <w:spacing w:val="5"/>
    </w:rPr>
  </w:style>
  <w:style w:type="character" w:customStyle="1" w:styleId="35">
    <w:name w:val="Unresolved Mention"/>
    <w:basedOn w:val="15"/>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935</Words>
  <Characters>1948</Characters>
  <Lines>117</Lines>
  <Paragraphs>118</Paragraphs>
  <TotalTime>64</TotalTime>
  <ScaleCrop>false</ScaleCrop>
  <LinksUpToDate>false</LinksUpToDate>
  <CharactersWithSpaces>1996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2026-06-06T06:23:00Z</dcterms:created>
  <dc:creator>admin</dc:creator>
  <cp:lastModifiedBy>m30005525</cp:lastModifiedBy>
  <dcterms:modified xsi:type="dcterms:W3CDTF">2026-06-15T07:03:58Z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eyJoZGlkIjoiMmQyMWUzNWI3NGNiNjc1MmE3MWQ0MTUwODNkMmQwOGIifQ==</vt:lpwstr>
  </property>
  <property fmtid="{D5CDD505-2E9C-101B-9397-08002B2CF9AE}" pid="3" name="KSOProductBuildVer">
    <vt:lpwstr>2052-12.1.0.26895</vt:lpwstr>
  </property>
  <property fmtid="{D5CDD505-2E9C-101B-9397-08002B2CF9AE}" pid="4" name="ICV">
    <vt:lpwstr>700CF04E021C4A0D9E7BC67375A22710_12</vt:lpwstr>
  </property>
</Properties>
</file>