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b/>
          <w:color w:val="1A5676"/>
          <w:sz w:val="64"/>
        </w:rPr>
        <w:t>Pre &amp; Postnatal Supplement Brand</w:t>
      </w:r>
    </w:p>
    <w:p>
      <w:pPr>
        <w:jc w:val="center"/>
      </w:pPr>
      <w:r>
        <w:rPr>
          <w:rFonts w:ascii="Arial" w:hAnsi="Arial"/>
          <w:color w:val="2E75B6"/>
          <w:sz w:val="36"/>
        </w:rPr>
        <w:t>India Market Opportunity &amp; Launch Strategy</w:t>
      </w:r>
    </w:p>
    <w:p/>
    <w:p>
      <w:pPr>
        <w:jc w:val="center"/>
      </w:pPr>
      <w:r>
        <w:rPr>
          <w:rFonts w:ascii="Arial" w:hAnsi="Arial"/>
          <w:i/>
          <w:color w:val="666666"/>
          <w:sz w:val="24"/>
        </w:rPr>
        <w:t>Clean. Traceable. Gynecologist-Formulated. Direct-to-Consumer.</w:t>
      </w:r>
    </w:p>
    <w:p/>
    <w:p/>
    <w:p>
      <w:pPr>
        <w:jc w:val="center"/>
      </w:pPr>
      <w:r>
        <w:rPr>
          <w:rFonts w:ascii="Arial" w:hAnsi="Arial"/>
          <w:color w:val="999999"/>
          <w:sz w:val="22"/>
        </w:rPr>
        <w:t>Prepared for: Thambu</w:t>
        <w:br/>
        <w:t>April 13, 2026</w:t>
        <w:br/>
        <w:t>Confidential</w:t>
      </w:r>
    </w:p>
    <w:p>
      <w:r>
        <w:br w:type="page"/>
      </w:r>
    </w:p>
    <w:p>
      <w:pPr>
        <w:pStyle w:val="Heading1"/>
      </w:pPr>
      <w:r>
        <w:t>Table of Contents</w:t>
      </w:r>
    </w:p>
    <w:p>
      <w:r>
        <w:rPr>
          <w:color w:val="1A5676"/>
          <w:sz w:val="22"/>
        </w:rPr>
        <w:t>1. Executive Summary</w:t>
      </w:r>
    </w:p>
    <w:p>
      <w:r>
        <w:rPr>
          <w:color w:val="1A5676"/>
          <w:sz w:val="22"/>
        </w:rPr>
        <w:t>2. The Model: What Made Ritual a $250M Brand</w:t>
      </w:r>
    </w:p>
    <w:p>
      <w:r>
        <w:rPr>
          <w:color w:val="1A5676"/>
          <w:sz w:val="22"/>
        </w:rPr>
        <w:t>3. India Market Opportunity</w:t>
      </w:r>
    </w:p>
    <w:p>
      <w:r>
        <w:rPr>
          <w:color w:val="1A5676"/>
          <w:sz w:val="22"/>
        </w:rPr>
        <w:t>4. Competitive Landscape</w:t>
      </w:r>
    </w:p>
    <w:p>
      <w:r>
        <w:rPr>
          <w:color w:val="1A5676"/>
          <w:sz w:val="22"/>
        </w:rPr>
        <w:t>5. Regulatory Framework</w:t>
      </w:r>
    </w:p>
    <w:p>
      <w:r>
        <w:rPr>
          <w:color w:val="1A5676"/>
          <w:sz w:val="22"/>
        </w:rPr>
        <w:t>6. Proving Efficacy Without Drug Trials</w:t>
      </w:r>
    </w:p>
    <w:p>
      <w:r>
        <w:rPr>
          <w:color w:val="1A5676"/>
          <w:sz w:val="22"/>
        </w:rPr>
        <w:t>7. The Gynecologist Co-Founder Strategy</w:t>
      </w:r>
    </w:p>
    <w:p>
      <w:r>
        <w:rPr>
          <w:color w:val="1A5676"/>
          <w:sz w:val="22"/>
        </w:rPr>
        <w:t>8. Contract Manufacturers</w:t>
      </w:r>
    </w:p>
    <w:p>
      <w:r>
        <w:rPr>
          <w:color w:val="1A5676"/>
          <w:sz w:val="22"/>
        </w:rPr>
        <w:t>9. Step-by-Step Launch Roadmap</w:t>
      </w:r>
    </w:p>
    <w:p>
      <w:r>
        <w:rPr>
          <w:color w:val="1A5676"/>
          <w:sz w:val="22"/>
        </w:rPr>
        <w:t>10. Key Risks &amp; Mitigation</w:t>
      </w:r>
    </w:p>
    <w:p>
      <w:r>
        <w:rPr>
          <w:color w:val="1A5676"/>
          <w:sz w:val="22"/>
        </w:rPr>
        <w:t>11. Sources &amp; References</w:t>
      </w:r>
    </w:p>
    <w:p>
      <w:r>
        <w:br w:type="page"/>
      </w:r>
    </w:p>
    <w:p>
      <w:pPr>
        <w:pStyle w:val="Heading1"/>
      </w:pPr>
      <w:r>
        <w:t>1. Executive Summary</w:t>
      </w:r>
    </w:p>
    <w:p>
      <w:pPr>
        <w:pBdr>
          <w:bottom w:val="single" w:sz="6" w:space="1" w:color="1A5676"/>
        </w:pBdr>
        <w:spacing w:before="120" w:after="120"/>
      </w:pPr>
    </w:p>
    <w:p>
      <w:pPr>
        <w:spacing w:after="240"/>
      </w:pPr>
      <w:r>
        <w:rPr>
          <w:b w:val="0"/>
          <w:i w:val="0"/>
        </w:rPr>
        <w:t>This document outlines the opportunity to build India’s first transparency-led, gynecologist-formulated, direct-to-consumer prenatal and postnatal supplement brand — modeled on the principles that made Ritual a $250 million brand in the United States.</w:t>
      </w:r>
    </w:p>
    <w:p>
      <w:pPr>
        <w:spacing w:after="240"/>
      </w:pPr>
      <w:r>
        <w:rPr>
          <w:b w:val="0"/>
          <w:i w:val="0"/>
        </w:rPr>
        <w:t>The core thesis is simple: Indian women deserve better prenatal care than opaque, pharma-coded supplements prescribed through doctors. A brand that combines clinical credibility (gynecologist co-founder), radical ingredient transparency (traceable supply chain), premium formulation (branded, bioavailable ingredients), and modern DTC branding can capture a fast-growing market with virtually no direct competition in the premium, consumer-empowered segment.</w:t>
      </w:r>
    </w:p>
    <w:p>
      <w:pPr>
        <w:pStyle w:val="Heading2"/>
      </w:pPr>
      <w:r>
        <w:t>Key Numbers</w:t>
      </w:r>
    </w:p>
    <w:p>
      <w:pPr>
        <w:pStyle w:val="ListBullet"/>
      </w:pPr>
      <w:r>
        <w:rPr>
          <w:b/>
        </w:rPr>
        <w:t xml:space="preserve">$0.69B (2026) → $1.34B (2034) </w:t>
      </w:r>
      <w:r>
        <w:t xml:space="preserve">Global prenatal supplement market: </w:t>
      </w:r>
    </w:p>
    <w:p>
      <w:pPr>
        <w:pStyle w:val="ListBullet"/>
      </w:pPr>
      <w:r>
        <w:t>at 8.62% CAGR</w:t>
      </w:r>
    </w:p>
    <w:p>
      <w:pPr>
        <w:pStyle w:val="ListBullet"/>
      </w:pPr>
      <w:r>
        <w:rPr>
          <w:b/>
        </w:rPr>
        <w:t xml:space="preserve">$1.35B (2024) → $2.93B (2033) </w:t>
      </w:r>
      <w:r>
        <w:t xml:space="preserve">Global postpartum supplement market: </w:t>
      </w:r>
    </w:p>
    <w:p>
      <w:pPr>
        <w:pStyle w:val="ListBullet"/>
      </w:pPr>
      <w:r>
        <w:t>at 9.06% CAGR</w:t>
      </w:r>
    </w:p>
    <w:p>
      <w:pPr>
        <w:pStyle w:val="ListBullet"/>
      </w:pPr>
      <w:r>
        <w:t>Asia-Pacific holds 38.58% of the global postpartum market — the largest regional share</w:t>
      </w:r>
    </w:p>
    <w:p>
      <w:pPr>
        <w:pStyle w:val="ListBullet"/>
      </w:pPr>
      <w:r>
        <w:rPr>
          <w:b/>
        </w:rPr>
        <w:t>$164B (2025) → $258B (2034)</w:t>
      </w:r>
      <w:r>
        <w:t xml:space="preserve">India health &amp; wellness market: </w:t>
      </w:r>
    </w:p>
    <w:p>
      <w:pPr>
        <w:pStyle w:val="ListBullet"/>
      </w:pPr>
      <w:r>
        <w:t>Ritual’s revenue: $250M+ (2024), from a $0 start in 2016</w:t>
      </w:r>
    </w:p>
    <w:p>
      <w:r>
        <w:br w:type="page"/>
      </w:r>
    </w:p>
    <w:p>
      <w:pPr>
        <w:pStyle w:val="Heading1"/>
      </w:pPr>
      <w:r>
        <w:t>2. The Model: What Made Ritual a $250M Brand</w:t>
      </w:r>
    </w:p>
    <w:p>
      <w:pPr>
        <w:pBdr>
          <w:bottom w:val="single" w:sz="6" w:space="1" w:color="1A5676"/>
        </w:pBdr>
        <w:spacing w:before="120" w:after="120"/>
      </w:pPr>
    </w:p>
    <w:p>
      <w:pPr>
        <w:spacing w:after="240"/>
      </w:pPr>
      <w:r>
        <w:rPr>
          <w:b w:val="0"/>
          <w:i w:val="0"/>
        </w:rPr>
        <w:t>Ritual was founded in 2016 by Katerina Schneider, a venture capital investor who became pregnant in 2015 and couldn’t find a prenatal vitamin she trusted. The brand went from $0 to over $250 million in annual gross revenue by 2024. Understanding what drove that growth is essential for replicating the model in India.</w:t>
      </w:r>
    </w:p>
    <w:p>
      <w:pPr>
        <w:pStyle w:val="Heading2"/>
      </w:pPr>
      <w:r>
        <w:t>What Made Ritual Work</w:t>
      </w:r>
    </w:p>
    <w:p>
      <w:pPr>
        <w:spacing w:after="80"/>
      </w:pPr>
      <w:r>
        <w:rPr>
          <w:b/>
          <w:i w:val="0"/>
        </w:rPr>
        <w:t>Radical Ingredient Transparency</w:t>
      </w:r>
    </w:p>
    <w:p>
      <w:pPr>
        <w:spacing w:after="200"/>
      </w:pPr>
      <w:r>
        <w:rPr>
          <w:b w:val="0"/>
          <w:i w:val="0"/>
        </w:rPr>
        <w:t>Ritual’s “Made Traceable” program lets consumers trace every ingredient to its source, manufacturer, and country of origin. This level of openness was unprecedented in the supplement industry and became their core brand differentiator.</w:t>
      </w:r>
    </w:p>
    <w:p>
      <w:pPr>
        <w:spacing w:after="80"/>
      </w:pPr>
      <w:r>
        <w:rPr>
          <w:b/>
          <w:i w:val="0"/>
        </w:rPr>
        <w:t>Clinical Validation</w:t>
      </w:r>
    </w:p>
    <w:p>
      <w:pPr>
        <w:spacing w:after="200"/>
      </w:pPr>
      <w:r>
        <w:rPr>
          <w:b w:val="0"/>
          <w:i w:val="0"/>
        </w:rPr>
        <w:t>Ritual conducted a 24-week, randomized, double-blind study in partnership with Brooklyn College (CUNY), Maimonides Medical Center, and Cornell University. The study compared Ritual’s prenatal against another leading prenatal and demonstrated 2.4x higher biotin levels, better folate utilization, and lower cortisol. This was a comparison study, not a drug trial — an important distinction.</w:t>
      </w:r>
    </w:p>
    <w:p>
      <w:pPr>
        <w:spacing w:after="80"/>
      </w:pPr>
      <w:r>
        <w:rPr>
          <w:b/>
          <w:i w:val="0"/>
        </w:rPr>
        <w:t>Innovative Product Design</w:t>
      </w:r>
    </w:p>
    <w:p>
      <w:pPr>
        <w:spacing w:after="200"/>
      </w:pPr>
      <w:r>
        <w:rPr>
          <w:b w:val="0"/>
          <w:i w:val="0"/>
        </w:rPr>
        <w:t>Delayed-release capsules designed to dissolve in the small intestine for optimal absorption. A mint tab in every bottle for freshness. Clean Label Project Purity Award for heavy metal testing. Every detail was engineered to make the daily vitamin experience feel premium.</w:t>
      </w:r>
    </w:p>
    <w:p>
      <w:pPr>
        <w:spacing w:after="80"/>
      </w:pPr>
      <w:r>
        <w:rPr>
          <w:b/>
          <w:i w:val="0"/>
        </w:rPr>
        <w:t>DTC-First Business Model</w:t>
      </w:r>
    </w:p>
    <w:p>
      <w:pPr>
        <w:spacing w:after="200"/>
      </w:pPr>
      <w:r>
        <w:rPr>
          <w:b w:val="0"/>
          <w:i w:val="0"/>
        </w:rPr>
        <w:t>Ritual launched as a subscription-only DTC brand at ~$30/month with approximately 70% gross margins. They stayed DTC-only for six years before entering retail through Whole Foods (2022) and Target (2023). This gave them direct customer relationships, predictable recurring revenue, and full control over the brand experience.</w:t>
      </w:r>
    </w:p>
    <w:p>
      <w:pPr>
        <w:spacing w:after="80"/>
      </w:pPr>
      <w:r>
        <w:rPr>
          <w:b/>
          <w:i w:val="0"/>
        </w:rPr>
        <w:t>Lifestyle Branding, Not Pharma Packaging</w:t>
      </w:r>
    </w:p>
    <w:p>
      <w:pPr>
        <w:spacing w:after="200"/>
      </w:pPr>
      <w:r>
        <w:rPr>
          <w:b w:val="0"/>
          <w:i w:val="0"/>
        </w:rPr>
        <w:t>Ritual positioned prenatal vitamins as a lifestyle choice, not a medical prescription. The branding, packaging, and marketing felt like a premium wellness brand — something you’d proudly display, not hide in a medicine cabinet.</w:t>
      </w:r>
    </w:p>
    <w:p>
      <w:r>
        <w:br w:type="page"/>
      </w:r>
    </w:p>
    <w:p>
      <w:pPr>
        <w:pStyle w:val="Heading1"/>
      </w:pPr>
      <w:r>
        <w:t>3. India Market Opportunity</w:t>
      </w:r>
    </w:p>
    <w:p>
      <w:pPr>
        <w:pBdr>
          <w:bottom w:val="single" w:sz="6" w:space="1" w:color="1A5676"/>
        </w:pBdr>
        <w:spacing w:before="120" w:after="120"/>
      </w:pPr>
    </w:p>
    <w:p>
      <w:pPr>
        <w:spacing w:after="240"/>
      </w:pPr>
      <w:r>
        <w:rPr>
          <w:b w:val="0"/>
          <w:i w:val="0"/>
        </w:rPr>
        <w:t>India’s prenatal supplement market presents a unique opportunity because the gap between what consumers want and what’s available is enormous.</w:t>
      </w:r>
    </w:p>
    <w:p>
      <w:pPr>
        <w:pStyle w:val="Heading2"/>
      </w:pPr>
      <w:r>
        <w:t>Market Size &amp; Growth</w:t>
      </w:r>
    </w:p>
    <w:p>
      <w:pPr>
        <w:spacing w:after="240"/>
      </w:pPr>
      <w:r>
        <w:rPr>
          <w:b w:val="0"/>
          <w:i w:val="0"/>
        </w:rPr>
        <w:t>The Indian health and wellness market was valued at $164 billion in 2025 and is projected to reach $258 billion by 2034, growing at a 5.14% CAGR. The Asia-Pacific region holds the largest share (38.58%) of the global postpartum health supplements market. India is the key driver of this regional growth, fueled by rising disposable incomes, increasing health awareness, and a massive population of women of childbearing age.</w:t>
      </w:r>
    </w:p>
    <w:p>
      <w:pPr>
        <w:pStyle w:val="Heading2"/>
      </w:pPr>
      <w:r>
        <w:t>The Trust Gap</w:t>
      </w:r>
    </w:p>
    <w:p>
      <w:pPr>
        <w:spacing w:after="240"/>
      </w:pPr>
      <w:r>
        <w:rPr>
          <w:b w:val="0"/>
          <w:i w:val="0"/>
        </w:rPr>
        <w:t>The Indian supplement industry has a long history of opaque formulations, questionable quality control, and heavy reliance on doctor prescriptions rather than consumer empowerment. Many premium-conscious Indian women (like you experienced firsthand) turn to imported brands from the US or Europe because they don’t trust locally-made alternatives. A brand that addresses this trust deficit head-on — with traceable ingredients, third-party testing, and clinical backing — has a clear path to capturing this underserved segment.</w:t>
      </w:r>
    </w:p>
    <w:p>
      <w:pPr>
        <w:pStyle w:val="Heading2"/>
      </w:pPr>
      <w:r>
        <w:t>The Consumer Shift</w:t>
      </w:r>
    </w:p>
    <w:p>
      <w:pPr>
        <w:spacing w:after="240"/>
      </w:pPr>
      <w:r>
        <w:rPr>
          <w:b w:val="0"/>
          <w:i w:val="0"/>
        </w:rPr>
        <w:t>India’s D2C ecosystem has matured significantly, with consumers increasingly comfortable buying health and wellness products online. The preference for organic, natural, and non-GMO supplements is growing rapidly. Urban, educated Indian women are actively seeking better options and are willing to pay a premium for products they trust.</w:t>
      </w:r>
    </w:p>
    <w:p>
      <w:r>
        <w:br w:type="page"/>
      </w:r>
    </w:p>
    <w:p>
      <w:pPr>
        <w:pStyle w:val="Heading1"/>
      </w:pPr>
      <w:r>
        <w:t>4. Competitive Landscape</w:t>
      </w:r>
    </w:p>
    <w:p>
      <w:pPr>
        <w:pBdr>
          <w:bottom w:val="single" w:sz="6" w:space="1" w:color="1A5676"/>
        </w:pBdr>
        <w:spacing w:before="120" w:after="120"/>
      </w:pPr>
    </w:p>
    <w:p>
      <w:pPr>
        <w:pStyle w:val="Heading2"/>
      </w:pPr>
      <w:r>
        <w:t>Trimacare — The Closest Indian Competitor</w:t>
      </w:r>
    </w:p>
    <w:p>
      <w:pPr>
        <w:spacing w:after="160"/>
      </w:pPr>
      <w:r>
        <w:rPr>
          <w:b w:val="0"/>
          <w:i w:val="0"/>
        </w:rPr>
        <w:t>Trimacare is India’s first patented, trimester-specific prenatal supplement, developed by co-founders Sameer Agarwal and Surbhi Gupta under PlusPlus Lifesciences. Key facts:</w:t>
      </w:r>
    </w:p>
    <w:p>
      <w:pPr>
        <w:pStyle w:val="ListBullet"/>
      </w:pPr>
      <w:r>
        <w:t>Founded 2021, patented Multi-Micronutrient (MMN) trimester-based model</w:t>
      </w:r>
    </w:p>
    <w:p>
      <w:pPr>
        <w:pStyle w:val="ListBullet"/>
      </w:pPr>
      <w:r>
        <w:t>Three products: Trimacare 1 (1st trimester), 2 (2nd), and 3 (3rd)</w:t>
      </w:r>
    </w:p>
    <w:p>
      <w:pPr>
        <w:pStyle w:val="ListBullet"/>
      </w:pPr>
      <w:r>
        <w:t>Uses L-Methylfolate, time-release iron, and vegetarian Omega-3</w:t>
      </w:r>
    </w:p>
    <w:p>
      <w:pPr>
        <w:pStyle w:val="ListBullet"/>
      </w:pPr>
      <w:r>
        <w:t>Over 5,000 doctors prescribing; 100,000+ patients reached</w:t>
      </w:r>
    </w:p>
    <w:p>
      <w:pPr>
        <w:pStyle w:val="ListBullet"/>
      </w:pPr>
      <w:r>
        <w:t>Primarily doctor-driven distribution, not consumer DTC</w:t>
      </w:r>
    </w:p>
    <w:p>
      <w:pPr>
        <w:pStyle w:val="ListBullet"/>
      </w:pPr>
      <w:r>
        <w:t>Packaging and branding are pharma-coded — clinical, not lifestyle</w:t>
      </w:r>
    </w:p>
    <w:p>
      <w:r>
        <w:rPr>
          <w:b w:val="0"/>
          <w:i w:val="0"/>
        </w:rPr>
      </w:r>
    </w:p>
    <w:p>
      <w:pPr>
        <w:spacing w:after="240"/>
      </w:pPr>
      <w:r>
        <w:rPr>
          <w:b w:val="0"/>
          <w:i w:val="0"/>
        </w:rPr>
        <w:t>Trimacare’s trimester-specific MMN approach is patented, so your formulation must be sufficiently differentiated to avoid IP issues. However, their go-to-market is entirely doctor-driven and their branding is clinical. The consumer-facing, lifestyle-brand, DTC opportunity remains wide open.</w:t>
      </w:r>
    </w:p>
    <w:p>
      <w:pPr>
        <w:pStyle w:val="Heading2"/>
      </w:pPr>
      <w:r>
        <w:t>The Strategic Gap You’re Filling</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5676" w:val="clear"/>
          </w:tcPr>
          <w:p>
            <w:r>
              <w:rPr>
                <w:b/>
                <w:color w:val="FFFFFF"/>
                <w:sz w:val="20"/>
              </w:rPr>
              <w:t>Dimension</w:t>
            </w:r>
          </w:p>
        </w:tc>
        <w:tc>
          <w:tcPr>
            <w:tcW w:type="dxa" w:w="3120"/>
            <w:shd w:fill="1A5676" w:val="clear"/>
          </w:tcPr>
          <w:p>
            <w:r>
              <w:rPr>
                <w:b/>
                <w:color w:val="FFFFFF"/>
                <w:sz w:val="20"/>
              </w:rPr>
              <w:t>Existing Indian Brands</w:t>
            </w:r>
          </w:p>
        </w:tc>
        <w:tc>
          <w:tcPr>
            <w:tcW w:type="dxa" w:w="3120"/>
            <w:shd w:fill="1A5676" w:val="clear"/>
          </w:tcPr>
          <w:p>
            <w:r>
              <w:rPr>
                <w:b/>
                <w:color w:val="FFFFFF"/>
                <w:sz w:val="20"/>
              </w:rPr>
              <w:t>Your Opportunity</w:t>
            </w:r>
          </w:p>
        </w:tc>
      </w:tr>
      <w:tr>
        <w:tc>
          <w:tcPr>
            <w:tcW w:type="dxa" w:w="3120"/>
            <w:shd w:fill="EBF5FB" w:val="clear"/>
          </w:tcPr>
          <w:p>
            <w:r>
              <w:rPr>
                <w:sz w:val="20"/>
              </w:rPr>
              <w:t>Branding</w:t>
            </w:r>
          </w:p>
        </w:tc>
        <w:tc>
          <w:tcPr>
            <w:tcW w:type="dxa" w:w="3120"/>
            <w:shd w:fill="EBF5FB" w:val="clear"/>
          </w:tcPr>
          <w:p>
            <w:r>
              <w:rPr>
                <w:sz w:val="20"/>
              </w:rPr>
              <w:t>Pharma-coded, clinical</w:t>
            </w:r>
          </w:p>
        </w:tc>
        <w:tc>
          <w:tcPr>
            <w:tcW w:type="dxa" w:w="3120"/>
            <w:shd w:fill="EBF5FB" w:val="clear"/>
          </w:tcPr>
          <w:p>
            <w:r>
              <w:rPr>
                <w:sz w:val="20"/>
              </w:rPr>
              <w:t>Lifestyle, premium wellness</w:t>
            </w:r>
          </w:p>
        </w:tc>
      </w:tr>
      <w:tr>
        <w:tc>
          <w:tcPr>
            <w:tcW w:type="dxa" w:w="3120"/>
          </w:tcPr>
          <w:p>
            <w:r>
              <w:rPr>
                <w:sz w:val="20"/>
              </w:rPr>
              <w:t>Distribution</w:t>
            </w:r>
          </w:p>
        </w:tc>
        <w:tc>
          <w:tcPr>
            <w:tcW w:type="dxa" w:w="3120"/>
          </w:tcPr>
          <w:p>
            <w:r>
              <w:rPr>
                <w:sz w:val="20"/>
              </w:rPr>
              <w:t>Doctor prescriptions, pharmacy</w:t>
            </w:r>
          </w:p>
        </w:tc>
        <w:tc>
          <w:tcPr>
            <w:tcW w:type="dxa" w:w="3120"/>
          </w:tcPr>
          <w:p>
            <w:r>
              <w:rPr>
                <w:sz w:val="20"/>
              </w:rPr>
              <w:t>DTC website, subscription</w:t>
            </w:r>
          </w:p>
        </w:tc>
      </w:tr>
      <w:tr>
        <w:tc>
          <w:tcPr>
            <w:tcW w:type="dxa" w:w="3120"/>
            <w:shd w:fill="EBF5FB" w:val="clear"/>
          </w:tcPr>
          <w:p>
            <w:r>
              <w:rPr>
                <w:sz w:val="20"/>
              </w:rPr>
              <w:t>Transparency</w:t>
            </w:r>
          </w:p>
        </w:tc>
        <w:tc>
          <w:tcPr>
            <w:tcW w:type="dxa" w:w="3120"/>
            <w:shd w:fill="EBF5FB" w:val="clear"/>
          </w:tcPr>
          <w:p>
            <w:r>
              <w:rPr>
                <w:sz w:val="20"/>
              </w:rPr>
              <w:t>Opaque supply chain</w:t>
            </w:r>
          </w:p>
        </w:tc>
        <w:tc>
          <w:tcPr>
            <w:tcW w:type="dxa" w:w="3120"/>
            <w:shd w:fill="EBF5FB" w:val="clear"/>
          </w:tcPr>
          <w:p>
            <w:r>
              <w:rPr>
                <w:sz w:val="20"/>
              </w:rPr>
              <w:t>Fully traceable ingredients</w:t>
            </w:r>
          </w:p>
        </w:tc>
      </w:tr>
      <w:tr>
        <w:tc>
          <w:tcPr>
            <w:tcW w:type="dxa" w:w="3120"/>
          </w:tcPr>
          <w:p>
            <w:r>
              <w:rPr>
                <w:sz w:val="20"/>
              </w:rPr>
              <w:t>Testing</w:t>
            </w:r>
          </w:p>
        </w:tc>
        <w:tc>
          <w:tcPr>
            <w:tcW w:type="dxa" w:w="3120"/>
          </w:tcPr>
          <w:p>
            <w:r>
              <w:rPr>
                <w:sz w:val="20"/>
              </w:rPr>
              <w:t>Standard compliance</w:t>
            </w:r>
          </w:p>
        </w:tc>
        <w:tc>
          <w:tcPr>
            <w:tcW w:type="dxa" w:w="3120"/>
          </w:tcPr>
          <w:p>
            <w:r>
              <w:rPr>
                <w:sz w:val="20"/>
              </w:rPr>
              <w:t>Third-party heavy metal testing, Clean Label</w:t>
            </w:r>
          </w:p>
        </w:tc>
      </w:tr>
      <w:tr>
        <w:tc>
          <w:tcPr>
            <w:tcW w:type="dxa" w:w="3120"/>
            <w:shd w:fill="EBF5FB" w:val="clear"/>
          </w:tcPr>
          <w:p>
            <w:r>
              <w:rPr>
                <w:sz w:val="20"/>
              </w:rPr>
              <w:t>Consumer Relationship</w:t>
            </w:r>
          </w:p>
        </w:tc>
        <w:tc>
          <w:tcPr>
            <w:tcW w:type="dxa" w:w="3120"/>
            <w:shd w:fill="EBF5FB" w:val="clear"/>
          </w:tcPr>
          <w:p>
            <w:r>
              <w:rPr>
                <w:sz w:val="20"/>
              </w:rPr>
              <w:t>Through doctors</w:t>
            </w:r>
          </w:p>
        </w:tc>
        <w:tc>
          <w:tcPr>
            <w:tcW w:type="dxa" w:w="3120"/>
            <w:shd w:fill="EBF5FB" w:val="clear"/>
          </w:tcPr>
          <w:p>
            <w:r>
              <w:rPr>
                <w:sz w:val="20"/>
              </w:rPr>
              <w:t>Direct, community-driven</w:t>
            </w:r>
          </w:p>
        </w:tc>
      </w:tr>
      <w:tr>
        <w:tc>
          <w:tcPr>
            <w:tcW w:type="dxa" w:w="3120"/>
          </w:tcPr>
          <w:p>
            <w:r>
              <w:rPr>
                <w:sz w:val="20"/>
              </w:rPr>
              <w:t>Pricing</w:t>
            </w:r>
          </w:p>
        </w:tc>
        <w:tc>
          <w:tcPr>
            <w:tcW w:type="dxa" w:w="3120"/>
          </w:tcPr>
          <w:p>
            <w:r>
              <w:rPr>
                <w:sz w:val="20"/>
              </w:rPr>
              <w:t>₹200–500/month</w:t>
            </w:r>
          </w:p>
        </w:tc>
        <w:tc>
          <w:tcPr>
            <w:tcW w:type="dxa" w:w="3120"/>
          </w:tcPr>
          <w:p>
            <w:r>
              <w:rPr>
                <w:sz w:val="20"/>
              </w:rPr>
              <w:t>₹800–1,500/month premium</w:t>
            </w:r>
          </w:p>
        </w:tc>
      </w:tr>
    </w:tbl>
    <w:p>
      <w:r>
        <w:br w:type="page"/>
      </w:r>
    </w:p>
    <w:p>
      <w:pPr>
        <w:pStyle w:val="Heading1"/>
      </w:pPr>
      <w:r>
        <w:t>5. Regulatory Framework</w:t>
      </w:r>
    </w:p>
    <w:p>
      <w:pPr>
        <w:pBdr>
          <w:bottom w:val="single" w:sz="6" w:space="1" w:color="1A5676"/>
        </w:pBdr>
        <w:spacing w:before="120" w:after="120"/>
      </w:pPr>
    </w:p>
    <w:p>
      <w:pPr>
        <w:pStyle w:val="Heading2"/>
      </w:pPr>
      <w:r>
        <w:t>FSSAI Classification: Food for Special Dietary Use (FSDU)</w:t>
      </w:r>
    </w:p>
    <w:p>
      <w:pPr>
        <w:spacing w:after="240"/>
      </w:pPr>
      <w:r>
        <w:rPr>
          <w:b w:val="0"/>
          <w:i w:val="0"/>
        </w:rPr>
        <w:t>Your product falls under the FSSAI’s “Food for Special Dietary Use” (FSDU) category, which explicitly includes products formulated for pregnant and lactating women. This is governed by the Food Safety and Standards (Health Supplements, Nutraceuticals, Food for Special Dietary Use, Food for Special Medical Purpose, Functional Food and Novel Food) Regulations, 2022.</w:t>
      </w:r>
    </w:p>
    <w:p>
      <w:pPr>
        <w:pStyle w:val="Heading2"/>
      </w:pPr>
      <w:r>
        <w:t>Mandatory Label Requirements</w:t>
      </w:r>
    </w:p>
    <w:p>
      <w:pPr>
        <w:pStyle w:val="ListBullet"/>
      </w:pPr>
      <w:r>
        <w:t>The words "FOOD FOR SPECIAL DIETARY USE" followed by the target group</w:t>
      </w:r>
    </w:p>
    <w:p>
      <w:pPr>
        <w:pStyle w:val="ListBullet"/>
      </w:pPr>
      <w:r>
        <w:t>Statement identifying target consumers (pregnant women, nursing mothers)</w:t>
      </w:r>
    </w:p>
    <w:p>
      <w:pPr>
        <w:pStyle w:val="ListBullet"/>
      </w:pPr>
      <w:r>
        <w:t>Rationale for use of the product</w:t>
      </w:r>
    </w:p>
    <w:p>
      <w:pPr>
        <w:pStyle w:val="ListBullet"/>
      </w:pPr>
      <w:r>
        <w:t>Dosage and usage instructions</w:t>
      </w:r>
    </w:p>
    <w:p>
      <w:pPr>
        <w:pStyle w:val="ListBullet"/>
      </w:pPr>
      <w:r>
        <w:t>"NOT FOR MEDICINAL USE" — prominently displayed</w:t>
      </w:r>
    </w:p>
    <w:p>
      <w:pPr>
        <w:pStyle w:val="ListBullet"/>
      </w:pPr>
      <w:r>
        <w:t>Warning that product is not for parenteral use</w:t>
      </w:r>
    </w:p>
    <w:p>
      <w:pPr>
        <w:pStyle w:val="ListBullet"/>
      </w:pPr>
      <w:r>
        <w:t>Statement to store out of reach of children</w:t>
      </w:r>
    </w:p>
    <w:p>
      <w:pPr>
        <w:pStyle w:val="ListBullet"/>
      </w:pPr>
      <w:r>
        <w:t>Source of bioactive ingredients (plant or animal origin)</w:t>
      </w:r>
    </w:p>
    <w:p>
      <w:pPr>
        <w:pStyle w:val="Heading2"/>
      </w:pPr>
      <w:r>
        <w:t>What You CAN Claim</w:t>
      </w:r>
    </w:p>
    <w:p>
      <w:pPr>
        <w:spacing w:after="200"/>
      </w:pPr>
      <w:r>
        <w:rPr>
          <w:b w:val="0"/>
          <w:i w:val="0"/>
        </w:rPr>
        <w:t>Structure/function claims are permitted, such as "supports fetal development," "helps maintain healthy iron levels during pregnancy," or "specially formulated for pregnant women." These must be supported by generally accepted scientific data.</w:t>
      </w:r>
    </w:p>
    <w:p>
      <w:pPr>
        <w:pStyle w:val="Heading2"/>
      </w:pPr>
      <w:r>
        <w:t>What You CANNOT Claim</w:t>
      </w:r>
    </w:p>
    <w:p>
      <w:pPr>
        <w:spacing w:after="200"/>
      </w:pPr>
      <w:r>
        <w:rPr>
          <w:b w:val="0"/>
          <w:i w:val="0"/>
        </w:rPr>
        <w:t>Therapeutic claims are strictly prohibited. You cannot say "prevents preeclampsia," "treats gestational diabetes," "cures morning sickness," or anything implying disease prevention, treatment, or cure. The phrase "pregnancy safe" is a grey area — it implies a medical safety guarantee and should be avoided. Use "specially formulated for pregnant women" instead.</w:t>
      </w:r>
    </w:p>
    <w:p>
      <w:pPr>
        <w:pStyle w:val="Heading2"/>
      </w:pPr>
      <w:r>
        <w:t>The FSSAI vs. CDSCO Line</w:t>
      </w:r>
    </w:p>
    <w:p>
      <w:pPr>
        <w:spacing w:after="200"/>
      </w:pPr>
      <w:r>
        <w:rPr>
          <w:b w:val="0"/>
          <w:i w:val="0"/>
        </w:rPr>
        <w:t>This is critical: every vitamin and mineral must stay within the ICMR Recommended Dietary Allowance (RDA). You cannot exceed 1x RDA for any nutrient. If you exceed FSSAI-specified limits (e.g., Vitamin D3 above 1000 IU), your product risks reclassification as a drug under CDSCO (Central Drugs Standard Control Organisation), which requires clinical trials and a completely different — and far more expensive — approval process.</w:t>
      </w:r>
    </w:p>
    <w:p>
      <w:r>
        <w:br w:type="page"/>
      </w:r>
    </w:p>
    <w:p>
      <w:pPr>
        <w:pStyle w:val="Heading1"/>
      </w:pPr>
      <w:r>
        <w:t>6. Proving Efficacy Without Drug Trials</w:t>
      </w:r>
    </w:p>
    <w:p>
      <w:pPr>
        <w:pBdr>
          <w:bottom w:val="single" w:sz="6" w:space="1" w:color="1A5676"/>
        </w:pBdr>
        <w:spacing w:before="120" w:after="120"/>
      </w:pPr>
    </w:p>
    <w:p>
      <w:pPr>
        <w:spacing w:after="240"/>
      </w:pPr>
      <w:r>
        <w:rPr>
          <w:b w:val="0"/>
          <w:i w:val="0"/>
        </w:rPr>
        <w:t>Clinical trials are not mandatory for FSSAI-regulated supplements. Here is a phased approach to building scientific credibility over time:</w:t>
      </w:r>
    </w:p>
    <w:p>
      <w:pPr>
        <w:pStyle w:val="Heading2"/>
      </w:pPr>
      <w:r>
        <w:t>Phase 1: Launch with Published Science (Day 1)</w:t>
      </w:r>
    </w:p>
    <w:p>
      <w:pPr>
        <w:spacing w:after="200"/>
      </w:pPr>
      <w:r>
        <w:rPr>
          <w:b w:val="0"/>
          <w:i w:val="0"/>
        </w:rPr>
        <w:t>Use published peer-reviewed literature on each individual ingredient to support your claims. If your formulation uses well-studied ingredients like L-Methylfolate, DHA, chelated iron, and Vitamin D at established dosages, the existing body of research is sufficient for FSSAI compliance. This is what 99% of supplement brands do at launch.</w:t>
      </w:r>
    </w:p>
    <w:p>
      <w:pPr>
        <w:pStyle w:val="Heading2"/>
      </w:pPr>
      <w:r>
        <w:t>Phase 2: Observational Study (6–12 Months Post-Launch)</w:t>
      </w:r>
    </w:p>
    <w:p>
      <w:pPr>
        <w:spacing w:after="200"/>
      </w:pPr>
      <w:r>
        <w:rPr>
          <w:b w:val="0"/>
          <w:i w:val="0"/>
        </w:rPr>
        <w:t>Partner with gynecologists at a respected hospital to run a prospective observational study — tracking outcomes in women already taking your supplement as part of their prenatal care. This doesn’t require the same ethics burden as an interventional trial because you’re observing, not intervening.</w:t>
      </w:r>
    </w:p>
    <w:p>
      <w:pPr>
        <w:pStyle w:val="Heading2"/>
      </w:pPr>
      <w:r>
        <w:t>Phase 3: Comparative Clinical Study (Year 2–3)</w:t>
      </w:r>
    </w:p>
    <w:p>
      <w:pPr>
        <w:spacing w:after="200"/>
      </w:pPr>
      <w:r>
        <w:rPr>
          <w:b w:val="0"/>
          <w:i w:val="0"/>
        </w:rPr>
        <w:t>Commission a head-to-head study like Ritual did: your product vs. a standard Indian prenatal supplement, measuring blood biomarker outcomes. Partner with a recognized Indian medical institution (AIIMS, a top private medical college). This becomes your strongest marketing asset and competitive moat.</w:t>
      </w:r>
    </w:p>
    <w:p>
      <w:pPr>
        <w:spacing w:after="80"/>
      </w:pPr>
      <w:r>
        <w:rPr>
          <w:b/>
          <w:i w:val="0"/>
        </w:rPr>
        <w:t>Important Note on Pregnant Women in Research</w:t>
      </w:r>
    </w:p>
    <w:p>
      <w:pPr>
        <w:spacing w:after="200"/>
      </w:pPr>
      <w:r>
        <w:rPr>
          <w:b w:val="0"/>
          <w:i w:val="0"/>
        </w:rPr>
        <w:t>Pregnant women are classified as a vulnerable population under ICMR’s National Ethical Guidelines. Any research involving them requires full ethics committee review. However, a supplement comparison study (not a drug trial) with minimal risk to the fetus would likely qualify for approval. Ritual’s study enrolled 70 pregnant women starting at weeks 12–14 and measured biomarkers across trimesters — this is the model to follow.</w:t>
      </w:r>
    </w:p>
    <w:p>
      <w:pPr>
        <w:pStyle w:val="Heading2"/>
      </w:pPr>
      <w:r>
        <w:t>Additional Trust Signals</w:t>
      </w:r>
    </w:p>
    <w:p>
      <w:pPr>
        <w:pStyle w:val="ListBullet"/>
      </w:pPr>
      <w:r>
        <w:t>Clean Label Project Purity Award certification</w:t>
      </w:r>
    </w:p>
    <w:p>
      <w:pPr>
        <w:pStyle w:val="ListBullet"/>
      </w:pPr>
      <w:r>
        <w:t>Third-party heavy metal testing (arsenic, cadmium, lead, mercury) on every batch</w:t>
      </w:r>
    </w:p>
    <w:p>
      <w:pPr>
        <w:pStyle w:val="ListBullet"/>
      </w:pPr>
      <w:r>
        <w:t>USP Verification or NSF certification</w:t>
      </w:r>
    </w:p>
    <w:p>
      <w:r>
        <w:br w:type="page"/>
      </w:r>
    </w:p>
    <w:p>
      <w:pPr>
        <w:pStyle w:val="Heading1"/>
      </w:pPr>
      <w:r>
        <w:t>7. The Gynecologist Co-Founder Strategy</w:t>
      </w:r>
    </w:p>
    <w:p>
      <w:pPr>
        <w:pBdr>
          <w:bottom w:val="single" w:sz="6" w:space="1" w:color="1A5676"/>
        </w:pBdr>
        <w:spacing w:before="120" w:after="120"/>
      </w:pPr>
    </w:p>
    <w:p>
      <w:pPr>
        <w:spacing w:after="200"/>
      </w:pPr>
      <w:r>
        <w:rPr>
          <w:b w:val="0"/>
          <w:i w:val="0"/>
        </w:rPr>
        <w:t>Having a gynecologist involved at the co-founder level is arguably the single most important strategic decision for this brand. In India, the doctor’s word carries immense weight — especially in pregnancy. A gynecologist co-founder provides:</w:t>
      </w:r>
    </w:p>
    <w:p>
      <w:pPr>
        <w:pStyle w:val="ListBullet"/>
      </w:pPr>
      <w:r>
        <w:rPr>
          <w:b/>
        </w:rPr>
        <w:t>Formulation Credibility</w:t>
      </w:r>
      <w:r>
        <w:t xml:space="preserve"> — they drive formulation decisions based on clinical evidence and Indian women’s specific nutritional needs</w:t>
      </w:r>
    </w:p>
    <w:p>
      <w:pPr>
        <w:pStyle w:val="ListBullet"/>
      </w:pPr>
      <w:r>
        <w:rPr>
          <w:b/>
        </w:rPr>
        <w:t>Consumer Trust</w:t>
      </w:r>
      <w:r>
        <w:t xml:space="preserve"> — their name and reputation on the brand signals this is medically sound, not just marketing</w:t>
      </w:r>
    </w:p>
    <w:p>
      <w:pPr>
        <w:pStyle w:val="ListBullet"/>
      </w:pPr>
      <w:r>
        <w:rPr>
          <w:b/>
        </w:rPr>
        <w:t>Regulatory Strength</w:t>
      </w:r>
      <w:r>
        <w:t xml:space="preserve"> — FSSAI requires health claims be supported by scientific data; a qualified professional strengthens your position</w:t>
      </w:r>
    </w:p>
    <w:p>
      <w:pPr>
        <w:pStyle w:val="ListBullet"/>
      </w:pPr>
      <w:r>
        <w:rPr>
          <w:b/>
        </w:rPr>
        <w:t>Marketing Asset</w:t>
      </w:r>
      <w:r>
        <w:t xml:space="preserve"> — if they have a public presence (Instagram, YouTube), they become your most powerful and cost-effective marketing channel</w:t>
      </w:r>
    </w:p>
    <w:p>
      <w:r>
        <w:rPr>
          <w:b w:val="0"/>
          <w:i w:val="0"/>
        </w:rPr>
      </w:r>
    </w:p>
    <w:p>
      <w:pPr>
        <w:pStyle w:val="Heading2"/>
      </w:pPr>
      <w:r>
        <w:t>What to Look For</w:t>
      </w:r>
    </w:p>
    <w:p>
      <w:pPr>
        <w:pStyle w:val="ListBullet"/>
      </w:pPr>
      <w:r>
        <w:t>A practicing OB-GYN with strong clinical credentials</w:t>
      </w:r>
    </w:p>
    <w:p>
      <w:pPr>
        <w:pStyle w:val="ListBullet"/>
      </w:pPr>
      <w:r>
        <w:t>Ideally someone with an existing public presence educating women about pregnancy health</w:t>
      </w:r>
    </w:p>
    <w:p>
      <w:pPr>
        <w:pStyle w:val="ListBullet"/>
      </w:pPr>
      <w:r>
        <w:t>Willingness to commit as a co-founder or founding partner, not just an advisor</w:t>
      </w:r>
    </w:p>
    <w:p>
      <w:pPr>
        <w:pStyle w:val="ListBullet"/>
      </w:pPr>
      <w:r>
        <w:t>Alignment with the vision of consumer empowerment over traditional doctor-gatekeeper model</w:t>
      </w:r>
    </w:p>
    <w:p>
      <w:r>
        <w:rPr>
          <w:b w:val="0"/>
          <w:i w:val="0"/>
        </w:rPr>
      </w:r>
    </w:p>
    <w:p>
      <w:pPr>
        <w:pStyle w:val="Heading2"/>
      </w:pPr>
      <w:r>
        <w:t>Positioning Advice</w:t>
      </w:r>
    </w:p>
    <w:p>
      <w:pPr>
        <w:spacing w:after="200"/>
      </w:pPr>
      <w:r>
        <w:rPr>
          <w:b w:val="0"/>
          <w:i w:val="0"/>
        </w:rPr>
        <w:t>Don’t position the brand as a single doctor’s product. Ritual positions itself as a science-led company that works with medical professionals — not as “Dr. So-and-so’s vitamin.” The former scales; the latter feels like a clinic side-hustle. The gynecologist should add credibility to the brand, not become the brand.</w:t>
      </w:r>
    </w:p>
    <w:p>
      <w:r>
        <w:br w:type="page"/>
      </w:r>
    </w:p>
    <w:p>
      <w:pPr>
        <w:pStyle w:val="Heading1"/>
      </w:pPr>
      <w:r>
        <w:t>8. Contract Manufacturers</w:t>
      </w:r>
    </w:p>
    <w:p>
      <w:pPr>
        <w:pBdr>
          <w:bottom w:val="single" w:sz="6" w:space="1" w:color="1A5676"/>
        </w:pBdr>
        <w:spacing w:before="120" w:after="120"/>
      </w:pPr>
    </w:p>
    <w:p>
      <w:pPr>
        <w:spacing w:after="240"/>
      </w:pPr>
      <w:r>
        <w:rPr>
          <w:b w:val="0"/>
          <w:i w:val="0"/>
        </w:rPr>
        <w:t>The following manufacturers have been identified as potential partners, prioritized by their fit for a premium, US FDA-standard prenatal supplement brand:</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A5676" w:val="clear"/>
          </w:tcPr>
          <w:p>
            <w:r>
              <w:rPr>
                <w:b/>
                <w:color w:val="FFFFFF"/>
                <w:sz w:val="18"/>
              </w:rPr>
              <w:t>Manufacturer</w:t>
            </w:r>
          </w:p>
        </w:tc>
        <w:tc>
          <w:tcPr>
            <w:tcW w:type="dxa" w:w="1872"/>
            <w:shd w:fill="1A5676" w:val="clear"/>
          </w:tcPr>
          <w:p>
            <w:r>
              <w:rPr>
                <w:b/>
                <w:color w:val="FFFFFF"/>
                <w:sz w:val="18"/>
              </w:rPr>
              <w:t>Location</w:t>
            </w:r>
          </w:p>
        </w:tc>
        <w:tc>
          <w:tcPr>
            <w:tcW w:type="dxa" w:w="1872"/>
            <w:shd w:fill="1A5676" w:val="clear"/>
          </w:tcPr>
          <w:p>
            <w:r>
              <w:rPr>
                <w:b/>
                <w:color w:val="FFFFFF"/>
                <w:sz w:val="18"/>
              </w:rPr>
              <w:t>Key Certifications</w:t>
            </w:r>
          </w:p>
        </w:tc>
        <w:tc>
          <w:tcPr>
            <w:tcW w:type="dxa" w:w="1872"/>
            <w:shd w:fill="1A5676" w:val="clear"/>
          </w:tcPr>
          <w:p>
            <w:r>
              <w:rPr>
                <w:b/>
                <w:color w:val="FFFFFF"/>
                <w:sz w:val="18"/>
              </w:rPr>
              <w:t>Prenatal Experience</w:t>
            </w:r>
          </w:p>
        </w:tc>
        <w:tc>
          <w:tcPr>
            <w:tcW w:type="dxa" w:w="1872"/>
            <w:shd w:fill="1A5676" w:val="clear"/>
          </w:tcPr>
          <w:p>
            <w:r>
              <w:rPr>
                <w:b/>
                <w:color w:val="FFFFFF"/>
                <w:sz w:val="18"/>
              </w:rPr>
              <w:t>Best For</w:t>
            </w:r>
          </w:p>
        </w:tc>
      </w:tr>
      <w:tr>
        <w:tc>
          <w:tcPr>
            <w:tcW w:type="dxa" w:w="1872"/>
            <w:shd w:fill="EBF5FB" w:val="clear"/>
          </w:tcPr>
          <w:p>
            <w:r>
              <w:rPr>
                <w:sz w:val="18"/>
              </w:rPr>
              <w:t>Brukem Life Care</w:t>
            </w:r>
          </w:p>
        </w:tc>
        <w:tc>
          <w:tcPr>
            <w:tcW w:type="dxa" w:w="1872"/>
            <w:shd w:fill="EBF5FB" w:val="clear"/>
          </w:tcPr>
          <w:p>
            <w:r>
              <w:rPr>
                <w:sz w:val="18"/>
              </w:rPr>
              <w:t>Ahmedabad, Gujarat</w:t>
            </w:r>
          </w:p>
        </w:tc>
        <w:tc>
          <w:tcPr>
            <w:tcW w:type="dxa" w:w="1872"/>
            <w:shd w:fill="EBF5FB" w:val="clear"/>
          </w:tcPr>
          <w:p>
            <w:r>
              <w:rPr>
                <w:sz w:val="18"/>
              </w:rPr>
              <w:t>USFDA, FSSAI, WHO-GMP, ISO 22000, HACCP, Halal</w:t>
            </w:r>
          </w:p>
        </w:tc>
        <w:tc>
          <w:tcPr>
            <w:tcW w:type="dxa" w:w="1872"/>
            <w:shd w:fill="EBF5FB" w:val="clear"/>
          </w:tcPr>
          <w:p>
            <w:r>
              <w:rPr>
                <w:sz w:val="18"/>
              </w:rPr>
              <w:t>Yes — prenatal, PCOS, fertility</w:t>
            </w:r>
          </w:p>
        </w:tc>
        <w:tc>
          <w:tcPr>
            <w:tcW w:type="dxa" w:w="1872"/>
            <w:shd w:fill="EBF5FB" w:val="clear"/>
          </w:tcPr>
          <w:p>
            <w:r>
              <w:rPr>
                <w:sz w:val="18"/>
              </w:rPr>
              <w:t>Top recommendation: full prenatal expertise + USFDA</w:t>
            </w:r>
          </w:p>
        </w:tc>
      </w:tr>
      <w:tr>
        <w:tc>
          <w:tcPr>
            <w:tcW w:type="dxa" w:w="1872"/>
          </w:tcPr>
          <w:p>
            <w:r>
              <w:rPr>
                <w:sz w:val="18"/>
              </w:rPr>
              <w:t>Bionova Lifesciences</w:t>
            </w:r>
          </w:p>
        </w:tc>
        <w:tc>
          <w:tcPr>
            <w:tcW w:type="dxa" w:w="1872"/>
          </w:tcPr>
          <w:p>
            <w:r>
              <w:rPr>
                <w:sz w:val="18"/>
              </w:rPr>
              <w:t>Bangalore, Karnataka</w:t>
            </w:r>
          </w:p>
        </w:tc>
        <w:tc>
          <w:tcPr>
            <w:tcW w:type="dxa" w:w="1872"/>
          </w:tcPr>
          <w:p>
            <w:r>
              <w:rPr>
                <w:sz w:val="18"/>
              </w:rPr>
              <w:t>US-FDA, GMP, HACCP, FSMS, ISO, Halal</w:t>
            </w:r>
          </w:p>
        </w:tc>
        <w:tc>
          <w:tcPr>
            <w:tcW w:type="dxa" w:w="1872"/>
          </w:tcPr>
          <w:p>
            <w:r>
              <w:rPr>
                <w:sz w:val="18"/>
              </w:rPr>
              <w:t>Custom formulations, 10+ years</w:t>
            </w:r>
          </w:p>
        </w:tc>
        <w:tc>
          <w:tcPr>
            <w:tcW w:type="dxa" w:w="1872"/>
          </w:tcPr>
          <w:p>
            <w:r>
              <w:rPr>
                <w:sz w:val="18"/>
              </w:rPr>
              <w:t>R&amp;D support + custom formulation</w:t>
            </w:r>
          </w:p>
        </w:tc>
      </w:tr>
      <w:tr>
        <w:tc>
          <w:tcPr>
            <w:tcW w:type="dxa" w:w="1872"/>
            <w:shd w:fill="EBF5FB" w:val="clear"/>
          </w:tcPr>
          <w:p>
            <w:r>
              <w:rPr>
                <w:sz w:val="18"/>
              </w:rPr>
              <w:t>Tanishq Lifecare</w:t>
            </w:r>
          </w:p>
        </w:tc>
        <w:tc>
          <w:tcPr>
            <w:tcW w:type="dxa" w:w="1872"/>
            <w:shd w:fill="EBF5FB" w:val="clear"/>
          </w:tcPr>
          <w:p>
            <w:r>
              <w:rPr>
                <w:sz w:val="18"/>
              </w:rPr>
              <w:t>Ahmedabad, Gujarat</w:t>
            </w:r>
          </w:p>
        </w:tc>
        <w:tc>
          <w:tcPr>
            <w:tcW w:type="dxa" w:w="1872"/>
            <w:shd w:fill="EBF5FB" w:val="clear"/>
          </w:tcPr>
          <w:p>
            <w:r>
              <w:rPr>
                <w:sz w:val="18"/>
              </w:rPr>
              <w:t>WHO-GMP, ISO 9001, USDA Organic, EU Organic, Halal</w:t>
            </w:r>
          </w:p>
        </w:tc>
        <w:tc>
          <w:tcPr>
            <w:tcW w:type="dxa" w:w="1872"/>
            <w:shd w:fill="EBF5FB" w:val="clear"/>
          </w:tcPr>
          <w:p>
            <w:r>
              <w:rPr>
                <w:sz w:val="18"/>
              </w:rPr>
              <w:t>Custom formulation capability</w:t>
            </w:r>
          </w:p>
        </w:tc>
        <w:tc>
          <w:tcPr>
            <w:tcW w:type="dxa" w:w="1872"/>
            <w:shd w:fill="EBF5FB" w:val="clear"/>
          </w:tcPr>
          <w:p>
            <w:r>
              <w:rPr>
                <w:sz w:val="18"/>
              </w:rPr>
              <w:t>Organic / clean-label positioning</w:t>
            </w:r>
          </w:p>
        </w:tc>
      </w:tr>
      <w:tr>
        <w:tc>
          <w:tcPr>
            <w:tcW w:type="dxa" w:w="1872"/>
          </w:tcPr>
          <w:p>
            <w:r>
              <w:rPr>
                <w:sz w:val="18"/>
              </w:rPr>
              <w:t>beRef Pharmaceuticals</w:t>
            </w:r>
          </w:p>
        </w:tc>
        <w:tc>
          <w:tcPr>
            <w:tcW w:type="dxa" w:w="1872"/>
          </w:tcPr>
          <w:p>
            <w:r>
              <w:rPr>
                <w:sz w:val="18"/>
              </w:rPr>
              <w:t>Madurai, Tamil Nadu</w:t>
            </w:r>
          </w:p>
        </w:tc>
        <w:tc>
          <w:tcPr>
            <w:tcW w:type="dxa" w:w="1872"/>
          </w:tcPr>
          <w:p>
            <w:r>
              <w:rPr>
                <w:sz w:val="18"/>
              </w:rPr>
              <w:t>cGMP facility, 200+ formulations developed</w:t>
            </w:r>
          </w:p>
        </w:tc>
        <w:tc>
          <w:tcPr>
            <w:tcW w:type="dxa" w:w="1872"/>
          </w:tcPr>
          <w:p>
            <w:r>
              <w:rPr>
                <w:sz w:val="18"/>
              </w:rPr>
              <w:t>Pharma formulation (not supplement-specific)</w:t>
            </w:r>
          </w:p>
        </w:tc>
        <w:tc>
          <w:tcPr>
            <w:tcW w:type="dxa" w:w="1872"/>
          </w:tcPr>
          <w:p>
            <w:r>
              <w:rPr>
                <w:sz w:val="18"/>
              </w:rPr>
              <w:t>Personal connection + pharma-grade standards</w:t>
            </w:r>
          </w:p>
        </w:tc>
      </w:tr>
      <w:tr>
        <w:tc>
          <w:tcPr>
            <w:tcW w:type="dxa" w:w="1872"/>
            <w:shd w:fill="EBF5FB" w:val="clear"/>
          </w:tcPr>
          <w:p>
            <w:r>
              <w:rPr>
                <w:sz w:val="18"/>
              </w:rPr>
              <w:t>Lifecare Neuro</w:t>
            </w:r>
          </w:p>
        </w:tc>
        <w:tc>
          <w:tcPr>
            <w:tcW w:type="dxa" w:w="1872"/>
            <w:shd w:fill="EBF5FB" w:val="clear"/>
          </w:tcPr>
          <w:p>
            <w:r>
              <w:rPr>
                <w:sz w:val="18"/>
              </w:rPr>
              <w:t>Baddi, Himachal Pradesh</w:t>
            </w:r>
          </w:p>
        </w:tc>
        <w:tc>
          <w:tcPr>
            <w:tcW w:type="dxa" w:w="1872"/>
            <w:shd w:fill="EBF5FB" w:val="clear"/>
          </w:tcPr>
          <w:p>
            <w:r>
              <w:rPr>
                <w:sz w:val="18"/>
              </w:rPr>
              <w:t>WHO-GMP, ISO 9001, cGMP, cGLP</w:t>
            </w:r>
          </w:p>
        </w:tc>
        <w:tc>
          <w:tcPr>
            <w:tcW w:type="dxa" w:w="1872"/>
            <w:shd w:fill="EBF5FB" w:val="clear"/>
          </w:tcPr>
          <w:p>
            <w:r>
              <w:rPr>
                <w:sz w:val="18"/>
              </w:rPr>
              <w:t>Prenatal third-party manufacturing</w:t>
            </w:r>
          </w:p>
        </w:tc>
        <w:tc>
          <w:tcPr>
            <w:tcW w:type="dxa" w:w="1872"/>
            <w:shd w:fill="EBF5FB" w:val="clear"/>
          </w:tcPr>
          <w:p>
            <w:r>
              <w:rPr>
                <w:sz w:val="18"/>
              </w:rPr>
              <w:t>Cost advantages (excise-free zone)</w:t>
            </w:r>
          </w:p>
        </w:tc>
      </w:tr>
    </w:tbl>
    <w:p>
      <w:r>
        <w:rPr>
          <w:b w:val="0"/>
          <w:i w:val="0"/>
        </w:rPr>
      </w:r>
    </w:p>
    <w:p>
      <w:pPr>
        <w:pStyle w:val="Heading2"/>
      </w:pPr>
      <w:r>
        <w:t>Key Questions to Ask Each Manufacturer</w:t>
      </w:r>
    </w:p>
    <w:p>
      <w:pPr>
        <w:pStyle w:val="ListBullet"/>
      </w:pPr>
      <w:r>
        <w:t>Have you passed an actual USFDA inspection (not just registered)?</w:t>
      </w:r>
    </w:p>
    <w:p>
      <w:pPr>
        <w:pStyle w:val="ListBullet"/>
      </w:pPr>
      <w:r>
        <w:t>Can you source branded, traceable raw ingredients (Quatrefolic, life’sDHA, Albion chelated minerals)?</w:t>
      </w:r>
    </w:p>
    <w:p>
      <w:pPr>
        <w:pStyle w:val="ListBullet"/>
      </w:pPr>
      <w:r>
        <w:t>What are your minimum order quantities for a startup’s initial batch?</w:t>
      </w:r>
    </w:p>
    <w:p>
      <w:pPr>
        <w:pStyle w:val="ListBullet"/>
      </w:pPr>
      <w:r>
        <w:t>Do you hold FSSAI licensing for Food for Special Dietary Use (FSDU)?</w:t>
      </w:r>
    </w:p>
    <w:p>
      <w:pPr>
        <w:pStyle w:val="ListBullet"/>
      </w:pPr>
      <w:r>
        <w:t>Can you provide batch-level Certificates of Analysis with full heavy metal testing?</w:t>
      </w:r>
    </w:p>
    <w:p>
      <w:r>
        <w:br w:type="page"/>
      </w:r>
    </w:p>
    <w:p>
      <w:pPr>
        <w:pStyle w:val="Heading1"/>
      </w:pPr>
      <w:r>
        <w:t>9. Step-by-Step Launch Roadmap</w:t>
      </w:r>
    </w:p>
    <w:p>
      <w:pPr>
        <w:pBdr>
          <w:bottom w:val="single" w:sz="6" w:space="1" w:color="1A5676"/>
        </w:pBdr>
        <w:spacing w:before="120" w:after="120"/>
      </w:pPr>
    </w:p>
    <w:p>
      <w:pPr>
        <w:pStyle w:val="Heading2"/>
      </w:pPr>
      <w:r>
        <w:t>Step 0: Find Your Gynecologist Co-Founder (Before Everything)</w:t>
      </w:r>
    </w:p>
    <w:p>
      <w:pPr>
        <w:spacing w:after="200"/>
      </w:pPr>
      <w:r>
        <w:rPr>
          <w:b w:val="0"/>
          <w:i w:val="0"/>
        </w:rPr>
        <w:t>This is the single most important decision. Find a practicing OB-GYN — ideally with a public presence — who will commit as a co-founder, not just an advisor. This person shapes formulation, provides clinical credibility, and becomes your most powerful marketing asset.</w:t>
      </w:r>
    </w:p>
    <w:p>
      <w:pPr>
        <w:pStyle w:val="Heading2"/>
      </w:pPr>
      <w:r>
        <w:t>Step 1: Validate with Real Women (Weeks 1–4)</w:t>
      </w:r>
    </w:p>
    <w:p>
      <w:pPr>
        <w:spacing w:after="200"/>
      </w:pPr>
      <w:r>
        <w:rPr>
          <w:b w:val="0"/>
          <w:i w:val="0"/>
        </w:rPr>
        <w:t>Talk to 30–50 women who are currently pregnant or recently postpartum. Understand what they’re taking, what they hate about it, whether they’ve looked at foreign brands, and what they’d pay for something better. Use WhatsApp groups, Instagram polls, or your gynecologist’s patient network.</w:t>
      </w:r>
    </w:p>
    <w:p>
      <w:pPr>
        <w:pStyle w:val="Heading2"/>
      </w:pPr>
      <w:r>
        <w:t>Step 2: Design the Formulation (Weeks 4–8)</w:t>
      </w:r>
    </w:p>
    <w:p>
      <w:pPr>
        <w:spacing w:after="200"/>
      </w:pPr>
      <w:r>
        <w:rPr>
          <w:b w:val="0"/>
          <w:i w:val="0"/>
        </w:rPr>
        <w:t>Work with your gynecologist to design the formulation. Decide on trimester-specific vs. single comprehensive prenatal. Select branded, traceable ingredients (Quatrefolic, life’sDHA, chelated iron). Ensure all nutrients stay within ICMR RDA limits. Build your scientific evidence file from published literature.</w:t>
      </w:r>
    </w:p>
    <w:p>
      <w:pPr>
        <w:pStyle w:val="Heading2"/>
      </w:pPr>
      <w:r>
        <w:t>Step 3: Select Your Manufacturer (Weeks 6–10)</w:t>
      </w:r>
    </w:p>
    <w:p>
      <w:pPr>
        <w:spacing w:after="200"/>
      </w:pPr>
      <w:r>
        <w:rPr>
          <w:b w:val="0"/>
          <w:i w:val="0"/>
        </w:rPr>
        <w:t>Have parallel conversations with Brukem Life Care, Bionova, and beRef. Compare on cost, MOQs, USFDA inspection history, ability to source branded ingredients, turnaround time, and startup flexibility.</w:t>
      </w:r>
    </w:p>
    <w:p>
      <w:pPr>
        <w:pStyle w:val="Heading2"/>
      </w:pPr>
      <w:r>
        <w:t>Step 4: Register Business &amp; Start FSSAI Licensing (Weeks 8–12)</w:t>
      </w:r>
    </w:p>
    <w:p>
      <w:pPr>
        <w:spacing w:after="200"/>
      </w:pPr>
      <w:r>
        <w:rPr>
          <w:b w:val="0"/>
          <w:i w:val="0"/>
        </w:rPr>
        <w:t>Incorporate the company. Begin FSSAI product approval under the FSDU category for pregnant and lactating women. You’ll need finalized formulation, identified manufacturer, and scientific evidence file ready.</w:t>
      </w:r>
    </w:p>
    <w:p>
      <w:pPr>
        <w:pStyle w:val="Heading2"/>
      </w:pPr>
      <w:r>
        <w:t>Step 5: Build the Brand (Weeks 8–16)</w:t>
      </w:r>
    </w:p>
    <w:p>
      <w:pPr>
        <w:spacing w:after="200"/>
      </w:pPr>
      <w:r>
        <w:rPr>
          <w:b w:val="0"/>
          <w:i w:val="0"/>
        </w:rPr>
        <w:t>Develop brand identity — name, logo, packaging, website, Instagram. Make it feel premium, warm, trustworthy, and modern Indian. Think about the unboxing experience. This is where you differentiate from every pharma-coded competitor.</w:t>
      </w:r>
    </w:p>
    <w:p>
      <w:pPr>
        <w:pStyle w:val="Heading2"/>
      </w:pPr>
      <w:r>
        <w:t>Step 6: Soft Launch (DTC) (Months 5–6)</w:t>
      </w:r>
    </w:p>
    <w:p>
      <w:pPr>
        <w:spacing w:after="200"/>
      </w:pPr>
      <w:r>
        <w:rPr>
          <w:b w:val="0"/>
          <w:i w:val="0"/>
        </w:rPr>
        <w:t>Launch through your own website with a small initial batch. Use your gynecologist’s network and social presence to seed the first 500–1,000 customers. Collect feedback obsessively. Own the direct relationship — don’t go to Amazon or retail yet.</w:t>
      </w:r>
    </w:p>
    <w:p>
      <w:r>
        <w:br w:type="page"/>
      </w:r>
    </w:p>
    <w:p>
      <w:pPr>
        <w:pStyle w:val="Heading1"/>
      </w:pPr>
      <w:r>
        <w:t>10. Key Risks &amp; Mitigation</w:t>
      </w:r>
    </w:p>
    <w:p>
      <w:pPr>
        <w:pBdr>
          <w:bottom w:val="single" w:sz="6" w:space="1" w:color="1A5676"/>
        </w:pBdr>
        <w:spacing w:before="120" w:after="120"/>
      </w:pPr>
    </w:p>
    <w:p>
      <w:pPr>
        <w:spacing w:after="80"/>
      </w:pPr>
      <w:r>
        <w:rPr>
          <w:b/>
          <w:i w:val="0"/>
        </w:rPr>
        <w:t>Pricing Sensitivity</w:t>
      </w:r>
    </w:p>
    <w:p>
      <w:pPr>
        <w:spacing w:after="240"/>
      </w:pPr>
      <w:r>
        <w:rPr>
          <w:b w:val="0"/>
          <w:i w:val="0"/>
        </w:rPr>
        <w:t>Ritual charges ~$30/month in the US. Indian consumers are price-sensitive differently. You need to determine whether to target the top 5% (metro, English-speaking, already importing) or go broader. Initial recommendation: launch premium (₹800–1,500/month) for urban metros, then consider a more accessible line later.</w:t>
      </w:r>
    </w:p>
    <w:p>
      <w:pPr>
        <w:spacing w:after="80"/>
      </w:pPr>
      <w:r>
        <w:rPr>
          <w:b/>
          <w:i w:val="0"/>
        </w:rPr>
        <w:t>Trimacare’s Patent</w:t>
      </w:r>
    </w:p>
    <w:p>
      <w:pPr>
        <w:spacing w:after="240"/>
      </w:pPr>
      <w:r>
        <w:rPr>
          <w:b w:val="0"/>
          <w:i w:val="0"/>
        </w:rPr>
        <w:t>Their trimester-specific MMN model is patented. Ensure your formulation approach is sufficiently differentiated. A single comprehensive prenatal (like Ritual) or a different staging system avoids this entirely.</w:t>
      </w:r>
    </w:p>
    <w:p>
      <w:pPr>
        <w:spacing w:after="80"/>
      </w:pPr>
      <w:r>
        <w:rPr>
          <w:b/>
          <w:i w:val="0"/>
        </w:rPr>
        <w:t>FSSAI vs. CDSCO Classification</w:t>
      </w:r>
    </w:p>
    <w:p>
      <w:pPr>
        <w:spacing w:after="240"/>
      </w:pPr>
      <w:r>
        <w:rPr>
          <w:b w:val="0"/>
          <w:i w:val="0"/>
        </w:rPr>
        <w:t>If any ingredient exceeds ICMR RDA limits, your product may be classified as a drug. Work with a regulatory consultant to ensure every ingredient stays within FSSAI jurisdiction.</w:t>
      </w:r>
    </w:p>
    <w:p>
      <w:pPr>
        <w:spacing w:after="80"/>
      </w:pPr>
      <w:r>
        <w:rPr>
          <w:b/>
          <w:i w:val="0"/>
        </w:rPr>
        <w:t>Finding the Right Gynecologist</w:t>
      </w:r>
    </w:p>
    <w:p>
      <w:pPr>
        <w:spacing w:after="240"/>
      </w:pPr>
      <w:r>
        <w:rPr>
          <w:b w:val="0"/>
          <w:i w:val="0"/>
        </w:rPr>
        <w:t>The co-founder search may take time. Don’t compromise by settling for an advisor role. The depth of commitment is what makes this a real differentiator vs. just a marketing claim.</w:t>
      </w:r>
    </w:p>
    <w:p>
      <w:pPr>
        <w:spacing w:after="80"/>
      </w:pPr>
      <w:r>
        <w:rPr>
          <w:b/>
          <w:i w:val="0"/>
        </w:rPr>
        <w:t>Consumer Education</w:t>
      </w:r>
    </w:p>
    <w:p>
      <w:pPr>
        <w:spacing w:after="240"/>
      </w:pPr>
      <w:r>
        <w:rPr>
          <w:b w:val="0"/>
          <w:i w:val="0"/>
        </w:rPr>
        <w:t>Indian women may not immediately understand why they should pay 3–5x more than their doctor’s prescription. Your content strategy needs to educate before it sells — focus on what’s in (and what’s not in) their current supplements.</w:t>
      </w:r>
    </w:p>
    <w:p>
      <w:r>
        <w:br w:type="page"/>
      </w:r>
    </w:p>
    <w:p>
      <w:pPr>
        <w:pStyle w:val="Heading1"/>
      </w:pPr>
      <w:r>
        <w:t>11. Sources &amp; References</w:t>
      </w:r>
    </w:p>
    <w:p>
      <w:pPr>
        <w:pBdr>
          <w:bottom w:val="single" w:sz="6" w:space="1" w:color="1A5676"/>
        </w:pBdr>
        <w:spacing w:before="120" w:after="120"/>
      </w:pPr>
    </w:p>
    <w:p>
      <w:pPr>
        <w:pStyle w:val="ListBullet"/>
      </w:pPr>
      <w:r>
        <w:t>CNBC — "She couldn’t find a clean prenatal vitamin — now her brand makes $250M a year" (March 2025)</w:t>
      </w:r>
    </w:p>
    <w:p>
      <w:pPr>
        <w:pStyle w:val="ListBullet"/>
      </w:pPr>
      <w:r>
        <w:t>Ritual Journal — "Our First-of-its-Kind Prenatal Clinical Study"</w:t>
      </w:r>
    </w:p>
    <w:p>
      <w:pPr>
        <w:pStyle w:val="ListBullet"/>
      </w:pPr>
      <w:r>
        <w:t>ClinicalTrials.gov — NCT05673070: Use of Ritual Prenatal Multivitamins for Pregnancy</w:t>
      </w:r>
    </w:p>
    <w:p>
      <w:pPr>
        <w:pStyle w:val="ListBullet"/>
      </w:pPr>
      <w:r>
        <w:t>Fortune Business Insights — Prenatal Vitamin Supplements Market Report</w:t>
      </w:r>
    </w:p>
    <w:p>
      <w:pPr>
        <w:pStyle w:val="ListBullet"/>
      </w:pPr>
      <w:r>
        <w:t>Grand View Research — Postpartum Health Supplements Market Report</w:t>
      </w:r>
    </w:p>
    <w:p>
      <w:pPr>
        <w:pStyle w:val="ListBullet"/>
      </w:pPr>
      <w:r>
        <w:t>Business Standard — "Trimacare Secures Patent, Pioneering New Category in India’s Pregnancy Market" (Aug 2023)</w:t>
      </w:r>
    </w:p>
    <w:p>
      <w:pPr>
        <w:pStyle w:val="ListBullet"/>
      </w:pPr>
      <w:r>
        <w:t>FSSAI — Compendium: Health Supplements, Nutraceuticals, FSDU Regulations (Sept 2021)</w:t>
      </w:r>
    </w:p>
    <w:p>
      <w:pPr>
        <w:pStyle w:val="ListBullet"/>
      </w:pPr>
      <w:r>
        <w:t>FSSAI — FAQs on Nutraceutical Regulations (Oct 2020)</w:t>
      </w:r>
    </w:p>
    <w:p>
      <w:pPr>
        <w:pStyle w:val="ListBullet"/>
      </w:pPr>
      <w:r>
        <w:t>ICMR — National Ethical Guidelines for Biomedical and Health Research Involving Human Participants (2017)</w:t>
      </w:r>
    </w:p>
    <w:p>
      <w:pPr>
        <w:pStyle w:val="ListBullet"/>
      </w:pPr>
      <w:r>
        <w:t>Food Research Lab — "FSSAI Dietary Supplement Regulations India: 2026 Guide"</w:t>
      </w:r>
    </w:p>
    <w:p>
      <w:pPr>
        <w:pStyle w:val="ListBullet"/>
      </w:pPr>
      <w:r>
        <w:t>PharmaRegulatory.in — "Health Supplement Registration in India"</w:t>
      </w:r>
    </w:p>
    <w:p>
      <w:pPr>
        <w:pStyle w:val="ListBullet"/>
      </w:pPr>
      <w:r>
        <w:t>Synergia Legal — "Legal Boundaries for Health Supplements in India"</w:t>
      </w:r>
    </w:p>
    <w:p>
      <w:pPr>
        <w:pStyle w:val="ListBullet"/>
      </w:pPr>
      <w:r>
        <w:t>Brukem Life Care — Official Website (berefpharma.com)</w:t>
      </w:r>
    </w:p>
    <w:p>
      <w:pPr>
        <w:pStyle w:val="ListBullet"/>
      </w:pPr>
      <w:r>
        <w:t>beRef Pharmaceuticals — Official Website (berefpharma.com)</w:t>
      </w:r>
    </w:p>
    <w:p>
      <w:pPr>
        <w:pStyle w:val="ListBullet"/>
      </w:pPr>
      <w:r>
        <w:t>Tracxn — beRef Pharmaceuticals Company Profile &amp; Financials</w:t>
      </w:r>
    </w:p>
    <w:p>
      <w:pPr>
        <w:pStyle w:val="ListBullet"/>
      </w:pPr>
      <w:r>
        <w:t>Pati Group — "Ritual: Disrupting the Supplement Industry Through Radical Transparency"</w:t>
      </w:r>
    </w:p>
    <w:p>
      <w:pPr>
        <w:pStyle w:val="ListBullet"/>
      </w:pPr>
      <w:r>
        <w:t>Paddle Studios — "Ritual’s Retention: High Nutritional Value"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Arial" w:hAnsi="Arial"/>
      <w:b/>
      <w:bCs/>
      <w:color w:val="1A5676"/>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Arial" w:hAnsi="Arial"/>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2E75B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A567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