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400"/>
      </w:pPr>
      <w:r>
        <w:rPr>
          <w:rFonts w:ascii="Helvetica" w:cs="Helvetica" w:eastAsia="Helvetica" w:hAnsi="Helvetica"/>
          <w:b/>
          <w:bCs/>
          <w:color w:val="1A1A1A"/>
          <w:sz w:val="96"/>
          <w:szCs w:val="96"/>
        </w:rPr>
        <w:t xml:space="preserve">THE EDIT</w:t>
      </w:r>
    </w:p>
    <w:p>
      <w:pPr>
        <w:spacing w:after="400"/>
      </w:pPr>
      <w:r>
        <w:rPr>
          <w:rFonts w:ascii="Helvetica" w:cs="Helvetica" w:eastAsia="Helvetica" w:hAnsi="Helvetica"/>
          <w:i/>
          <w:iCs/>
          <w:color w:val="555555"/>
          <w:sz w:val="32"/>
          <w:szCs w:val="32"/>
        </w:rPr>
        <w:t xml:space="preserve">The wellness brand India was missing.</w:t>
      </w:r>
    </w:p>
    <w:p>
      <w:pPr>
        <w:pBdr>
          <w:top w:val="single" w:color="B0B0B0" w:sz="6" w:space="8"/>
        </w:pBdr>
        <w:spacing w:before="1200"/>
      </w:pPr>
      <w:r>
        <w:t xml:space="preserve"/>
      </w:r>
    </w:p>
    <w:p>
      <w:pPr>
        <w:spacing w:after="8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Founder: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Aishwarya Chandrasekhar</w:t>
      </w:r>
    </w:p>
    <w:p>
      <w:pPr>
        <w:spacing w:after="8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Date: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April 2026</w:t>
      </w:r>
    </w:p>
    <w:p>
      <w:pPr>
        <w:spacing w:after="8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Status: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Pre-launch strategy — locked</w:t>
      </w:r>
    </w:p>
    <w:p>
      <w:r>
        <w:br w:type="page"/>
      </w:r>
    </w:p>
    <w:p>
      <w:pPr>
        <w:pStyle w:val="Heading1"/>
        <w:spacing w:after="200" w:before="480" w:line="320"/>
      </w:pPr>
      <w:r>
        <w:rPr>
          <w:rFonts w:ascii="Helvetica" w:cs="Helvetica" w:eastAsia="Helvetica" w:hAnsi="Helvetica"/>
          <w:b/>
          <w:bCs/>
          <w:color w:val="1A1A1A"/>
          <w:sz w:val="36"/>
          <w:szCs w:val="36"/>
        </w:rPr>
        <w:t xml:space="preserve">The Core Idea</w:t>
      </w:r>
    </w:p>
    <w:p>
      <w:pPr>
        <w:spacing w:after="120" w:line="320"/>
      </w:pP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Edit exists because something specific has been missing for Indian couples and parents-to-be: a modern, transparent, gynaecologist-co-formulated brand with every ingredient traceable to a named source, every dose backed by published science, and every formula designed for a specific stage of the family-building journey. Not imported. Not pharma-coded. Not opaque. Built in India, across preconception, pregnancy, and the months after.</w:t>
      </w:r>
    </w:p>
    <w:p>
      <w:pPr>
        <w:pBdr>
          <w:bottom w:val="single" w:color="B0B0B0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80" w:line="320"/>
      </w:pPr>
      <w:r>
        <w:rPr>
          <w:rFonts w:ascii="Helvetica" w:cs="Helvetica" w:eastAsia="Helvetica" w:hAnsi="Helvetica"/>
          <w:b/>
          <w:bCs/>
          <w:color w:val="1A1A1A"/>
          <w:sz w:val="36"/>
          <w:szCs w:val="36"/>
        </w:rPr>
        <w:t xml:space="preserve">The Gap in the Market</w:t>
      </w:r>
    </w:p>
    <w:p>
      <w:pPr>
        <w:spacing w:after="120" w:line="320"/>
      </w:pP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Indian-made prenatal and family-planning supplements do exist today. What doesn’t exist is an Indian brand that combines all of the following: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DTC subscription model (not doctor-prescribed, not pharmacy-distributed)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Modern lifestyle branding (not pharma-coded packaging or clinical design)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Transparent, traceable branded ingredients (e.g., Quatrefolic methylfolate, life’sDHA algal DHA, Albion chelated minerals)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Gynaecologist co-formulation (not just doctor endorsement)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Designed for the full family-building journey (preconception, prenatal, postnatal — in one brand)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Every claim backed by published clinical evidence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Made in India, priced to be accessible (~Rs.800–1,500 per SKU per month)</w:t>
      </w:r>
    </w:p>
    <w:p>
      <w:pPr>
        <w:spacing w:after="120" w:line="320"/>
      </w:pP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Existing brands have parts of this. Trimacare is clinically robust but pharma-coded and doctor-channel. Wellbeing Nutrition is DTC and lifestyle-branded but prenatal is not their hero. Ayurvedic brands (Himalaya, Patanjali) operate on a different traditional framework. Imported brands (Ritual, Garden of Life) are expensive and hard to access. Generic multivitamins don’t address motherhood’s specific needs.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No single Indian brand combines all seven. That is the white space The Edit occupies.</w:t>
      </w:r>
    </w:p>
    <w:p>
      <w:pPr>
        <w:pBdr>
          <w:bottom w:val="single" w:color="B0B0B0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80" w:line="320"/>
      </w:pPr>
      <w:r>
        <w:rPr>
          <w:rFonts w:ascii="Helvetica" w:cs="Helvetica" w:eastAsia="Helvetica" w:hAnsi="Helvetica"/>
          <w:b/>
          <w:bCs/>
          <w:color w:val="1A1A1A"/>
          <w:sz w:val="36"/>
          <w:szCs w:val="36"/>
        </w:rPr>
        <w:t xml:space="preserve">The Market Insight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India is the largest reproductive health market in the world that nobody is building intentionally for.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27 million pregnancies per year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~5–8 million couples actively planning to conceive at any given time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Indian health and wellness market: $164B (2025) → $258B (2034)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Asia-Pacific holds 38.58% of the global postpartum market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The white space: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modern, transparent, gynaecologist-co-formulated wellness brand built around the Indian family’s most consequential moments — designed for how Indian couples actually live today.</w:t>
      </w:r>
    </w:p>
    <w:p>
      <w:pPr>
        <w:pBdr>
          <w:bottom w:val="single" w:color="B0B0B0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80" w:line="320"/>
      </w:pPr>
      <w:r>
        <w:rPr>
          <w:rFonts w:ascii="Helvetica" w:cs="Helvetica" w:eastAsia="Helvetica" w:hAnsi="Helvetica"/>
          <w:b/>
          <w:bCs/>
          <w:color w:val="1A1A1A"/>
          <w:sz w:val="36"/>
          <w:szCs w:val="36"/>
        </w:rPr>
        <w:t xml:space="preserve">The Brand: The Edit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Positioning: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modern wellness brand for Indian couples and parents-to-be, across every stage of the family-building journey.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Brand promise: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Only what matters. For the stage you’re in.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Aesthetic: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Modern, warm, premium DTC. Gender-neutral palette. Editorial photography. Clean typography.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Distribution: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Direct-to-consumer subscription. Urban metros first — Mumbai, Bangalore, Delhi, Hyderabad, Chennai.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Pricing: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Rs.800–1,500 per SKU per month. Couples bundle priced ~15% below buying separately.</w:t>
      </w:r>
    </w:p>
    <w:p>
      <w:pPr>
        <w:pBdr>
          <w:bottom w:val="single" w:color="B0B0B0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80" w:line="320"/>
      </w:pPr>
      <w:r>
        <w:rPr>
          <w:rFonts w:ascii="Helvetica" w:cs="Helvetica" w:eastAsia="Helvetica" w:hAnsi="Helvetica"/>
          <w:b/>
          <w:bCs/>
          <w:color w:val="1A1A1A"/>
          <w:sz w:val="36"/>
          <w:szCs w:val="36"/>
        </w:rPr>
        <w:t xml:space="preserve">Product Architecture</w:t>
      </w:r>
    </w:p>
    <w:p>
      <w:pPr>
        <w:pStyle w:val="Heading2"/>
        <w:spacing w:after="160" w:before="320" w:line="320"/>
      </w:pPr>
      <w:r>
        <w:rPr>
          <w:rFonts w:ascii="Helvetica" w:cs="Helvetica" w:eastAsia="Helvetica" w:hAnsi="Helvetica"/>
          <w:b/>
          <w:bCs/>
          <w:color w:val="1A1A1A"/>
          <w:sz w:val="26"/>
          <w:szCs w:val="26"/>
        </w:rPr>
        <w:t xml:space="preserve">Day 1 Launch — 3 SKUs</w:t>
      </w:r>
    </w:p>
    <w:p>
      <w:pPr>
        <w:pStyle w:val="Heading3"/>
        <w:spacing w:after="120" w:before="240" w:line="320"/>
      </w:pPr>
      <w:r>
        <w:rPr>
          <w:rFonts w:ascii="Helvetica" w:cs="Helvetica" w:eastAsia="Helvetica" w:hAnsi="Helvetica"/>
          <w:b/>
          <w:bCs/>
          <w:color w:val="1A1A1A"/>
          <w:sz w:val="22"/>
          <w:szCs w:val="22"/>
        </w:rPr>
        <w:t xml:space="preserve">1. Edit For Two (the hero SKU)</w:t>
      </w:r>
    </w:p>
    <w:p>
      <w:pPr>
        <w:spacing w:after="120" w:line="320"/>
      </w:pP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Sold as one box containing two bottles. One product — for two people.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For Her: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egg quality, fertility support, methylfolate, CoQ10, myo-inositol, DHA. FSDU regulatory pathway.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For Him: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sperm quality, motility, antioxidants, CoQ10, L-carnitine, zinc, selenium, ashwagandha (KSM-66). Health Supplement regulatory pathway.</w:t>
      </w:r>
    </w:p>
    <w:p>
      <w:pPr>
        <w:pStyle w:val="Heading3"/>
        <w:spacing w:after="120" w:before="240" w:line="320"/>
      </w:pPr>
      <w:r>
        <w:rPr>
          <w:rFonts w:ascii="Helvetica" w:cs="Helvetica" w:eastAsia="Helvetica" w:hAnsi="Helvetica"/>
          <w:b/>
          <w:bCs/>
          <w:color w:val="1A1A1A"/>
          <w:sz w:val="22"/>
          <w:szCs w:val="22"/>
        </w:rPr>
        <w:t xml:space="preserve">2. Edit Prenatal</w:t>
      </w:r>
    </w:p>
    <w:p>
      <w:pPr>
        <w:spacing w:after="120" w:line="320"/>
      </w:pP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Comprehensive 18–25 ingredient prenatal supplement with branded traceable ingredients (Quatrefolic, life’sDHA, Albion chelated minerals). All within ICMR RDA. FSDU regulatory pathway.</w:t>
      </w:r>
    </w:p>
    <w:p>
      <w:pPr>
        <w:pStyle w:val="Heading2"/>
        <w:spacing w:after="160" w:before="320" w:line="320"/>
      </w:pPr>
      <w:r>
        <w:rPr>
          <w:rFonts w:ascii="Helvetica" w:cs="Helvetica" w:eastAsia="Helvetica" w:hAnsi="Helvetica"/>
          <w:b/>
          <w:bCs/>
          <w:color w:val="1A1A1A"/>
          <w:sz w:val="26"/>
          <w:szCs w:val="26"/>
        </w:rPr>
        <w:t xml:space="preserve">Year 1 Expansion</w:t>
      </w:r>
    </w:p>
    <w:p>
      <w:pPr>
        <w:pStyle w:val="Heading3"/>
        <w:spacing w:after="120" w:before="240" w:line="320"/>
      </w:pPr>
      <w:r>
        <w:rPr>
          <w:rFonts w:ascii="Helvetica" w:cs="Helvetica" w:eastAsia="Helvetica" w:hAnsi="Helvetica"/>
          <w:b/>
          <w:bCs/>
          <w:color w:val="1A1A1A"/>
          <w:sz w:val="22"/>
          <w:szCs w:val="22"/>
        </w:rPr>
        <w:t xml:space="preserve">3. Edit Postnatal (Month 9–12 post-launch)</w:t>
      </w:r>
    </w:p>
    <w:p>
      <w:pPr>
        <w:spacing w:after="120" w:line="320"/>
      </w:pP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Postpartum and lactation support, formulated for the mother’s recovery and the breastfeeding period.</w:t>
      </w:r>
    </w:p>
    <w:p>
      <w:pPr>
        <w:pBdr>
          <w:bottom w:val="single" w:color="B0B0B0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80" w:line="320"/>
      </w:pPr>
      <w:r>
        <w:rPr>
          <w:rFonts w:ascii="Helvetica" w:cs="Helvetica" w:eastAsia="Helvetica" w:hAnsi="Helvetica"/>
          <w:b/>
          <w:bCs/>
          <w:color w:val="1A1A1A"/>
          <w:sz w:val="36"/>
          <w:szCs w:val="36"/>
        </w:rPr>
        <w:t xml:space="preserve">Why Launch Edit For Two + Prenatal at Day 1 (NOT All Three Together)</w:t>
      </w:r>
    </w:p>
    <w:p>
      <w:pPr>
        <w:spacing w:after="120" w:line="320"/>
      </w:pP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Three options were considered:</w:t>
      </w:r>
    </w:p>
    <w:p>
      <w:pPr>
        <w:pStyle w:val="Heading3"/>
        <w:spacing w:after="120" w:before="240" w:line="320"/>
      </w:pPr>
      <w:r>
        <w:rPr>
          <w:rFonts w:ascii="Helvetica" w:cs="Helvetica" w:eastAsia="Helvetica" w:hAnsi="Helvetica"/>
          <w:b/>
          <w:bCs/>
          <w:color w:val="1A1A1A"/>
          <w:sz w:val="22"/>
          <w:szCs w:val="22"/>
        </w:rPr>
        <w:t xml:space="preserve">Option A — Launch all 3 SKUs simultaneously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Rejected.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Postnatal has no Day 1 customer demand. The natural Postnatal customer is your own Prenatal customer who just gave birth — and that cohort doesn’t exist until Month 9–12 after launch.</w:t>
      </w:r>
    </w:p>
    <w:p>
      <w:pPr>
        <w:pStyle w:val="Heading3"/>
        <w:spacing w:after="120" w:before="240" w:line="320"/>
      </w:pPr>
      <w:r>
        <w:rPr>
          <w:rFonts w:ascii="Helvetica" w:cs="Helvetica" w:eastAsia="Helvetica" w:hAnsi="Helvetica"/>
          <w:b/>
          <w:bCs/>
          <w:color w:val="1A1A1A"/>
          <w:sz w:val="22"/>
          <w:szCs w:val="22"/>
        </w:rPr>
        <w:t xml:space="preserve">Option B — Launch Prenatal only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Rejected.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Misses the couples-inclusive positioning entirely. Prenatal-only makes The Edit a maternity brand, not the full-journey brand it is meant to be.</w:t>
      </w:r>
    </w:p>
    <w:p>
      <w:pPr>
        <w:pStyle w:val="Heading3"/>
        <w:spacing w:after="120" w:before="240" w:line="320"/>
      </w:pPr>
      <w:r>
        <w:rPr>
          <w:rFonts w:ascii="Helvetica" w:cs="Helvetica" w:eastAsia="Helvetica" w:hAnsi="Helvetica"/>
          <w:b/>
          <w:bCs/>
          <w:color w:val="1A1A1A"/>
          <w:sz w:val="22"/>
          <w:szCs w:val="22"/>
        </w:rPr>
        <w:t xml:space="preserve">Option C — Launch Edit For Two + Prenatal at Day 1, add Postnatal at Month 9–12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Selected.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Four reasons: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The brand’s manifesto is visible from Day 1.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Edit For Two addresses preconception for both partners. Edit Prenatal continues the journey.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Full customer journey captured.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woman who buys Edit For Two while planning her pregnancy transitions naturally to Edit Prenatal when she conceives.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Postnatal launches at peak demand.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First Prenatal cohort gives birth at Month 9–12. Postnatal ships exactly when this cohort needs it.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Two PR moments instead of one.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Day 1 launch is the brand’s opening statement. Month 9–12 Postnatal launch is a second wave of media attention.</w:t>
      </w:r>
    </w:p>
    <w:p>
      <w:pPr>
        <w:pStyle w:val="Heading2"/>
        <w:spacing w:after="160" w:before="320" w:line="320"/>
      </w:pPr>
      <w:r>
        <w:rPr>
          <w:rFonts w:ascii="Helvetica" w:cs="Helvetica" w:eastAsia="Helvetica" w:hAnsi="Helvetica"/>
          <w:b/>
          <w:bCs/>
          <w:color w:val="1A1A1A"/>
          <w:sz w:val="26"/>
          <w:szCs w:val="26"/>
        </w:rPr>
        <w:t xml:space="preserve">The Math Comparison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900"/>
        <w:gridCol w:w="2700"/>
        <w:gridCol w:w="1860"/>
      </w:tblGrid>
      <w:tr>
        <w:trPr>
          <w:tblHeader/>
        </w:trPr>
        <w:tc>
          <w:tcPr>
            <w:tcW w:type="dxa" w:w="2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/>
                <w:bCs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/>
                <w:bCs/>
                <w:color w:val="1A1A1A"/>
                <w:sz w:val="20"/>
                <w:szCs w:val="20"/>
              </w:rPr>
              <w:t xml:space="preserve">All 3 Day 1</w:t>
            </w:r>
          </w:p>
        </w:tc>
        <w:tc>
          <w:tcPr>
            <w:tcW w:type="dxa" w:w="2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/>
                <w:bCs/>
                <w:color w:val="1A1A1A"/>
                <w:sz w:val="20"/>
                <w:szCs w:val="20"/>
              </w:rPr>
              <w:t xml:space="preserve">Edit For Two + Prenatal Day 1</w:t>
            </w:r>
          </w:p>
        </w:tc>
        <w:tc>
          <w:tcPr>
            <w:tcW w:type="dxa" w:w="18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/>
                <w:bCs/>
                <w:color w:val="1A1A1A"/>
                <w:sz w:val="20"/>
                <w:szCs w:val="20"/>
              </w:rPr>
              <w:t xml:space="preserve">Prenatal Only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Day 1 SKUs</w:t>
            </w:r>
          </w:p>
        </w:tc>
        <w:tc>
          <w:tcPr>
            <w:tcW w:type="dxa" w:w="1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2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18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Capital required at launch</w:t>
            </w:r>
          </w:p>
        </w:tc>
        <w:tc>
          <w:tcPr>
            <w:tcW w:type="dxa" w:w="1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Rs.30–35L</w:t>
            </w:r>
          </w:p>
        </w:tc>
        <w:tc>
          <w:tcPr>
            <w:tcW w:type="dxa" w:w="2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Rs.25–30L</w:t>
            </w:r>
          </w:p>
        </w:tc>
        <w:tc>
          <w:tcPr>
            <w:tcW w:type="dxa" w:w="18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Rs.12–15L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Build timeline</w:t>
            </w:r>
          </w:p>
        </w:tc>
        <w:tc>
          <w:tcPr>
            <w:tcW w:type="dxa" w:w="1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20–26 months</w:t>
            </w:r>
          </w:p>
        </w:tc>
        <w:tc>
          <w:tcPr>
            <w:tcW w:type="dxa" w:w="2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18–20 months</w:t>
            </w:r>
          </w:p>
        </w:tc>
        <w:tc>
          <w:tcPr>
            <w:tcW w:type="dxa" w:w="18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14 months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Postnatal capital efficiency</w:t>
            </w:r>
          </w:p>
        </w:tc>
        <w:tc>
          <w:tcPr>
            <w:tcW w:type="dxa" w:w="1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Bad</w:t>
            </w:r>
          </w:p>
        </w:tc>
        <w:tc>
          <w:tcPr>
            <w:tcW w:type="dxa" w:w="2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Good</w:t>
            </w:r>
          </w:p>
        </w:tc>
        <w:tc>
          <w:tcPr>
            <w:tcW w:type="dxa" w:w="18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N/A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Full-journey positioning at launch?</w:t>
            </w:r>
          </w:p>
        </w:tc>
        <w:tc>
          <w:tcPr>
            <w:tcW w:type="dxa" w:w="1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Yes</w:t>
            </w:r>
          </w:p>
        </w:tc>
        <w:tc>
          <w:tcPr>
            <w:tcW w:type="dxa" w:w="2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Yes</w:t>
            </w:r>
          </w:p>
        </w:tc>
        <w:tc>
          <w:tcPr>
            <w:tcW w:type="dxa" w:w="18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No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Customer journey coverage</w:t>
            </w:r>
          </w:p>
        </w:tc>
        <w:tc>
          <w:tcPr>
            <w:tcW w:type="dxa" w:w="1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Full</w:t>
            </w:r>
          </w:p>
        </w:tc>
        <w:tc>
          <w:tcPr>
            <w:tcW w:type="dxa" w:w="2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Preconception → Pregnancy</w:t>
            </w:r>
          </w:p>
        </w:tc>
        <w:tc>
          <w:tcPr>
            <w:tcW w:type="dxa" w:w="18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Pregnancy only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Execution risk for small team</w:t>
            </w:r>
          </w:p>
        </w:tc>
        <w:tc>
          <w:tcPr>
            <w:tcW w:type="dxa" w:w="1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Very high</w:t>
            </w:r>
          </w:p>
        </w:tc>
        <w:tc>
          <w:tcPr>
            <w:tcW w:type="dxa" w:w="2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Medium</w:t>
            </w:r>
          </w:p>
        </w:tc>
        <w:tc>
          <w:tcPr>
            <w:tcW w:type="dxa" w:w="18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Low</w:t>
            </w:r>
          </w:p>
        </w:tc>
      </w:tr>
    </w:tbl>
    <w:p>
      <w:pPr>
        <w:spacing w:after="120" w:line="320"/>
      </w:pP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20" w:line="320"/>
      </w:pP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Edit For Two + Prenatal launch captures the full brand vision with significantly less capital, lower execution risk, and better inventory economics than launching all three together.</w:t>
      </w:r>
    </w:p>
    <w:p>
      <w:pPr>
        <w:pBdr>
          <w:bottom w:val="single" w:color="B0B0B0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80" w:line="320"/>
      </w:pPr>
      <w:r>
        <w:rPr>
          <w:rFonts w:ascii="Helvetica" w:cs="Helvetica" w:eastAsia="Helvetica" w:hAnsi="Helvetica"/>
          <w:b/>
          <w:bCs/>
          <w:color w:val="1A1A1A"/>
          <w:sz w:val="36"/>
          <w:szCs w:val="36"/>
        </w:rPr>
        <w:t xml:space="preserve">Why This Beats Every Existing Competitor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300"/>
        <w:gridCol w:w="3660"/>
      </w:tblGrid>
      <w:tr>
        <w:trPr>
          <w:tblHeader/>
        </w:trPr>
        <w:tc>
          <w:tcPr>
            <w:tcW w:type="dxa" w:w="2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/>
                <w:bCs/>
                <w:color w:val="1A1A1A"/>
                <w:sz w:val="20"/>
                <w:szCs w:val="20"/>
              </w:rPr>
              <w:t xml:space="preserve">Competitor</w:t>
            </w:r>
          </w:p>
        </w:tc>
        <w:tc>
          <w:tcPr>
            <w:tcW w:type="dxa" w:w="33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/>
                <w:bCs/>
                <w:color w:val="1A1A1A"/>
                <w:sz w:val="20"/>
                <w:szCs w:val="20"/>
              </w:rPr>
              <w:t xml:space="preserve">What they do</w:t>
            </w:r>
          </w:p>
        </w:tc>
        <w:tc>
          <w:tcPr>
            <w:tcW w:type="dxa" w:w="36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/>
                <w:bCs/>
                <w:color w:val="1A1A1A"/>
                <w:sz w:val="20"/>
                <w:szCs w:val="20"/>
              </w:rPr>
              <w:t xml:space="preserve">Why The Edit wins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Trimacare</w:t>
            </w:r>
          </w:p>
        </w:tc>
        <w:tc>
          <w:tcPr>
            <w:tcW w:type="dxa" w:w="33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Trimester-specific prenatal MMN, doctor-prescribed, pharma-coded</w:t>
            </w:r>
          </w:p>
        </w:tc>
        <w:tc>
          <w:tcPr>
            <w:tcW w:type="dxa" w:w="36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Misses DTC, modern lifestyle branding, couples bundle, full-journey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Wellbeing Nutrition</w:t>
            </w:r>
          </w:p>
        </w:tc>
        <w:tc>
          <w:tcPr>
            <w:tcW w:type="dxa" w:w="33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Modern DTC supplements, broad portfolio, some women’s health</w:t>
            </w:r>
          </w:p>
        </w:tc>
        <w:tc>
          <w:tcPr>
            <w:tcW w:type="dxa" w:w="36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No prenatal-focus hero; no preconception couples bundle; no full journey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Ritual / Garden of Life / Pink Stork</w:t>
            </w:r>
          </w:p>
        </w:tc>
        <w:tc>
          <w:tcPr>
            <w:tcW w:type="dxa" w:w="33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Premium prenatal, transparency-led, separate Him/Her</w:t>
            </w:r>
          </w:p>
        </w:tc>
        <w:tc>
          <w:tcPr>
            <w:tcW w:type="dxa" w:w="36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Imported — expensive, hard to access, no India context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Himalaya / Patanjali</w:t>
            </w:r>
          </w:p>
        </w:tc>
        <w:tc>
          <w:tcPr>
            <w:tcW w:type="dxa" w:w="33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Ayurvedic supplements, pharma-coded packaging</w:t>
            </w:r>
          </w:p>
        </w:tc>
        <w:tc>
          <w:tcPr>
            <w:tcW w:type="dxa" w:w="36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Traditional framework, no transparency, no modern identity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Inatal / Pregomega / Autrin</w:t>
            </w:r>
          </w:p>
        </w:tc>
        <w:tc>
          <w:tcPr>
            <w:tcW w:type="dxa" w:w="33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Indian pharma prenatal</w:t>
            </w:r>
          </w:p>
        </w:tc>
        <w:tc>
          <w:tcPr>
            <w:tcW w:type="dxa" w:w="36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Prescription-feel, no brand story, no DTC, no couples angle</w:t>
            </w:r>
          </w:p>
        </w:tc>
      </w:tr>
    </w:tbl>
    <w:p>
      <w:pPr>
        <w:spacing w:after="120" w:line="320"/>
      </w:pP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No Indian brand combines all of: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couples-inclusive positioning + premium DTC subscription + traceable branded ingredients + gynaecologist co-formulation + full family-building journey + modern wellness aesthetic.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This is the white space.</w:t>
      </w:r>
    </w:p>
    <w:p>
      <w:pPr>
        <w:pBdr>
          <w:bottom w:val="single" w:color="B0B0B0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80" w:line="320"/>
      </w:pPr>
      <w:r>
        <w:rPr>
          <w:rFonts w:ascii="Helvetica" w:cs="Helvetica" w:eastAsia="Helvetica" w:hAnsi="Helvetica"/>
          <w:b/>
          <w:bCs/>
          <w:color w:val="1A1A1A"/>
          <w:sz w:val="36"/>
          <w:szCs w:val="36"/>
        </w:rPr>
        <w:t xml:space="preserve">Regulatory + Operational Foundation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Operating entity: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Edit is being incorporated as its own independent Private Limited company — separate from any of the founder’s other ventures. This protects both The Edit and the founder’s existing businesses from cross-liability. Clean cap table for future equity allocation (including the gynaecologist co-founder) and any future fundraise.</w:t>
      </w:r>
    </w:p>
    <w:p>
      <w:pPr>
        <w:spacing w:after="120" w:line="320"/>
      </w:pP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Regulatory pathways (fresh applications for the new entity):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FSSAI Central License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— new application under The Edit Pvt Ltd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FSDU (Foods for Special Dietary Use) endorsement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— for Preconception Her + Prenatal + Postnatal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Health Supplement endorsement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— for Preconception Him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Manufacturing: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India domestic only. Currently evaluating Tanishq Lifecare and Brukem Life Care as contract manufacturers.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Formulation philosophy: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All nutrients within ICMR RDA. Branded traceable ingredients (Quatrefolic, life’sDHA, Albion, KSM-66). No fillers. Nothing without published evidence.</w:t>
      </w:r>
    </w:p>
    <w:p>
      <w:pPr>
        <w:pBdr>
          <w:bottom w:val="single" w:color="B0B0B0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80" w:line="320"/>
      </w:pPr>
      <w:r>
        <w:rPr>
          <w:rFonts w:ascii="Helvetica" w:cs="Helvetica" w:eastAsia="Helvetica" w:hAnsi="Helvetica"/>
          <w:b/>
          <w:bCs/>
          <w:color w:val="1A1A1A"/>
          <w:sz w:val="36"/>
          <w:szCs w:val="36"/>
        </w:rPr>
        <w:t xml:space="preserve">Capital + Timeline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0"/>
        <w:gridCol w:w="2860"/>
      </w:tblGrid>
      <w:tr>
        <w:trPr>
          <w:tblHeader/>
        </w:trPr>
        <w:tc>
          <w:tcPr>
            <w:tcW w:type="dxa" w:w="6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/>
                <w:bCs/>
                <w:color w:val="1A1A1A"/>
                <w:sz w:val="20"/>
                <w:szCs w:val="20"/>
              </w:rPr>
              <w:t xml:space="preserve">Item</w:t>
            </w:r>
          </w:p>
        </w:tc>
        <w:tc>
          <w:tcPr>
            <w:tcW w:type="dxa" w:w="28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/>
                <w:bCs/>
                <w:color w:val="1A1A1A"/>
                <w:sz w:val="20"/>
                <w:szCs w:val="20"/>
              </w:rPr>
              <w:t xml:space="preserve">Estimate</w:t>
            </w:r>
          </w:p>
        </w:tc>
      </w:tr>
      <w:tr>
        <w:trPr>
          <w:tblHeader w:val="false"/>
        </w:trPr>
        <w:tc>
          <w:tcPr>
            <w:tcW w:type="dxa" w:w="6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Entity incorporation (Pvt Ltd + CA + compliance setup)</w:t>
            </w:r>
          </w:p>
        </w:tc>
        <w:tc>
          <w:tcPr>
            <w:tcW w:type="dxa" w:w="28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Rs.0.5–1L</w:t>
            </w:r>
          </w:p>
        </w:tc>
      </w:tr>
      <w:tr>
        <w:trPr>
          <w:tblHeader w:val="false"/>
        </w:trPr>
        <w:tc>
          <w:tcPr>
            <w:tcW w:type="dxa" w:w="6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Day 1 inventory (3 SKUs × MOQs)</w:t>
            </w:r>
          </w:p>
        </w:tc>
        <w:tc>
          <w:tcPr>
            <w:tcW w:type="dxa" w:w="28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Rs.12–15L</w:t>
            </w:r>
          </w:p>
        </w:tc>
      </w:tr>
      <w:tr>
        <w:trPr>
          <w:tblHeader w:val="false"/>
        </w:trPr>
        <w:tc>
          <w:tcPr>
            <w:tcW w:type="dxa" w:w="6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FSSAI consultant + regulatory filings (new license)</w:t>
            </w:r>
          </w:p>
        </w:tc>
        <w:tc>
          <w:tcPr>
            <w:tcW w:type="dxa" w:w="28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Rs.3–4L</w:t>
            </w:r>
          </w:p>
        </w:tc>
      </w:tr>
      <w:tr>
        <w:trPr>
          <w:tblHeader w:val="false"/>
        </w:trPr>
        <w:tc>
          <w:tcPr>
            <w:tcW w:type="dxa" w:w="6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Brand identity, packaging design, website</w:t>
            </w:r>
          </w:p>
        </w:tc>
        <w:tc>
          <w:tcPr>
            <w:tcW w:type="dxa" w:w="28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Rs.4–6L</w:t>
            </w:r>
          </w:p>
        </w:tc>
      </w:tr>
      <w:tr>
        <w:trPr>
          <w:tblHeader w:val="false"/>
        </w:trPr>
        <w:tc>
          <w:tcPr>
            <w:tcW w:type="dxa" w:w="6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Initial marketing (3 months runway)</w:t>
            </w:r>
          </w:p>
        </w:tc>
        <w:tc>
          <w:tcPr>
            <w:tcW w:type="dxa" w:w="28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Rs.3–5L</w:t>
            </w:r>
          </w:p>
        </w:tc>
      </w:tr>
      <w:tr>
        <w:trPr>
          <w:tblHeader w:val="false"/>
        </w:trPr>
        <w:tc>
          <w:tcPr>
            <w:tcW w:type="dxa" w:w="6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Working capital + buffer</w:t>
            </w:r>
          </w:p>
        </w:tc>
        <w:tc>
          <w:tcPr>
            <w:tcW w:type="dxa" w:w="28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Rs.2–3L</w:t>
            </w:r>
          </w:p>
        </w:tc>
      </w:tr>
      <w:tr>
        <w:trPr>
          <w:tblHeader w:val="false"/>
        </w:trPr>
        <w:tc>
          <w:tcPr>
            <w:tcW w:type="dxa" w:w="6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Total launch capital</w:t>
            </w:r>
          </w:p>
        </w:tc>
        <w:tc>
          <w:tcPr>
            <w:tcW w:type="dxa" w:w="28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Rs.25–30L</w:t>
            </w:r>
          </w:p>
        </w:tc>
      </w:tr>
    </w:tbl>
    <w:p>
      <w:pPr>
        <w:spacing w:after="120" w:line="320"/>
      </w:pP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Build timeline: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18–20 months from project start to Day 1 launch.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Year 1 post-launch: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Add Edit Postnatal at Month 9–12.</w:t>
      </w:r>
    </w:p>
    <w:p>
      <w:pPr>
        <w:pBdr>
          <w:bottom w:val="single" w:color="B0B0B0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80" w:line="320"/>
      </w:pPr>
      <w:r>
        <w:rPr>
          <w:rFonts w:ascii="Helvetica" w:cs="Helvetica" w:eastAsia="Helvetica" w:hAnsi="Helvetica"/>
          <w:b/>
          <w:bCs/>
          <w:color w:val="1A1A1A"/>
          <w:sz w:val="36"/>
          <w:szCs w:val="36"/>
        </w:rPr>
        <w:t xml:space="preserve">Risks and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/>
                <w:bCs/>
                <w:color w:val="1A1A1A"/>
                <w:sz w:val="20"/>
                <w:szCs w:val="20"/>
              </w:rPr>
              <w:t xml:space="preserve">Risk</w:t>
            </w:r>
          </w:p>
        </w:tc>
        <w:tc>
          <w:tcPr>
            <w:tcW w:type="dxa" w:w="51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/>
                <w:bCs/>
                <w:color w:val="1A1A1A"/>
                <w:sz w:val="20"/>
                <w:szCs w:val="20"/>
              </w:rPr>
              <w:t xml:space="preserve">Mitigation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Indian men don’t proactively buy supplements</w:t>
            </w:r>
          </w:p>
        </w:tc>
        <w:tc>
          <w:tcPr>
            <w:tcW w:type="dxa" w:w="51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Couples bundle ensures the woman buys for both; packaging + copy make his daily ritual frictionless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Cultural conservatism around discussing family planning</w:t>
            </w:r>
          </w:p>
        </w:tc>
        <w:tc>
          <w:tcPr>
            <w:tcW w:type="dxa" w:w="51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Target urban metro educated 28–38 demographic first; warm framing avoids confrontational positioning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Trimacare patent on trimester-specific MMN</w:t>
            </w:r>
          </w:p>
        </w:tc>
        <w:tc>
          <w:tcPr>
            <w:tcW w:type="dxa" w:w="51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Single comprehensive prenatal (like Ritual) sidesteps the patent entirely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Manufacturer FSDU license gap</w:t>
            </w:r>
          </w:p>
        </w:tc>
        <w:tc>
          <w:tcPr>
            <w:tcW w:type="dxa" w:w="51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Verification questions sent to Tanishq + Brukem; if neither qualifies, pivot to shortlist alternatives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New entity means slower regulatory start</w:t>
            </w:r>
          </w:p>
        </w:tc>
        <w:tc>
          <w:tcPr>
            <w:tcW w:type="dxa" w:w="51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Adds 2–4 months to timeline but is the right long-term call — clean liability boundary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Gynaecologist co-founder search</w:t>
            </w:r>
          </w:p>
        </w:tc>
        <w:tc>
          <w:tcPr>
            <w:tcW w:type="dxa" w:w="51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Step 0 of execution. Clean Pvt Ltd structure makes equity allocation straightforward</w:t>
            </w:r>
          </w:p>
        </w:tc>
      </w:tr>
    </w:tbl>
    <w:p>
      <w:pPr>
        <w:pBdr>
          <w:bottom w:val="single" w:color="B0B0B0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80" w:line="320"/>
      </w:pPr>
      <w:r>
        <w:rPr>
          <w:rFonts w:ascii="Helvetica" w:cs="Helvetica" w:eastAsia="Helvetica" w:hAnsi="Helvetica"/>
          <w:b/>
          <w:bCs/>
          <w:color w:val="1A1A1A"/>
          <w:sz w:val="36"/>
          <w:szCs w:val="36"/>
        </w:rPr>
        <w:t xml:space="preserve">Next 30 Days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Incorporate The Edit Pvt Ltd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— directors, MOA, registered office, PAN, GST, bank account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Send manufacturer discovery emails to Tanishq + Brukem (drafts ready in Gmail)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Apply for FSSAI Central License under the new entity, with FSDU + Health Supplement endorsements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Trademark search + filing at IP India for “EDIT” / “THE EDIT” in Class 5 + Class 30 under the new entity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Domain verification and registration for theedit.in / theeditco.com / equivalent under the new entity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Begin gynaecologist co-founder outreach — identify 5–10 candidates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Start customer validation interviews with 30–50 couples in target demographic</w:t>
      </w:r>
    </w:p>
    <w:p>
      <w:pPr>
        <w:pBdr>
          <w:bottom w:val="single" w:color="B0B0B0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80" w:line="320"/>
      </w:pPr>
      <w:r>
        <w:rPr>
          <w:rFonts w:ascii="Helvetica" w:cs="Helvetica" w:eastAsia="Helvetica" w:hAnsi="Helvetica"/>
          <w:b/>
          <w:bCs/>
          <w:color w:val="1A1A1A"/>
          <w:sz w:val="36"/>
          <w:szCs w:val="36"/>
        </w:rPr>
        <w:t xml:space="preserve">The Vision</w:t>
      </w:r>
    </w:p>
    <w:p>
      <w:pPr>
        <w:spacing w:after="120" w:line="320"/>
      </w:pP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Edit is not a prenatal supplement company. It is a modern wellness brand built for Indian couples and parents-to-be, across every stage of the family-building journey. What the Indian wellness market has been missing. What Indian couples have been waiting for.</w:t>
      </w:r>
    </w:p>
    <w:p>
      <w:pPr>
        <w:spacing w:after="120" w:line="320"/>
      </w:pP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Day 1 launches three SKUs. Year 1 covers the full preconception-to-postnatal journey. Year 3–5 expands into adjacent moments — postpartum recovery, perimenopause, the menopausal transition, supplements for the next generation. The Edit becomes a brand that walks with Indian families through every major life stage.</w:t>
      </w:r>
    </w:p>
    <w:p>
      <w:pPr>
        <w:spacing w:after="120" w:line="320"/>
      </w:pP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This is a Rs.500 Cr+ brand trajectory, not a Rs.50 Cr niche. The category is large. The white space is real. The brand vision is rooted in what Indian couples already want — we are simply the first brand to make it clean, transparent, and intentional.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4"/>
          <w:szCs w:val="24"/>
        </w:rPr>
        <w:t xml:space="preserve">That’s the proposal.</w:t>
      </w:r>
    </w:p>
    <w:p>
      <w:pPr>
        <w:pBdr>
          <w:bottom w:val="single" w:color="B0B0B0" w:sz="6" w:space="1"/>
        </w:pBdr>
        <w:spacing w:after="200" w:before="200"/>
      </w:pPr>
      <w:r>
        <w:t xml:space="preserve"/>
      </w:r>
    </w:p>
    <w:p>
      <w:pPr>
        <w:spacing w:after="60" w:line="320"/>
      </w:pPr>
      <w:r>
        <w:rPr>
          <w:rFonts w:ascii="Helvetica" w:cs="Helvetica" w:eastAsia="Helvetica" w:hAnsi="Helvetica"/>
          <w:b w:val="false"/>
          <w:bCs w:val="false"/>
          <w:i/>
          <w:iCs/>
          <w:color w:val="555555"/>
          <w:sz w:val="22"/>
          <w:szCs w:val="22"/>
        </w:rPr>
        <w:t xml:space="preserve">Prepared for: gynaecologist co-founder candidates, founding advisors, capital partners, and the founder’s own reference.</w:t>
      </w:r>
    </w:p>
    <w:p>
      <w:pPr>
        <w:spacing w:after="120" w:line="320"/>
      </w:pPr>
      <w:r>
        <w:rPr>
          <w:rFonts w:ascii="Helvetica" w:cs="Helvetica" w:eastAsia="Helvetica" w:hAnsi="Helvetica"/>
          <w:b w:val="false"/>
          <w:bCs w:val="false"/>
          <w:i/>
          <w:iCs/>
          <w:color w:val="555555"/>
          <w:sz w:val="22"/>
          <w:szCs w:val="22"/>
        </w:rPr>
        <w:t xml:space="preserve">Aishwarya Chandrasekhar — April 2026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Helvetica" w:cs="Helvetica" w:eastAsia="Helvetica" w:hAnsi="Helvetic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80" w:line="320"/>
      <w:outlineLvl w:val="0"/>
    </w:pPr>
    <w:rPr>
      <w:rFonts w:ascii="Helvetica" w:cs="Helvetica" w:eastAsia="Helvetica" w:hAnsi="Helvetica"/>
      <w:b/>
      <w:bCs/>
      <w:color w:val="1A1A1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20" w:line="320"/>
      <w:outlineLvl w:val="1"/>
    </w:pPr>
    <w:rPr>
      <w:rFonts w:ascii="Helvetica" w:cs="Helvetica" w:eastAsia="Helvetica" w:hAnsi="Helvetica"/>
      <w:b/>
      <w:bCs/>
      <w:color w:val="1A1A1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 w:line="320"/>
      <w:outlineLvl w:val="2"/>
    </w:pPr>
    <w:rPr>
      <w:rFonts w:ascii="Helvetica" w:cs="Helvetica" w:eastAsia="Helvetica" w:hAnsi="Helvetica"/>
      <w:b/>
      <w:bCs/>
      <w:color w:val="1A1A1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Edit — Proposal</dc:title>
  <dc:creator>Aishwarya Chandrasekhar</dc:creator>
  <cp:lastModifiedBy>Un-named</cp:lastModifiedBy>
  <cp:revision>1</cp:revision>
  <dcterms:created xsi:type="dcterms:W3CDTF">2026-04-17T17:44:05.428Z</dcterms:created>
  <dcterms:modified xsi:type="dcterms:W3CDTF">2026-04-17T17:44:05.428Z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