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lang w:val="en-AU"/>
        </w:rPr>
        <w:id w:val="1559518026"/>
        <w:docPartObj>
          <w:docPartGallery w:val="Cover Pages"/>
          <w:docPartUnique/>
        </w:docPartObj>
      </w:sdtPr>
      <w:sdtContent>
        <w:p w:rsidR="00025830" w:rsidRPr="0085333B" w:rsidRDefault="00025830" w:rsidP="00025830">
          <w:pPr>
            <w:rPr>
              <w:lang w:val="en-AU"/>
            </w:rPr>
          </w:pPr>
        </w:p>
        <w:tbl>
          <w:tblPr>
            <w:tblW w:w="9027" w:type="dxa"/>
            <w:tblLayout w:type="fixed"/>
            <w:tblCellMar>
              <w:left w:w="0" w:type="dxa"/>
              <w:right w:w="0" w:type="dxa"/>
            </w:tblCellMar>
            <w:tblLook w:val="0000" w:firstRow="0" w:lastRow="0" w:firstColumn="0" w:lastColumn="0" w:noHBand="0" w:noVBand="0"/>
          </w:tblPr>
          <w:tblGrid>
            <w:gridCol w:w="5285"/>
            <w:gridCol w:w="3742"/>
          </w:tblGrid>
          <w:tr w:rsidR="00025830" w:rsidRPr="00213DAD" w:rsidTr="00D33746">
            <w:trPr>
              <w:cantSplit/>
              <w:trHeight w:val="567"/>
            </w:trPr>
            <w:tc>
              <w:tcPr>
                <w:tcW w:w="9027" w:type="dxa"/>
                <w:gridSpan w:val="2"/>
                <w:tcBorders>
                  <w:bottom w:val="single" w:sz="6" w:space="0" w:color="auto"/>
                </w:tcBorders>
                <w:vAlign w:val="center"/>
              </w:tcPr>
              <w:p w:rsidR="00025830" w:rsidRPr="00213DAD" w:rsidRDefault="00025830" w:rsidP="00D33746">
                <w:pPr>
                  <w:pStyle w:val="GMDDocumentName"/>
                  <w:rPr>
                    <w:rFonts w:ascii="Times New Roman" w:hAnsi="Times New Roman"/>
                    <w:lang w:val="en-GB"/>
                  </w:rPr>
                </w:pPr>
                <w:r>
                  <w:rPr>
                    <w:rFonts w:ascii="Times New Roman" w:hAnsi="Times New Roman"/>
                    <w:lang w:val="en-GB"/>
                  </w:rPr>
                  <w:t>2.5 Clinical Overview</w:t>
                </w:r>
              </w:p>
            </w:tc>
          </w:tr>
          <w:tr w:rsidR="00025830" w:rsidRPr="00124209" w:rsidTr="00D33746">
            <w:trPr>
              <w:cantSplit/>
            </w:trPr>
            <w:tc>
              <w:tcPr>
                <w:tcW w:w="5285" w:type="dxa"/>
                <w:vMerge w:val="restart"/>
                <w:tcBorders>
                  <w:top w:val="single" w:sz="6" w:space="0" w:color="auto"/>
                  <w:left w:val="single" w:sz="6" w:space="0" w:color="auto"/>
                  <w:right w:val="single" w:sz="6" w:space="0" w:color="auto"/>
                </w:tcBorders>
                <w:shd w:val="clear" w:color="auto" w:fill="auto"/>
                <w:vAlign w:val="center"/>
              </w:tcPr>
              <w:p w:rsidR="00025830" w:rsidRDefault="00025830" w:rsidP="00D33746">
                <w:pPr>
                  <w:pStyle w:val="TPDescriptions"/>
                </w:pPr>
                <w:r>
                  <w:t>Bacopa monnieri CDRI 08 extract 160mg</w:t>
                </w:r>
              </w:p>
              <w:p w:rsidR="00025830" w:rsidRPr="00124209" w:rsidRDefault="00025830" w:rsidP="00D33746">
                <w:pPr>
                  <w:pStyle w:val="TPDescriptions"/>
                </w:pPr>
                <w:r>
                  <w:t>Hard capsule</w:t>
                </w:r>
              </w:p>
            </w:tc>
            <w:tc>
              <w:tcPr>
                <w:tcW w:w="3742" w:type="dxa"/>
                <w:tcBorders>
                  <w:top w:val="single" w:sz="6" w:space="0" w:color="auto"/>
                  <w:left w:val="single" w:sz="6" w:space="0" w:color="auto"/>
                  <w:bottom w:val="single" w:sz="6" w:space="0" w:color="auto"/>
                  <w:right w:val="single" w:sz="6" w:space="0" w:color="auto"/>
                </w:tcBorders>
                <w:vAlign w:val="center"/>
              </w:tcPr>
              <w:p w:rsidR="00025830" w:rsidRPr="00124209" w:rsidRDefault="00025830" w:rsidP="00D33746">
                <w:pPr>
                  <w:pStyle w:val="Text"/>
                  <w:rPr>
                    <w:bCs/>
                  </w:rPr>
                </w:pPr>
                <w:r>
                  <w:t>Document Number</w:t>
                </w:r>
              </w:p>
              <w:p w:rsidR="00025830" w:rsidRPr="006011CA" w:rsidRDefault="00025830" w:rsidP="00D33746">
                <w:pPr>
                  <w:pStyle w:val="A-H-U-Number"/>
                </w:pPr>
                <w:r>
                  <w:t>Xxxxx-xxxxxxxx</w:t>
                </w:r>
              </w:p>
            </w:tc>
          </w:tr>
          <w:tr w:rsidR="00025830" w:rsidRPr="00124209" w:rsidTr="00D33746">
            <w:trPr>
              <w:cantSplit/>
            </w:trPr>
            <w:tc>
              <w:tcPr>
                <w:tcW w:w="5285" w:type="dxa"/>
                <w:vMerge/>
                <w:tcBorders>
                  <w:left w:val="single" w:sz="6" w:space="0" w:color="auto"/>
                  <w:right w:val="single" w:sz="6" w:space="0" w:color="auto"/>
                </w:tcBorders>
                <w:shd w:val="clear" w:color="auto" w:fill="auto"/>
                <w:vAlign w:val="center"/>
              </w:tcPr>
              <w:p w:rsidR="00025830" w:rsidRPr="00124209" w:rsidRDefault="00025830" w:rsidP="00D33746">
                <w:pPr>
                  <w:pStyle w:val="TPDescriptions"/>
                </w:pPr>
              </w:p>
            </w:tc>
            <w:tc>
              <w:tcPr>
                <w:tcW w:w="3742" w:type="dxa"/>
                <w:tcBorders>
                  <w:left w:val="single" w:sz="6" w:space="0" w:color="auto"/>
                  <w:right w:val="single" w:sz="6" w:space="0" w:color="auto"/>
                </w:tcBorders>
                <w:vAlign w:val="center"/>
              </w:tcPr>
              <w:p w:rsidR="00025830" w:rsidRPr="00124209" w:rsidRDefault="00025830" w:rsidP="00D33746">
                <w:pPr>
                  <w:pStyle w:val="Text"/>
                </w:pPr>
                <w:r>
                  <w:t>Code  Number</w:t>
                </w:r>
              </w:p>
              <w:p w:rsidR="00025830" w:rsidRPr="00124209" w:rsidRDefault="00025830" w:rsidP="00D33746">
                <w:pPr>
                  <w:pStyle w:val="BI-StudyNumber"/>
                </w:pPr>
              </w:p>
            </w:tc>
          </w:tr>
          <w:tr w:rsidR="00025830" w:rsidRPr="00124209" w:rsidTr="00D33746">
            <w:trPr>
              <w:cantSplit/>
            </w:trPr>
            <w:tc>
              <w:tcPr>
                <w:tcW w:w="5285" w:type="dxa"/>
                <w:vMerge/>
                <w:tcBorders>
                  <w:left w:val="single" w:sz="6" w:space="0" w:color="auto"/>
                  <w:right w:val="single" w:sz="6" w:space="0" w:color="auto"/>
                </w:tcBorders>
                <w:shd w:val="clear" w:color="auto" w:fill="auto"/>
                <w:vAlign w:val="center"/>
              </w:tcPr>
              <w:p w:rsidR="00025830" w:rsidRPr="00124209" w:rsidRDefault="00025830" w:rsidP="00D33746">
                <w:pPr>
                  <w:pStyle w:val="TPDescriptions"/>
                </w:pPr>
              </w:p>
            </w:tc>
            <w:tc>
              <w:tcPr>
                <w:tcW w:w="3742" w:type="dxa"/>
                <w:tcBorders>
                  <w:top w:val="single" w:sz="6" w:space="0" w:color="auto"/>
                  <w:left w:val="single" w:sz="6" w:space="0" w:color="auto"/>
                  <w:right w:val="single" w:sz="6" w:space="0" w:color="auto"/>
                </w:tcBorders>
                <w:vAlign w:val="center"/>
              </w:tcPr>
              <w:p w:rsidR="00025830" w:rsidRPr="00124209" w:rsidRDefault="00025830" w:rsidP="00D33746">
                <w:pPr>
                  <w:pStyle w:val="TPText10pt"/>
                </w:pPr>
              </w:p>
            </w:tc>
          </w:tr>
          <w:tr w:rsidR="00025830" w:rsidRPr="00124209" w:rsidTr="00D33746">
            <w:trPr>
              <w:cantSplit/>
            </w:trPr>
            <w:tc>
              <w:tcPr>
                <w:tcW w:w="5285" w:type="dxa"/>
                <w:vMerge/>
                <w:tcBorders>
                  <w:left w:val="single" w:sz="6" w:space="0" w:color="auto"/>
                  <w:bottom w:val="single" w:sz="6" w:space="0" w:color="auto"/>
                  <w:right w:val="single" w:sz="6" w:space="0" w:color="auto"/>
                </w:tcBorders>
                <w:shd w:val="clear" w:color="auto" w:fill="auto"/>
                <w:vAlign w:val="center"/>
              </w:tcPr>
              <w:p w:rsidR="00025830" w:rsidRPr="00124209" w:rsidRDefault="00025830" w:rsidP="00D33746">
                <w:pPr>
                  <w:pStyle w:val="TPDescriptions"/>
                </w:pPr>
              </w:p>
            </w:tc>
            <w:tc>
              <w:tcPr>
                <w:tcW w:w="3742" w:type="dxa"/>
                <w:tcBorders>
                  <w:top w:val="single" w:sz="6" w:space="0" w:color="auto"/>
                  <w:left w:val="single" w:sz="6" w:space="0" w:color="auto"/>
                  <w:bottom w:val="single" w:sz="6" w:space="0" w:color="auto"/>
                  <w:right w:val="single" w:sz="6" w:space="0" w:color="auto"/>
                </w:tcBorders>
                <w:vAlign w:val="center"/>
              </w:tcPr>
              <w:p w:rsidR="00025830" w:rsidRPr="00124209" w:rsidRDefault="00025830" w:rsidP="00D33746">
                <w:pPr>
                  <w:pStyle w:val="TPText10pt"/>
                </w:pPr>
                <w:r>
                  <w:t xml:space="preserve">Page </w:t>
                  <w:fldChar w:fldCharType="begin"/>
                  <w:instrText xml:space="preserve"> PAGE   \* MERGEFORMAT </w:instrText>
                  <w:fldChar w:fldCharType="separate"/>
                </w:r>
                <w:r>
                  <w:rPr>
                    <w:noProof/>
                  </w:rPr>
                  <w:t>1</w:t>
                </w:r>
                <w:r>
                  <w:fldChar w:fldCharType="end"/>
                  <w:t xml:space="preserve"> of </w:t>
                </w:r>
                <w:r>
                  <w:rPr>
                    <w:noProof/>
                  </w:rPr>
                  <w:t>21</w:t>
                </w:r>
              </w:p>
            </w:tc>
          </w:tr>
        </w:tbl>
        <w:p w:rsidR="00025830" w:rsidRPr="0085333B" w:rsidRDefault="00D33746" w:rsidP="00025830">
          <w:pPr>
            <w:rPr>
              <w:lang w:val="en-AU"/>
            </w:rPr>
          </w:pPr>
        </w:p>
      </w:sdtContent>
    </w:sdt>
    <w:sdt>
      <w:sdtPr>
        <w:rPr>
          <w:sz w:val="22"/>
          <w:szCs w:val="22"/>
          <w:lang w:val="en-AU"/>
        </w:rPr>
        <w:id w:val="-997574068"/>
        <w:docPartObj>
          <w:docPartGallery w:val="Table of Contents"/>
          <w:docPartUnique/>
        </w:docPartObj>
      </w:sdtPr>
      <w:sdtEndPr>
        <w:rPr>
          <w:noProof/>
          <w:sz w:val="24"/>
          <w:szCs w:val="24"/>
          <w:lang w:val="en-US"/>
        </w:rPr>
      </w:sdtEndPr>
      <w:sdtContent>
        <w:p w:rsidR="00025830" w:rsidRPr="00025830" w:rsidRDefault="00025830" w:rsidP="00E06EA1">
          <w:pPr>
            <w:pStyle w:val="TOCHeading"/>
            <w:spacing w:before="0" w:after="120"/>
          </w:pPr>
          <w:r>
            <w:t>Table of Contents</w:t>
          </w:r>
        </w:p>
        <w:p w:rsidR="00E06EA1" w:rsidRPr="00E06EA1" w:rsidRDefault="00025830" w:rsidP="00E06EA1">
          <w:pPr>
            <w:pStyle w:val="TOC2"/>
            <w:spacing w:before="0"/>
            <w:rPr>
              <w:noProof/>
              <w:sz w:val="22"/>
              <w:szCs w:val="22"/>
              <w:lang w:val="en-AU" w:eastAsia="en-AU"/>
            </w:rPr>
          </w:pPr>
          <w:r>
            <w:fldChar w:fldCharType="begin"/>
            <w:instrText xml:space="preserve"> TOC \o "1-3" \h \z \u </w:instrText>
            <w:fldChar w:fldCharType="separate"/>
          </w:r>
          <w:hyperlink w:anchor="_Toc475341319" w:history="1">
            <w:r>
              <w:rPr>
                <w:rStyle w:val="Hyperlink"/>
                <w:rFonts w:ascii="Times New Roman" w:hAnsi="Times New Roman" w:cs="Times New Roman"/>
                <w:noProof/>
              </w:rPr>
              <w:t>Abbreviations</w:t>
            </w:r>
            <w:r>
              <w:rPr>
                <w:noProof/>
                <w:webHidden/>
              </w:rPr>
              <w:tab/>
              <w:fldChar w:fldCharType="begin"/>
              <w:instrText xml:space="preserve"> PAGEREF _Toc475341319 \h </w:instrText>
              <w:fldChar w:fldCharType="separate"/>
              <w:t>4</w:t>
              <w:fldChar w:fldCharType="end"/>
            </w:r>
          </w:hyperlink>
        </w:p>
        <w:p w:rsidR="00E06EA1" w:rsidRPr="00E06EA1" w:rsidRDefault="00D33746" w:rsidP="00E06EA1">
          <w:pPr>
            <w:pStyle w:val="TOC2"/>
            <w:spacing w:before="0"/>
            <w:rPr>
              <w:noProof/>
              <w:sz w:val="22"/>
              <w:szCs w:val="22"/>
              <w:lang w:val="en-AU" w:eastAsia="en-AU"/>
            </w:rPr>
          </w:pPr>
          <w:hyperlink w:anchor="_Toc475341320" w:history="1">
            <w:r>
              <w:rPr>
                <w:rStyle w:val="Hyperlink"/>
                <w:rFonts w:ascii="Times New Roman" w:hAnsi="Times New Roman" w:cs="Times New Roman"/>
                <w:noProof/>
              </w:rPr>
              <w:t>2.5.1 PRODUCT DEVELOPMENT RATIONALE</w:t>
            </w:r>
            <w:r>
              <w:rPr>
                <w:noProof/>
                <w:webHidden/>
              </w:rPr>
              <w:tab/>
              <w:fldChar w:fldCharType="begin"/>
              <w:instrText xml:space="preserve"> PAGEREF _Toc475341320 \h </w:instrText>
              <w:fldChar w:fldCharType="separate"/>
              <w:t>6</w:t>
              <w:fldChar w:fldCharType="end"/>
            </w:r>
          </w:hyperlink>
        </w:p>
        <w:p w:rsidR="00E06EA1" w:rsidRPr="00E06EA1" w:rsidRDefault="00D33746" w:rsidP="00E06EA1">
          <w:pPr>
            <w:pStyle w:val="TOC3"/>
            <w:spacing w:before="0"/>
            <w:rPr>
              <w:noProof/>
              <w:sz w:val="22"/>
              <w:szCs w:val="22"/>
              <w:lang w:val="en-AU" w:eastAsia="en-AU"/>
            </w:rPr>
          </w:pPr>
          <w:hyperlink w:anchor="_Toc475341321" w:history="1">
            <w:r>
              <w:rPr>
                <w:rStyle w:val="Hyperlink"/>
                <w:rFonts w:ascii="Times New Roman" w:hAnsi="Times New Roman" w:cs="Times New Roman"/>
                <w:noProof/>
              </w:rPr>
              <w:t>2.5.1.1 Pharmacological class</w:t>
            </w:r>
            <w:r>
              <w:rPr>
                <w:noProof/>
                <w:webHidden/>
              </w:rPr>
              <w:tab/>
              <w:fldChar w:fldCharType="begin"/>
              <w:instrText xml:space="preserve"> PAGEREF _Toc475341321 \h </w:instrText>
              <w:fldChar w:fldCharType="separate"/>
              <w:t>6</w:t>
              <w:fldChar w:fldCharType="end"/>
            </w:r>
          </w:hyperlink>
        </w:p>
        <w:p w:rsidR="00E06EA1" w:rsidRPr="00E06EA1" w:rsidRDefault="00D33746" w:rsidP="00E06EA1">
          <w:pPr>
            <w:pStyle w:val="TOC3"/>
            <w:spacing w:before="0"/>
            <w:rPr>
              <w:noProof/>
              <w:sz w:val="22"/>
              <w:szCs w:val="22"/>
              <w:lang w:val="en-AU" w:eastAsia="en-AU"/>
            </w:rPr>
          </w:pPr>
          <w:hyperlink w:anchor="_Toc475341322" w:history="1">
            <w:r>
              <w:rPr>
                <w:rStyle w:val="Hyperlink"/>
                <w:rFonts w:ascii="Times New Roman" w:hAnsi="Times New Roman" w:cs="Times New Roman"/>
                <w:noProof/>
              </w:rPr>
              <w:t>2.5.1.2 Targeted indication</w:t>
            </w:r>
            <w:r>
              <w:rPr>
                <w:noProof/>
                <w:webHidden/>
              </w:rPr>
              <w:tab/>
              <w:fldChar w:fldCharType="begin"/>
              <w:instrText xml:space="preserve"> PAGEREF _Toc475341322 \h </w:instrText>
              <w:fldChar w:fldCharType="separate"/>
              <w:t>6</w:t>
              <w:fldChar w:fldCharType="end"/>
            </w:r>
          </w:hyperlink>
        </w:p>
        <w:p w:rsidR="00E06EA1" w:rsidRPr="00E06EA1" w:rsidRDefault="00D33746" w:rsidP="00E06EA1">
          <w:pPr>
            <w:pStyle w:val="TOC3"/>
            <w:spacing w:before="0"/>
            <w:rPr>
              <w:noProof/>
              <w:sz w:val="22"/>
              <w:szCs w:val="22"/>
              <w:lang w:val="en-AU" w:eastAsia="en-AU"/>
            </w:rPr>
          </w:pPr>
          <w:hyperlink w:anchor="_Toc475341323" w:history="1">
            <w:r>
              <w:rPr>
                <w:rStyle w:val="Hyperlink"/>
                <w:rFonts w:ascii="Times New Roman" w:hAnsi="Times New Roman" w:cs="Times New Roman"/>
                <w:noProof/>
              </w:rPr>
              <w:t>2.5.1.3 Scientific background</w:t>
            </w:r>
            <w:r>
              <w:rPr>
                <w:noProof/>
                <w:webHidden/>
              </w:rPr>
              <w:tab/>
              <w:fldChar w:fldCharType="begin"/>
              <w:instrText xml:space="preserve"> PAGEREF _Toc475341323 \h </w:instrText>
              <w:fldChar w:fldCharType="separate"/>
              <w:t>6</w:t>
              <w:fldChar w:fldCharType="end"/>
            </w:r>
          </w:hyperlink>
        </w:p>
        <w:p w:rsidR="00E06EA1" w:rsidRPr="00E06EA1" w:rsidRDefault="00D33746" w:rsidP="00E06EA1">
          <w:pPr>
            <w:pStyle w:val="TOC3"/>
            <w:spacing w:before="0"/>
            <w:rPr>
              <w:noProof/>
              <w:sz w:val="22"/>
              <w:szCs w:val="22"/>
              <w:lang w:val="en-AU" w:eastAsia="en-AU"/>
            </w:rPr>
          </w:pPr>
          <w:hyperlink w:anchor="_Toc475341324" w:history="1">
            <w:r>
              <w:rPr>
                <w:rStyle w:val="Hyperlink"/>
                <w:rFonts w:ascii="Times New Roman" w:hAnsi="Times New Roman" w:cs="Times New Roman"/>
                <w:noProof/>
              </w:rPr>
              <w:t>2.5.1.4 Clinical Development Programme</w:t>
            </w:r>
            <w:r>
              <w:rPr>
                <w:noProof/>
                <w:webHidden/>
              </w:rPr>
              <w:tab/>
              <w:fldChar w:fldCharType="begin"/>
              <w:instrText xml:space="preserve"> PAGEREF _Toc475341324 \h </w:instrText>
              <w:fldChar w:fldCharType="separate"/>
              <w:t>8</w:t>
              <w:fldChar w:fldCharType="end"/>
            </w:r>
          </w:hyperlink>
        </w:p>
        <w:p w:rsidR="00E06EA1" w:rsidRPr="00E06EA1" w:rsidRDefault="00D33746" w:rsidP="00E06EA1">
          <w:pPr>
            <w:pStyle w:val="TOC3"/>
            <w:spacing w:before="0"/>
            <w:rPr>
              <w:noProof/>
              <w:sz w:val="22"/>
              <w:szCs w:val="22"/>
              <w:lang w:val="en-AU" w:eastAsia="en-AU"/>
            </w:rPr>
          </w:pPr>
          <w:hyperlink w:anchor="_Toc475341325" w:history="1">
            <w:r>
              <w:rPr>
                <w:rStyle w:val="Hyperlink"/>
                <w:rFonts w:ascii="Times New Roman" w:hAnsi="Times New Roman" w:cs="Times New Roman"/>
                <w:noProof/>
              </w:rPr>
              <w:t>2.5.1.5 Study quality and concordance with current standard research approaches</w:t>
            </w:r>
            <w:r>
              <w:rPr>
                <w:noProof/>
                <w:webHidden/>
              </w:rPr>
              <w:tab/>
              <w:fldChar w:fldCharType="begin"/>
              <w:instrText xml:space="preserve"> PAGEREF _Toc475341325 \h </w:instrText>
              <w:fldChar w:fldCharType="separate"/>
              <w:t>9</w:t>
              <w:fldChar w:fldCharType="end"/>
            </w:r>
          </w:hyperlink>
        </w:p>
        <w:p w:rsidR="00E06EA1" w:rsidRPr="00E06EA1" w:rsidRDefault="00D33746" w:rsidP="00E06EA1">
          <w:pPr>
            <w:pStyle w:val="TOC2"/>
            <w:spacing w:before="0"/>
            <w:rPr>
              <w:noProof/>
              <w:sz w:val="22"/>
              <w:szCs w:val="22"/>
              <w:lang w:val="en-AU" w:eastAsia="en-AU"/>
            </w:rPr>
          </w:pPr>
          <w:hyperlink w:anchor="_Toc475341326" w:history="1">
            <w:r>
              <w:rPr>
                <w:rStyle w:val="Hyperlink"/>
                <w:rFonts w:ascii="Times New Roman" w:hAnsi="Times New Roman" w:cs="Times New Roman"/>
                <w:noProof/>
              </w:rPr>
              <w:t>2.5.2 OVERVIEW OF BIOPHARMACEUTICS</w:t>
            </w:r>
            <w:r>
              <w:rPr>
                <w:noProof/>
                <w:webHidden/>
              </w:rPr>
              <w:tab/>
              <w:fldChar w:fldCharType="begin"/>
              <w:instrText xml:space="preserve"> PAGEREF _Toc475341326 \h </w:instrText>
              <w:fldChar w:fldCharType="separate"/>
              <w:t>10</w:t>
              <w:fldChar w:fldCharType="end"/>
            </w:r>
          </w:hyperlink>
        </w:p>
        <w:p w:rsidR="00E06EA1" w:rsidRPr="00E06EA1" w:rsidRDefault="00D33746" w:rsidP="00E06EA1">
          <w:pPr>
            <w:pStyle w:val="TOC2"/>
            <w:spacing w:before="0"/>
            <w:rPr>
              <w:noProof/>
              <w:sz w:val="22"/>
              <w:szCs w:val="22"/>
              <w:lang w:val="en-AU" w:eastAsia="en-AU"/>
            </w:rPr>
          </w:pPr>
          <w:hyperlink w:anchor="_Toc475341327" w:history="1">
            <w:r>
              <w:rPr>
                <w:rStyle w:val="Hyperlink"/>
                <w:rFonts w:ascii="Times New Roman" w:hAnsi="Times New Roman" w:cs="Times New Roman"/>
                <w:noProof/>
              </w:rPr>
              <w:t>2.5.3 OVERVIEW OF CLINICAL PHARMACOLOGY</w:t>
            </w:r>
            <w:r>
              <w:rPr>
                <w:noProof/>
                <w:webHidden/>
              </w:rPr>
              <w:tab/>
              <w:fldChar w:fldCharType="begin"/>
              <w:instrText xml:space="preserve"> PAGEREF _Toc475341327 \h </w:instrText>
              <w:fldChar w:fldCharType="separate"/>
              <w:t>10</w:t>
              <w:fldChar w:fldCharType="end"/>
            </w:r>
          </w:hyperlink>
        </w:p>
        <w:p w:rsidR="00E06EA1" w:rsidRPr="00E06EA1" w:rsidRDefault="00D33746" w:rsidP="00E06EA1">
          <w:pPr>
            <w:pStyle w:val="TOC3"/>
            <w:spacing w:before="0"/>
            <w:rPr>
              <w:noProof/>
              <w:sz w:val="22"/>
              <w:szCs w:val="22"/>
              <w:lang w:val="en-AU" w:eastAsia="en-AU"/>
            </w:rPr>
          </w:pPr>
          <w:hyperlink w:anchor="_Toc475341328" w:history="1">
            <w:r>
              <w:rPr>
                <w:rStyle w:val="Hyperlink"/>
                <w:rFonts w:ascii="Times New Roman" w:hAnsi="Times New Roman" w:cs="Times New Roman"/>
                <w:noProof/>
              </w:rPr>
              <w:t>2.5.3.1 Pharmacokinetics</w:t>
            </w:r>
            <w:r>
              <w:rPr>
                <w:noProof/>
                <w:webHidden/>
              </w:rPr>
              <w:tab/>
              <w:fldChar w:fldCharType="begin"/>
              <w:instrText xml:space="preserve"> PAGEREF _Toc475341328 \h </w:instrText>
              <w:fldChar w:fldCharType="separate"/>
              <w:t>10</w:t>
              <w:fldChar w:fldCharType="end"/>
            </w:r>
          </w:hyperlink>
        </w:p>
        <w:p w:rsidR="00E06EA1" w:rsidRPr="00E06EA1" w:rsidRDefault="00D33746" w:rsidP="00E06EA1">
          <w:pPr>
            <w:pStyle w:val="TOC3"/>
            <w:spacing w:before="0"/>
            <w:rPr>
              <w:noProof/>
              <w:sz w:val="22"/>
              <w:szCs w:val="22"/>
              <w:lang w:val="en-AU" w:eastAsia="en-AU"/>
            </w:rPr>
          </w:pPr>
          <w:hyperlink w:anchor="_Toc475341329" w:history="1">
            <w:r>
              <w:rPr>
                <w:rStyle w:val="Hyperlink"/>
                <w:rFonts w:ascii="Times New Roman" w:hAnsi="Times New Roman" w:cs="Times New Roman"/>
                <w:noProof/>
              </w:rPr>
              <w:t>2.5.3.2 Pharmacodynamics</w:t>
            </w:r>
            <w:r>
              <w:rPr>
                <w:noProof/>
                <w:webHidden/>
              </w:rPr>
              <w:tab/>
              <w:fldChar w:fldCharType="begin"/>
              <w:instrText xml:space="preserve"> PAGEREF _Toc475341329 \h </w:instrText>
              <w:fldChar w:fldCharType="separate"/>
              <w:t>10</w:t>
              <w:fldChar w:fldCharType="end"/>
            </w:r>
          </w:hyperlink>
        </w:p>
        <w:p w:rsidR="00E06EA1" w:rsidRPr="00E06EA1" w:rsidRDefault="00D33746" w:rsidP="00E06EA1">
          <w:pPr>
            <w:pStyle w:val="TOC2"/>
            <w:spacing w:before="0"/>
            <w:rPr>
              <w:noProof/>
              <w:sz w:val="22"/>
              <w:szCs w:val="22"/>
              <w:lang w:val="en-AU" w:eastAsia="en-AU"/>
            </w:rPr>
          </w:pPr>
          <w:hyperlink w:anchor="_Toc475341330" w:history="1">
            <w:r>
              <w:rPr>
                <w:rStyle w:val="Hyperlink"/>
                <w:rFonts w:ascii="Times New Roman" w:hAnsi="Times New Roman" w:cs="Times New Roman"/>
                <w:noProof/>
              </w:rPr>
              <w:t>2.5.4 OVERVIEW OF EFFICACY</w:t>
            </w:r>
            <w:r>
              <w:rPr>
                <w:noProof/>
                <w:webHidden/>
              </w:rPr>
              <w:tab/>
              <w:fldChar w:fldCharType="begin"/>
              <w:instrText xml:space="preserve"> PAGEREF _Toc475341330 \h </w:instrText>
              <w:fldChar w:fldCharType="separate"/>
              <w:t>12</w:t>
              <w:fldChar w:fldCharType="end"/>
            </w:r>
          </w:hyperlink>
        </w:p>
        <w:p w:rsidR="00E06EA1" w:rsidRPr="00E06EA1" w:rsidRDefault="00D33746" w:rsidP="00E06EA1">
          <w:pPr>
            <w:pStyle w:val="TOC3"/>
            <w:spacing w:before="0"/>
            <w:rPr>
              <w:noProof/>
              <w:sz w:val="22"/>
              <w:szCs w:val="22"/>
              <w:lang w:val="en-AU" w:eastAsia="en-AU"/>
            </w:rPr>
          </w:pPr>
          <w:hyperlink w:anchor="_Toc475341331" w:history="1">
            <w:r>
              <w:rPr>
                <w:rStyle w:val="Hyperlink"/>
                <w:rFonts w:ascii="Times New Roman" w:hAnsi="Times New Roman" w:cs="Times New Roman"/>
                <w:noProof/>
              </w:rPr>
              <w:t>2.5.4.1 Clinical trials and evidence to support indications</w:t>
            </w:r>
            <w:r>
              <w:rPr>
                <w:noProof/>
                <w:webHidden/>
              </w:rPr>
              <w:tab/>
              <w:fldChar w:fldCharType="begin"/>
              <w:instrText xml:space="preserve"> PAGEREF _Toc475341331 \h </w:instrText>
              <w:fldChar w:fldCharType="separate"/>
              <w:t>12</w:t>
              <w:fldChar w:fldCharType="end"/>
            </w:r>
          </w:hyperlink>
        </w:p>
        <w:p w:rsidR="00E06EA1" w:rsidRPr="00E06EA1" w:rsidRDefault="00D33746" w:rsidP="00E06EA1">
          <w:pPr>
            <w:pStyle w:val="TOC3"/>
            <w:spacing w:before="0"/>
            <w:rPr>
              <w:noProof/>
              <w:sz w:val="22"/>
              <w:szCs w:val="22"/>
              <w:lang w:val="en-AU" w:eastAsia="en-AU"/>
            </w:rPr>
          </w:pPr>
          <w:hyperlink w:anchor="_Toc475341332" w:history="1">
            <w:r>
              <w:rPr>
                <w:rStyle w:val="Hyperlink"/>
                <w:rFonts w:ascii="Times New Roman" w:hAnsi="Times New Roman" w:cs="Times New Roman"/>
                <w:noProof/>
              </w:rPr>
              <w:t>2.5.4.2 Dose and Duration of Administration</w:t>
            </w:r>
            <w:r>
              <w:rPr>
                <w:noProof/>
                <w:webHidden/>
              </w:rPr>
              <w:tab/>
              <w:fldChar w:fldCharType="begin"/>
              <w:instrText xml:space="preserve"> PAGEREF _Toc475341332 \h </w:instrText>
              <w:fldChar w:fldCharType="separate"/>
              <w:t>20</w:t>
              <w:fldChar w:fldCharType="end"/>
            </w:r>
          </w:hyperlink>
        </w:p>
        <w:p w:rsidR="00E06EA1" w:rsidRPr="00E06EA1" w:rsidRDefault="00D33746" w:rsidP="00E06EA1">
          <w:pPr>
            <w:pStyle w:val="TOC2"/>
            <w:spacing w:before="0"/>
            <w:rPr>
              <w:noProof/>
              <w:sz w:val="22"/>
              <w:szCs w:val="22"/>
              <w:lang w:val="en-AU" w:eastAsia="en-AU"/>
            </w:rPr>
          </w:pPr>
          <w:hyperlink w:anchor="_Toc475341333" w:history="1">
            <w:r>
              <w:rPr>
                <w:rStyle w:val="Hyperlink"/>
                <w:rFonts w:ascii="Times New Roman" w:hAnsi="Times New Roman" w:cs="Times New Roman"/>
                <w:noProof/>
              </w:rPr>
              <w:t>2.5.5 OVERVIEW OF SAFETY</w:t>
            </w:r>
            <w:r>
              <w:rPr>
                <w:noProof/>
                <w:webHidden/>
              </w:rPr>
              <w:tab/>
              <w:fldChar w:fldCharType="begin"/>
              <w:instrText xml:space="preserve"> PAGEREF _Toc475341333 \h </w:instrText>
              <w:fldChar w:fldCharType="separate"/>
              <w:t>20</w:t>
              <w:fldChar w:fldCharType="end"/>
            </w:r>
          </w:hyperlink>
        </w:p>
        <w:p w:rsidR="00E06EA1" w:rsidRPr="00E06EA1" w:rsidRDefault="00D33746" w:rsidP="00E06EA1">
          <w:pPr>
            <w:pStyle w:val="TOC3"/>
            <w:spacing w:before="0"/>
            <w:rPr>
              <w:noProof/>
              <w:sz w:val="22"/>
              <w:szCs w:val="22"/>
              <w:lang w:val="en-AU" w:eastAsia="en-AU"/>
            </w:rPr>
          </w:pPr>
          <w:hyperlink w:anchor="_Toc475341334" w:history="1">
            <w:r>
              <w:rPr>
                <w:rStyle w:val="Hyperlink"/>
                <w:rFonts w:ascii="Times New Roman" w:hAnsi="Times New Roman" w:cs="Times New Roman"/>
                <w:noProof/>
              </w:rPr>
              <w:t>2.5.5.1 Adverse effects characteristic of the pharmacological class</w:t>
            </w:r>
            <w:r>
              <w:rPr>
                <w:noProof/>
                <w:webHidden/>
              </w:rPr>
              <w:tab/>
              <w:fldChar w:fldCharType="begin"/>
              <w:instrText xml:space="preserve"> PAGEREF _Toc475341334 \h </w:instrText>
              <w:fldChar w:fldCharType="separate"/>
              <w:t>20</w:t>
              <w:fldChar w:fldCharType="end"/>
            </w:r>
          </w:hyperlink>
        </w:p>
        <w:p w:rsidR="00E06EA1" w:rsidRPr="00E06EA1" w:rsidRDefault="00D33746" w:rsidP="00E06EA1">
          <w:pPr>
            <w:pStyle w:val="TOC3"/>
            <w:spacing w:before="0"/>
            <w:rPr>
              <w:noProof/>
              <w:sz w:val="22"/>
              <w:szCs w:val="22"/>
              <w:lang w:val="en-AU" w:eastAsia="en-AU"/>
            </w:rPr>
          </w:pPr>
          <w:hyperlink w:anchor="_Toc475341335" w:history="1">
            <w:r>
              <w:rPr>
                <w:rStyle w:val="Hyperlink"/>
                <w:rFonts w:ascii="Times New Roman" w:hAnsi="Times New Roman" w:cs="Times New Roman"/>
                <w:noProof/>
              </w:rPr>
              <w:t>2.5.5.2 Special approaches to monitoring for particular adverse events</w:t>
            </w:r>
            <w:r>
              <w:rPr>
                <w:noProof/>
                <w:webHidden/>
              </w:rPr>
              <w:tab/>
              <w:fldChar w:fldCharType="begin"/>
              <w:instrText xml:space="preserve"> PAGEREF _Toc475341335 \h </w:instrText>
              <w:fldChar w:fldCharType="separate"/>
              <w:t>21</w:t>
              <w:fldChar w:fldCharType="end"/>
            </w:r>
          </w:hyperlink>
        </w:p>
        <w:p w:rsidR="00E06EA1" w:rsidRPr="00E06EA1" w:rsidRDefault="00D33746" w:rsidP="00E06EA1">
          <w:pPr>
            <w:pStyle w:val="TOC3"/>
            <w:spacing w:before="0"/>
            <w:rPr>
              <w:noProof/>
              <w:sz w:val="22"/>
              <w:szCs w:val="22"/>
              <w:lang w:val="en-AU" w:eastAsia="en-AU"/>
            </w:rPr>
          </w:pPr>
          <w:hyperlink w:anchor="_Toc475341336" w:history="1">
            <w:r>
              <w:rPr>
                <w:rStyle w:val="Hyperlink"/>
                <w:rFonts w:ascii="Times New Roman" w:hAnsi="Times New Roman" w:cs="Times New Roman"/>
                <w:noProof/>
              </w:rPr>
              <w:t>2.5.5.3 Relevant animal toxicology and product quality information</w:t>
            </w:r>
            <w:r>
              <w:rPr>
                <w:noProof/>
                <w:webHidden/>
              </w:rPr>
              <w:tab/>
              <w:fldChar w:fldCharType="begin"/>
              <w:instrText xml:space="preserve"> PAGEREF _Toc475341336 \h </w:instrText>
              <w:fldChar w:fldCharType="separate"/>
              <w:t>21</w:t>
              <w:fldChar w:fldCharType="end"/>
            </w:r>
          </w:hyperlink>
        </w:p>
        <w:p w:rsidR="00E06EA1" w:rsidRPr="00E06EA1" w:rsidRDefault="00D33746" w:rsidP="00E06EA1">
          <w:pPr>
            <w:pStyle w:val="TOC3"/>
            <w:spacing w:before="0"/>
            <w:rPr>
              <w:noProof/>
              <w:sz w:val="22"/>
              <w:szCs w:val="22"/>
              <w:lang w:val="en-AU" w:eastAsia="en-AU"/>
            </w:rPr>
          </w:pPr>
          <w:hyperlink w:anchor="_Toc475341337" w:history="1">
            <w:r>
              <w:rPr>
                <w:rStyle w:val="Hyperlink"/>
                <w:rFonts w:ascii="Times New Roman" w:hAnsi="Times New Roman" w:cs="Times New Roman"/>
                <w:noProof/>
              </w:rPr>
              <w:t>2.5.5.4 Nature of patient population and extent of exposure</w:t>
            </w:r>
            <w:r>
              <w:rPr>
                <w:noProof/>
                <w:webHidden/>
              </w:rPr>
              <w:tab/>
              <w:fldChar w:fldCharType="begin"/>
              <w:instrText xml:space="preserve"> PAGEREF _Toc475341337 \h </w:instrText>
              <w:fldChar w:fldCharType="separate"/>
              <w:t>22</w:t>
              <w:fldChar w:fldCharType="end"/>
            </w:r>
          </w:hyperlink>
        </w:p>
        <w:p w:rsidR="00E06EA1" w:rsidRPr="00E06EA1" w:rsidRDefault="00D33746" w:rsidP="00E06EA1">
          <w:pPr>
            <w:pStyle w:val="TOC3"/>
            <w:spacing w:before="0"/>
            <w:rPr>
              <w:noProof/>
              <w:sz w:val="22"/>
              <w:szCs w:val="22"/>
              <w:lang w:val="en-AU" w:eastAsia="en-AU"/>
            </w:rPr>
          </w:pPr>
          <w:hyperlink w:anchor="_Toc475341338" w:history="1">
            <w:r>
              <w:rPr>
                <w:rStyle w:val="Hyperlink"/>
                <w:rFonts w:ascii="Times New Roman" w:hAnsi="Times New Roman" w:cs="Times New Roman"/>
                <w:noProof/>
              </w:rPr>
              <w:t>2.5.5.5 Common and non-serious adverse events</w:t>
            </w:r>
            <w:r>
              <w:rPr>
                <w:noProof/>
                <w:webHidden/>
              </w:rPr>
              <w:tab/>
              <w:fldChar w:fldCharType="begin"/>
              <w:instrText xml:space="preserve"> PAGEREF _Toc475341338 \h </w:instrText>
              <w:fldChar w:fldCharType="separate"/>
              <w:t>22</w:t>
              <w:fldChar w:fldCharType="end"/>
            </w:r>
          </w:hyperlink>
        </w:p>
        <w:p w:rsidR="00E06EA1" w:rsidRPr="00E06EA1" w:rsidRDefault="00D33746" w:rsidP="00E06EA1">
          <w:pPr>
            <w:pStyle w:val="TOC3"/>
            <w:spacing w:before="0"/>
            <w:rPr>
              <w:noProof/>
              <w:sz w:val="22"/>
              <w:szCs w:val="22"/>
              <w:lang w:val="en-AU" w:eastAsia="en-AU"/>
            </w:rPr>
          </w:pPr>
          <w:hyperlink w:anchor="_Toc475341339" w:history="1">
            <w:r>
              <w:rPr>
                <w:rStyle w:val="Hyperlink"/>
                <w:rFonts w:ascii="Times New Roman" w:hAnsi="Times New Roman" w:cs="Times New Roman"/>
                <w:noProof/>
              </w:rPr>
              <w:t>2.5.5.6 Medically important or serious adverse events</w:t>
            </w:r>
            <w:r>
              <w:rPr>
                <w:noProof/>
                <w:webHidden/>
              </w:rPr>
              <w:tab/>
              <w:fldChar w:fldCharType="begin"/>
              <w:instrText xml:space="preserve"> PAGEREF _Toc475341339 \h </w:instrText>
              <w:fldChar w:fldCharType="separate"/>
              <w:t>22</w:t>
              <w:fldChar w:fldCharType="end"/>
            </w:r>
          </w:hyperlink>
        </w:p>
        <w:p w:rsidR="00E06EA1" w:rsidRPr="00E06EA1" w:rsidRDefault="00D33746" w:rsidP="00E06EA1">
          <w:pPr>
            <w:pStyle w:val="TOC3"/>
            <w:spacing w:before="0"/>
            <w:rPr>
              <w:noProof/>
              <w:sz w:val="22"/>
              <w:szCs w:val="22"/>
              <w:lang w:val="en-AU" w:eastAsia="en-AU"/>
            </w:rPr>
          </w:pPr>
          <w:hyperlink w:anchor="_Toc475341340" w:history="1">
            <w:r>
              <w:rPr>
                <w:rStyle w:val="Hyperlink"/>
                <w:rFonts w:ascii="Times New Roman" w:hAnsi="Times New Roman" w:cs="Times New Roman"/>
                <w:noProof/>
              </w:rPr>
              <w:t>2.5.5.7 Similarities and differences in results among studies</w:t>
            </w:r>
            <w:r>
              <w:rPr>
                <w:noProof/>
                <w:webHidden/>
              </w:rPr>
              <w:tab/>
              <w:fldChar w:fldCharType="begin"/>
              <w:instrText xml:space="preserve"> PAGEREF _Toc475341340 \h </w:instrText>
              <w:fldChar w:fldCharType="separate"/>
              <w:t>22</w:t>
              <w:fldChar w:fldCharType="end"/>
            </w:r>
          </w:hyperlink>
        </w:p>
        <w:p w:rsidR="00E06EA1" w:rsidRPr="00E06EA1" w:rsidRDefault="00D33746" w:rsidP="00E06EA1">
          <w:pPr>
            <w:pStyle w:val="TOC3"/>
            <w:spacing w:before="0"/>
            <w:rPr>
              <w:noProof/>
              <w:sz w:val="22"/>
              <w:szCs w:val="22"/>
              <w:lang w:val="en-AU" w:eastAsia="en-AU"/>
            </w:rPr>
          </w:pPr>
          <w:hyperlink w:anchor="_Toc475341341" w:history="1">
            <w:r>
              <w:rPr>
                <w:rStyle w:val="Hyperlink"/>
                <w:rFonts w:ascii="Times New Roman" w:hAnsi="Times New Roman" w:cs="Times New Roman"/>
                <w:noProof/>
              </w:rPr>
              <w:t>2.5.5.8 Differences in rates of adverse events in population subgroups</w:t>
            </w:r>
            <w:r>
              <w:rPr>
                <w:noProof/>
                <w:webHidden/>
              </w:rPr>
              <w:tab/>
              <w:fldChar w:fldCharType="begin"/>
              <w:instrText xml:space="preserve"> PAGEREF _Toc475341341 \h </w:instrText>
              <w:fldChar w:fldCharType="separate"/>
              <w:t>23</w:t>
              <w:fldChar w:fldCharType="end"/>
            </w:r>
          </w:hyperlink>
        </w:p>
        <w:p w:rsidR="00E06EA1" w:rsidRPr="00E06EA1" w:rsidRDefault="00D33746" w:rsidP="00E06EA1">
          <w:pPr>
            <w:pStyle w:val="TOC3"/>
            <w:spacing w:before="0"/>
            <w:rPr>
              <w:noProof/>
              <w:sz w:val="22"/>
              <w:szCs w:val="22"/>
              <w:lang w:val="en-AU" w:eastAsia="en-AU"/>
            </w:rPr>
          </w:pPr>
          <w:hyperlink w:anchor="_Toc475341342" w:history="1">
            <w:r>
              <w:rPr>
                <w:rStyle w:val="Hyperlink"/>
                <w:rFonts w:ascii="Times New Roman" w:hAnsi="Times New Roman" w:cs="Times New Roman"/>
                <w:noProof/>
              </w:rPr>
              <w:t>2.5.5.9 Relation of adverse events to dose, dose regimen, and treatment duration</w:t>
            </w:r>
            <w:r>
              <w:rPr>
                <w:noProof/>
                <w:webHidden/>
              </w:rPr>
              <w:tab/>
              <w:fldChar w:fldCharType="begin"/>
              <w:instrText xml:space="preserve"> PAGEREF _Toc475341342 \h </w:instrText>
              <w:fldChar w:fldCharType="separate"/>
              <w:t>23</w:t>
              <w:fldChar w:fldCharType="end"/>
            </w:r>
          </w:hyperlink>
        </w:p>
        <w:p w:rsidR="00E06EA1" w:rsidRPr="00E06EA1" w:rsidRDefault="00D33746" w:rsidP="00E06EA1">
          <w:pPr>
            <w:pStyle w:val="TOC3"/>
            <w:spacing w:before="0"/>
            <w:rPr>
              <w:noProof/>
              <w:sz w:val="22"/>
              <w:szCs w:val="22"/>
              <w:lang w:val="en-AU" w:eastAsia="en-AU"/>
            </w:rPr>
          </w:pPr>
          <w:hyperlink w:anchor="_Toc475341343" w:history="1">
            <w:r>
              <w:rPr>
                <w:rStyle w:val="Hyperlink"/>
                <w:rFonts w:ascii="Times New Roman" w:hAnsi="Times New Roman" w:cs="Times New Roman"/>
                <w:noProof/>
              </w:rPr>
              <w:t>2.5.5.10 Long-term safety</w:t>
            </w:r>
            <w:r>
              <w:rPr>
                <w:noProof/>
                <w:webHidden/>
              </w:rPr>
              <w:tab/>
              <w:fldChar w:fldCharType="begin"/>
              <w:instrText xml:space="preserve"> PAGEREF _Toc475341343 \h </w:instrText>
              <w:fldChar w:fldCharType="separate"/>
              <w:t>23</w:t>
              <w:fldChar w:fldCharType="end"/>
            </w:r>
          </w:hyperlink>
        </w:p>
        <w:p w:rsidR="00E06EA1" w:rsidRPr="00E06EA1" w:rsidRDefault="00D33746" w:rsidP="00E06EA1">
          <w:pPr>
            <w:pStyle w:val="TOC3"/>
            <w:spacing w:before="0"/>
            <w:rPr>
              <w:noProof/>
              <w:sz w:val="22"/>
              <w:szCs w:val="22"/>
              <w:lang w:val="en-AU" w:eastAsia="en-AU"/>
            </w:rPr>
          </w:pPr>
          <w:hyperlink w:anchor="_Toc475341344" w:history="1">
            <w:r>
              <w:rPr>
                <w:rStyle w:val="Hyperlink"/>
                <w:rFonts w:ascii="Times New Roman" w:hAnsi="Times New Roman" w:cs="Times New Roman"/>
                <w:noProof/>
              </w:rPr>
              <w:t>2.5.5.11 Methods to prevent, mitigate, or manage adverse events</w:t>
            </w:r>
            <w:r>
              <w:rPr>
                <w:noProof/>
                <w:webHidden/>
              </w:rPr>
              <w:tab/>
              <w:fldChar w:fldCharType="begin"/>
              <w:instrText xml:space="preserve"> PAGEREF _Toc475341344 \h </w:instrText>
              <w:fldChar w:fldCharType="separate"/>
              <w:t>24</w:t>
              <w:fldChar w:fldCharType="end"/>
            </w:r>
          </w:hyperlink>
        </w:p>
        <w:p w:rsidR="00E06EA1" w:rsidRPr="00E06EA1" w:rsidRDefault="00D33746" w:rsidP="00E06EA1">
          <w:pPr>
            <w:pStyle w:val="TOC3"/>
            <w:spacing w:before="0"/>
            <w:rPr>
              <w:noProof/>
              <w:sz w:val="22"/>
              <w:szCs w:val="22"/>
              <w:lang w:val="en-AU" w:eastAsia="en-AU"/>
            </w:rPr>
          </w:pPr>
          <w:hyperlink w:anchor="_Toc475341345" w:history="1">
            <w:r>
              <w:rPr>
                <w:rStyle w:val="Hyperlink"/>
                <w:rFonts w:ascii="Times New Roman" w:hAnsi="Times New Roman" w:cs="Times New Roman"/>
                <w:noProof/>
              </w:rPr>
              <w:t>2.5.5.12 Reactions due to overdose, potential for dependence, rebound phenomena, and abuse</w:t>
            </w:r>
            <w:r>
              <w:rPr>
                <w:noProof/>
                <w:webHidden/>
              </w:rPr>
              <w:tab/>
              <w:fldChar w:fldCharType="begin"/>
              <w:instrText xml:space="preserve"> PAGEREF _Toc475341345 \h </w:instrText>
              <w:fldChar w:fldCharType="separate"/>
              <w:t>24</w:t>
              <w:fldChar w:fldCharType="end"/>
            </w:r>
          </w:hyperlink>
        </w:p>
        <w:p w:rsidR="00E06EA1" w:rsidRPr="00E06EA1" w:rsidRDefault="00D33746" w:rsidP="00E06EA1">
          <w:pPr>
            <w:pStyle w:val="TOC3"/>
            <w:spacing w:before="0"/>
            <w:rPr>
              <w:noProof/>
              <w:sz w:val="22"/>
              <w:szCs w:val="22"/>
              <w:lang w:val="en-AU" w:eastAsia="en-AU"/>
            </w:rPr>
          </w:pPr>
          <w:hyperlink w:anchor="_Toc475341346" w:history="1">
            <w:r>
              <w:rPr>
                <w:rStyle w:val="Hyperlink"/>
                <w:rFonts w:ascii="Times New Roman" w:hAnsi="Times New Roman" w:cs="Times New Roman"/>
                <w:noProof/>
              </w:rPr>
              <w:t>2.5.5.13 World-wide marketing experience</w:t>
            </w:r>
            <w:r>
              <w:rPr>
                <w:noProof/>
                <w:webHidden/>
              </w:rPr>
              <w:tab/>
              <w:fldChar w:fldCharType="begin"/>
              <w:instrText xml:space="preserve"> PAGEREF _Toc475341346 \h </w:instrText>
              <w:fldChar w:fldCharType="separate"/>
              <w:t>24</w:t>
              <w:fldChar w:fldCharType="end"/>
            </w:r>
          </w:hyperlink>
        </w:p>
        <w:p w:rsidR="00E06EA1" w:rsidRPr="00E06EA1" w:rsidRDefault="00D33746" w:rsidP="00E06EA1">
          <w:pPr>
            <w:pStyle w:val="TOC2"/>
            <w:spacing w:before="0"/>
            <w:rPr>
              <w:noProof/>
              <w:sz w:val="22"/>
              <w:szCs w:val="22"/>
              <w:lang w:val="en-AU" w:eastAsia="en-AU"/>
            </w:rPr>
          </w:pPr>
          <w:hyperlink w:anchor="_Toc475341347" w:history="1">
            <w:r>
              <w:rPr>
                <w:rStyle w:val="Hyperlink"/>
                <w:rFonts w:ascii="Times New Roman" w:hAnsi="Times New Roman" w:cs="Times New Roman"/>
                <w:noProof/>
              </w:rPr>
              <w:t>2.5.6 Benefits and Risks Conclusions</w:t>
            </w:r>
            <w:r>
              <w:rPr>
                <w:noProof/>
                <w:webHidden/>
              </w:rPr>
              <w:tab/>
              <w:fldChar w:fldCharType="begin"/>
              <w:instrText xml:space="preserve"> PAGEREF _Toc475341347 \h </w:instrText>
              <w:fldChar w:fldCharType="separate"/>
              <w:t>24</w:t>
              <w:fldChar w:fldCharType="end"/>
            </w:r>
          </w:hyperlink>
        </w:p>
        <w:p w:rsidR="00E06EA1" w:rsidRPr="00E06EA1" w:rsidRDefault="00D33746" w:rsidP="00E06EA1">
          <w:pPr>
            <w:pStyle w:val="TOC3"/>
            <w:spacing w:before="0"/>
            <w:rPr>
              <w:noProof/>
              <w:sz w:val="22"/>
              <w:szCs w:val="22"/>
              <w:lang w:val="en-AU" w:eastAsia="en-AU"/>
            </w:rPr>
          </w:pPr>
          <w:hyperlink w:anchor="_Toc475341348" w:history="1">
            <w:r>
              <w:rPr>
                <w:rStyle w:val="Hyperlink"/>
                <w:rFonts w:ascii="Times New Roman" w:hAnsi="Times New Roman" w:cs="Times New Roman"/>
                <w:noProof/>
              </w:rPr>
              <w:t>2.5.6.1 Therapeutic Context</w:t>
            </w:r>
            <w:r>
              <w:rPr>
                <w:noProof/>
                <w:webHidden/>
              </w:rPr>
              <w:tab/>
              <w:fldChar w:fldCharType="begin"/>
              <w:instrText xml:space="preserve"> PAGEREF _Toc475341348 \h </w:instrText>
              <w:fldChar w:fldCharType="separate"/>
              <w:t>24</w:t>
              <w:fldChar w:fldCharType="end"/>
            </w:r>
          </w:hyperlink>
        </w:p>
        <w:p w:rsidR="00E06EA1" w:rsidRPr="00E06EA1" w:rsidRDefault="00D33746" w:rsidP="00E06EA1">
          <w:pPr>
            <w:pStyle w:val="TOC3"/>
            <w:spacing w:before="0"/>
            <w:rPr>
              <w:noProof/>
              <w:sz w:val="22"/>
              <w:szCs w:val="22"/>
              <w:lang w:val="en-AU" w:eastAsia="en-AU"/>
            </w:rPr>
          </w:pPr>
          <w:hyperlink w:anchor="_Toc475341349" w:history="1">
            <w:r>
              <w:rPr>
                <w:rStyle w:val="Hyperlink"/>
                <w:rFonts w:ascii="Times New Roman" w:hAnsi="Times New Roman" w:cs="Times New Roman"/>
                <w:noProof/>
              </w:rPr>
              <w:t>2.5.6.2 Benefits</w:t>
            </w:r>
            <w:r>
              <w:rPr>
                <w:noProof/>
                <w:webHidden/>
              </w:rPr>
              <w:tab/>
              <w:fldChar w:fldCharType="begin"/>
              <w:instrText xml:space="preserve"> PAGEREF _Toc475341349 \h </w:instrText>
              <w:fldChar w:fldCharType="separate"/>
              <w:t>25</w:t>
              <w:fldChar w:fldCharType="end"/>
            </w:r>
          </w:hyperlink>
        </w:p>
        <w:p w:rsidR="00E06EA1" w:rsidRPr="00E06EA1" w:rsidRDefault="00D33746" w:rsidP="00E06EA1">
          <w:pPr>
            <w:pStyle w:val="TOC3"/>
            <w:spacing w:before="0"/>
            <w:rPr>
              <w:noProof/>
              <w:sz w:val="22"/>
              <w:szCs w:val="22"/>
              <w:lang w:val="en-AU" w:eastAsia="en-AU"/>
            </w:rPr>
          </w:pPr>
          <w:hyperlink w:anchor="_Toc475341350" w:history="1">
            <w:r>
              <w:rPr>
                <w:rStyle w:val="Hyperlink"/>
                <w:rFonts w:ascii="Times New Roman" w:hAnsi="Times New Roman" w:cs="Times New Roman"/>
                <w:noProof/>
              </w:rPr>
              <w:t>2.5.6.3 Risks</w:t>
            </w:r>
            <w:r>
              <w:rPr>
                <w:noProof/>
                <w:webHidden/>
              </w:rPr>
              <w:tab/>
              <w:fldChar w:fldCharType="begin"/>
              <w:instrText xml:space="preserve"> PAGEREF _Toc475341350 \h </w:instrText>
              <w:fldChar w:fldCharType="separate"/>
              <w:t>25</w:t>
              <w:fldChar w:fldCharType="end"/>
            </w:r>
          </w:hyperlink>
        </w:p>
        <w:p w:rsidR="00E06EA1" w:rsidRPr="00E06EA1" w:rsidRDefault="00D33746" w:rsidP="00E06EA1">
          <w:pPr>
            <w:pStyle w:val="TOC3"/>
            <w:spacing w:before="0"/>
            <w:rPr>
              <w:noProof/>
              <w:sz w:val="22"/>
              <w:szCs w:val="22"/>
              <w:lang w:val="en-AU" w:eastAsia="en-AU"/>
            </w:rPr>
          </w:pPr>
          <w:hyperlink w:anchor="_Toc475341351" w:history="1">
            <w:r>
              <w:rPr>
                <w:rStyle w:val="Hyperlink"/>
                <w:rFonts w:ascii="Times New Roman" w:hAnsi="Times New Roman" w:cs="Times New Roman"/>
                <w:noProof/>
              </w:rPr>
              <w:t>2.5.6.4 Benefit-Risk Assessment</w:t>
            </w:r>
            <w:r>
              <w:rPr>
                <w:noProof/>
                <w:webHidden/>
              </w:rPr>
              <w:tab/>
              <w:fldChar w:fldCharType="begin"/>
              <w:instrText xml:space="preserve"> PAGEREF _Toc475341351 \h </w:instrText>
              <w:fldChar w:fldCharType="separate"/>
              <w:t>25</w:t>
              <w:fldChar w:fldCharType="end"/>
            </w:r>
          </w:hyperlink>
        </w:p>
        <w:p w:rsidR="00E06EA1" w:rsidRPr="00E06EA1" w:rsidRDefault="00D33746" w:rsidP="00E06EA1">
          <w:pPr>
            <w:pStyle w:val="TOC2"/>
            <w:spacing w:before="0"/>
            <w:rPr>
              <w:noProof/>
              <w:sz w:val="22"/>
              <w:szCs w:val="22"/>
              <w:lang w:val="en-AU" w:eastAsia="en-AU"/>
            </w:rPr>
          </w:pPr>
          <w:hyperlink w:anchor="_Toc475341352" w:history="1">
            <w:r>
              <w:rPr>
                <w:rStyle w:val="Hyperlink"/>
                <w:rFonts w:ascii="Times New Roman" w:hAnsi="Times New Roman" w:cs="Times New Roman"/>
                <w:noProof/>
              </w:rPr>
              <w:t>2.5.7 Literature References</w:t>
            </w:r>
            <w:r>
              <w:rPr>
                <w:noProof/>
                <w:webHidden/>
              </w:rPr>
              <w:tab/>
              <w:fldChar w:fldCharType="begin"/>
              <w:instrText xml:space="preserve"> PAGEREF _Toc475341352 \h </w:instrText>
              <w:fldChar w:fldCharType="separate"/>
              <w:t>26</w:t>
              <w:fldChar w:fldCharType="end"/>
            </w:r>
          </w:hyperlink>
        </w:p>
        <w:p w:rsidR="00E06EA1" w:rsidRDefault="00025830" w:rsidP="00E06EA1">
          <w:pPr>
            <w:spacing w:before="0"/>
            <w:rPr>
              <w:noProof/>
            </w:rPr>
          </w:pPr>
          <w:r>
            <w:rPr>
              <w:noProof/>
            </w:rPr>
            <w:fldChar w:fldCharType="end"/>
          </w:r>
        </w:p>
      </w:sdtContent>
    </w:sdt>
    <w:p w:rsidR="00025830" w:rsidRDefault="00025830" w:rsidP="00025830">
      <w:pPr>
        <w:pStyle w:val="Heading2"/>
      </w:pPr>
      <w:bookmarkStart w:id="0" w:name="_Toc475341319"/>
      <w:r>
        <w:t>Abbreviations</w:t>
      </w:r>
      <w:bookmarkEnd w:id="0"/>
    </w:p>
    <w:tbl>
      <w:tblPr>
        <w:tblStyle w:val="TableGrid"/>
        <w:tblW w:w="5000" w:type="pct"/>
        <w:tblLook w:val="04A0" w:firstRow="1" w:lastRow="0" w:firstColumn="1" w:lastColumn="0" w:noHBand="0" w:noVBand="1"/>
      </w:tblPr>
      <w:tblGrid>
        <w:gridCol w:w="2662"/>
        <w:gridCol w:w="7090"/>
      </w:tblGrid>
      <w:tr w:rsidR="00DB22B3" w:rsidRPr="00DB22B3" w:rsidTr="00DB22B3">
        <w:trPr>
          <w:cnfStyle w:val="100000000000" w:firstRow="1" w:lastRow="0" w:firstColumn="0" w:lastColumn="0" w:oddVBand="0" w:evenVBand="0" w:oddHBand="0" w:evenHBand="0" w:firstRowFirstColumn="0" w:firstRowLastColumn="0" w:lastRowFirstColumn="0" w:lastRowLastColumn="0"/>
          <w:trHeight w:val="20"/>
        </w:trPr>
        <w:tc>
          <w:tcPr>
            <w:tcW w:w="1365" w:type="pct"/>
          </w:tcPr>
          <w:p w:rsidR="00DB22B3" w:rsidRPr="00DB22B3" w:rsidRDefault="00DB22B3" w:rsidP="00DB22B3">
            <w:pPr>
              <w:spacing w:before="100" w:beforeAutospacing="1" w:after="100" w:afterAutospacing="1" w:line="240" w:lineRule="auto"/>
              <w:contextualSpacing/>
              <w:rPr>
                <w:rFonts w:ascii="Times New Roman" w:hAnsi="Times New Roman" w:cs="Times New Roman"/>
              </w:rPr>
            </w:pPr>
            <w:r>
              <w:rPr>
                <w:rFonts w:ascii="Times New Roman" w:hAnsi="Times New Roman" w:cs="Times New Roman"/>
              </w:rPr>
              <w:t>AAMI</w:t>
            </w:r>
          </w:p>
        </w:tc>
        <w:tc>
          <w:tcPr>
            <w:tcW w:w="3635" w:type="pct"/>
          </w:tcPr>
          <w:p w:rsidR="00DB22B3" w:rsidRPr="00DB22B3" w:rsidRDefault="00DB22B3" w:rsidP="00DB22B3">
            <w:pPr>
              <w:spacing w:before="100" w:beforeAutospacing="1" w:after="100" w:afterAutospacing="1" w:line="240" w:lineRule="auto"/>
              <w:contextualSpacing/>
              <w:rPr>
                <w:rFonts w:ascii="Times New Roman" w:hAnsi="Times New Roman" w:cs="Times New Roman"/>
              </w:rPr>
            </w:pPr>
            <w:r>
              <w:rPr>
                <w:rFonts w:ascii="Times New Roman" w:hAnsi="Times New Roman" w:cs="Times New Roman"/>
              </w:rPr>
              <w:t>Age Associated Memory Impairment</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ACE</w:t>
            </w:r>
          </w:p>
        </w:tc>
        <w:tc>
          <w:tcPr>
            <w:tcW w:w="3635" w:type="pct"/>
          </w:tcPr>
          <w:p w:rsidR="00DB22B3" w:rsidRPr="00DB22B3" w:rsidRDefault="00DB22B3" w:rsidP="00DB22B3">
            <w:pPr>
              <w:spacing w:before="100" w:beforeAutospacing="1" w:after="100" w:afterAutospacing="1" w:line="240" w:lineRule="auto"/>
              <w:contextualSpacing/>
            </w:pPr>
            <w:r>
              <w:t>Angiotensin-converting-enzyme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A.D</w:t>
            </w:r>
          </w:p>
        </w:tc>
        <w:tc>
          <w:tcPr>
            <w:tcW w:w="3635" w:type="pct"/>
          </w:tcPr>
          <w:p w:rsidR="00025830" w:rsidRPr="00DB22B3" w:rsidRDefault="00025830" w:rsidP="00DB22B3">
            <w:pPr>
              <w:spacing w:before="100" w:beforeAutospacing="1" w:after="100" w:afterAutospacing="1" w:line="240" w:lineRule="auto"/>
              <w:contextualSpacing/>
            </w:pPr>
            <w:r>
              <w:t>Anno Domini</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ADD</w:t>
            </w:r>
          </w:p>
        </w:tc>
        <w:tc>
          <w:tcPr>
            <w:tcW w:w="3635" w:type="pct"/>
          </w:tcPr>
          <w:p w:rsidR="00025830" w:rsidRPr="00DB22B3" w:rsidRDefault="00025830" w:rsidP="00DB22B3">
            <w:pPr>
              <w:spacing w:before="100" w:beforeAutospacing="1" w:after="100" w:afterAutospacing="1" w:line="240" w:lineRule="auto"/>
              <w:contextualSpacing/>
            </w:pPr>
            <w:r>
              <w:t>Attention Deficit Disorder</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ADHD</w:t>
              <w:tab/>
            </w:r>
          </w:p>
        </w:tc>
        <w:tc>
          <w:tcPr>
            <w:tcW w:w="3635" w:type="pct"/>
          </w:tcPr>
          <w:p w:rsidR="00025830" w:rsidRPr="00DB22B3" w:rsidRDefault="00025830" w:rsidP="00DB22B3">
            <w:pPr>
              <w:spacing w:before="100" w:beforeAutospacing="1" w:after="100" w:afterAutospacing="1" w:line="240" w:lineRule="auto"/>
              <w:contextualSpacing/>
            </w:pPr>
            <w:r>
              <w:t>Attention Deficit Hyperactivity Disorder</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ANOVA</w:t>
            </w:r>
          </w:p>
        </w:tc>
        <w:tc>
          <w:tcPr>
            <w:tcW w:w="3635" w:type="pct"/>
          </w:tcPr>
          <w:p w:rsidR="00DB22B3" w:rsidRPr="00DB22B3" w:rsidRDefault="00DB22B3" w:rsidP="00DB22B3">
            <w:pPr>
              <w:spacing w:before="100" w:beforeAutospacing="1" w:after="100" w:afterAutospacing="1" w:line="240" w:lineRule="auto"/>
              <w:contextualSpacing/>
            </w:pPr>
            <w:r>
              <w:t>Analysis of Variance</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ARTG</w:t>
            </w:r>
          </w:p>
        </w:tc>
        <w:tc>
          <w:tcPr>
            <w:tcW w:w="3635" w:type="pct"/>
          </w:tcPr>
          <w:p w:rsidR="00DB22B3" w:rsidRPr="00DB22B3" w:rsidRDefault="00DB22B3" w:rsidP="00DB22B3">
            <w:pPr>
              <w:spacing w:before="100" w:beforeAutospacing="1" w:after="100" w:afterAutospacing="1" w:line="240" w:lineRule="auto"/>
              <w:contextualSpacing/>
            </w:pPr>
            <w:r>
              <w:t>Australian Register of Therapeutic Goods</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AVLT</w:t>
            </w:r>
          </w:p>
        </w:tc>
        <w:tc>
          <w:tcPr>
            <w:tcW w:w="3635" w:type="pct"/>
          </w:tcPr>
          <w:p w:rsidR="00025830" w:rsidRPr="00DB22B3" w:rsidRDefault="00025830" w:rsidP="00DB22B3">
            <w:pPr>
              <w:spacing w:before="100" w:beforeAutospacing="1" w:after="100" w:afterAutospacing="1" w:line="240" w:lineRule="auto"/>
              <w:contextualSpacing/>
            </w:pPr>
            <w:r>
              <w:t>Auditory Verbal Learning Task</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BP-I</w:t>
            </w:r>
          </w:p>
        </w:tc>
        <w:tc>
          <w:tcPr>
            <w:tcW w:w="3635" w:type="pct"/>
          </w:tcPr>
          <w:p w:rsidR="00025830" w:rsidRPr="00DB22B3" w:rsidRDefault="00025830" w:rsidP="00DB22B3">
            <w:pPr>
              <w:spacing w:before="100" w:beforeAutospacing="1" w:after="100" w:afterAutospacing="1" w:line="240" w:lineRule="auto"/>
              <w:contextualSpacing/>
            </w:pPr>
            <w:r>
              <w:t>Bacopaside I</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BCE</w:t>
            </w:r>
          </w:p>
        </w:tc>
        <w:tc>
          <w:tcPr>
            <w:tcW w:w="3635" w:type="pct"/>
          </w:tcPr>
          <w:p w:rsidR="00025830" w:rsidRPr="00DB22B3" w:rsidRDefault="00025830" w:rsidP="00DB22B3">
            <w:pPr>
              <w:spacing w:before="100" w:beforeAutospacing="1" w:after="100" w:afterAutospacing="1" w:line="240" w:lineRule="auto"/>
              <w:contextualSpacing/>
            </w:pPr>
            <w:r>
              <w:t>Before the Common Era</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BBB</w:t>
            </w:r>
          </w:p>
        </w:tc>
        <w:tc>
          <w:tcPr>
            <w:tcW w:w="3635" w:type="pct"/>
          </w:tcPr>
          <w:p w:rsidR="00025830" w:rsidRPr="00DB22B3" w:rsidRDefault="00025830" w:rsidP="00DB22B3">
            <w:pPr>
              <w:spacing w:before="100" w:beforeAutospacing="1" w:after="100" w:afterAutospacing="1" w:line="240" w:lineRule="auto"/>
              <w:contextualSpacing/>
            </w:pPr>
            <w:r>
              <w:t>Blood Brain Barrier</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BM extract</w:t>
            </w:r>
          </w:p>
        </w:tc>
        <w:tc>
          <w:tcPr>
            <w:tcW w:w="3635" w:type="pct"/>
          </w:tcPr>
          <w:p w:rsidR="00025830" w:rsidRPr="00DB22B3" w:rsidRDefault="00025830" w:rsidP="00DB22B3">
            <w:pPr>
              <w:spacing w:before="100" w:beforeAutospacing="1" w:after="100" w:afterAutospacing="1" w:line="240" w:lineRule="auto"/>
              <w:contextualSpacing/>
            </w:pPr>
            <w:r>
              <w:rPr>
                <w:i/>
              </w:rPr>
              <w:t>Bacopa monnieri</w:t>
            </w:r>
            <w:r>
              <w:t xml:space="preserve"> extract</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CDB</w:t>
            </w:r>
          </w:p>
        </w:tc>
        <w:tc>
          <w:tcPr>
            <w:tcW w:w="3635" w:type="pct"/>
          </w:tcPr>
          <w:p w:rsidR="00025830" w:rsidRPr="00DB22B3" w:rsidRDefault="00025830" w:rsidP="00DB22B3">
            <w:pPr>
              <w:spacing w:before="100" w:beforeAutospacing="1" w:after="100" w:afterAutospacing="1" w:line="240" w:lineRule="auto"/>
              <w:contextualSpacing/>
            </w:pPr>
            <w:r>
              <w:t>Cognitive Demand Battery</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CDR</w:t>
            </w:r>
          </w:p>
        </w:tc>
        <w:tc>
          <w:tcPr>
            <w:tcW w:w="3635" w:type="pct"/>
          </w:tcPr>
          <w:p w:rsidR="00025830" w:rsidRPr="00DB22B3" w:rsidRDefault="00025830" w:rsidP="00DB22B3">
            <w:pPr>
              <w:spacing w:before="100" w:beforeAutospacing="1" w:after="100" w:afterAutospacing="1" w:line="240" w:lineRule="auto"/>
              <w:contextualSpacing/>
            </w:pPr>
            <w:r>
              <w:t>Cognitive Drug Research</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CDRI</w:t>
            </w:r>
          </w:p>
        </w:tc>
        <w:tc>
          <w:tcPr>
            <w:tcW w:w="3635" w:type="pct"/>
          </w:tcPr>
          <w:p w:rsidR="00025830" w:rsidRPr="00DB22B3" w:rsidRDefault="00025830" w:rsidP="00DB22B3">
            <w:pPr>
              <w:spacing w:before="100" w:beforeAutospacing="1" w:after="100" w:afterAutospacing="1" w:line="240" w:lineRule="auto"/>
              <w:contextualSpacing/>
            </w:pPr>
            <w:r>
              <w:t>Central Drug Research Institute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 xml:space="preserve">CDRI 08 </w:t>
            </w:r>
          </w:p>
        </w:tc>
        <w:tc>
          <w:tcPr>
            <w:tcW w:w="3635" w:type="pct"/>
          </w:tcPr>
          <w:p w:rsidR="00025830" w:rsidRPr="00DB22B3" w:rsidRDefault="00025830" w:rsidP="00DB22B3">
            <w:pPr>
              <w:spacing w:before="100" w:beforeAutospacing="1" w:after="100" w:afterAutospacing="1" w:line="240" w:lineRule="auto"/>
              <w:contextualSpacing/>
            </w:pPr>
            <w:r>
              <w:rPr>
                <w:i/>
              </w:rPr>
              <w:t>Bacopa monnieri</w:t>
            </w:r>
            <w:r>
              <w:t xml:space="preserve"> whole plant extract dry concentrate, standardized, active substance.</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CNS</w:t>
            </w:r>
          </w:p>
        </w:tc>
        <w:tc>
          <w:tcPr>
            <w:tcW w:w="3635" w:type="pct"/>
          </w:tcPr>
          <w:p w:rsidR="00DB22B3" w:rsidRPr="00DB22B3" w:rsidRDefault="00DB22B3" w:rsidP="00DB22B3">
            <w:pPr>
              <w:spacing w:before="100" w:beforeAutospacing="1" w:after="100" w:afterAutospacing="1" w:line="240" w:lineRule="auto"/>
              <w:contextualSpacing/>
            </w:pPr>
            <w:r>
              <w:t>Central Nervous System</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CT</w:t>
            </w:r>
          </w:p>
        </w:tc>
        <w:tc>
          <w:tcPr>
            <w:tcW w:w="3635" w:type="pct"/>
          </w:tcPr>
          <w:p w:rsidR="00DB22B3" w:rsidRPr="00DB22B3" w:rsidRDefault="00DB22B3" w:rsidP="00DB22B3">
            <w:pPr>
              <w:spacing w:before="100" w:beforeAutospacing="1" w:after="100" w:afterAutospacing="1" w:line="240" w:lineRule="auto"/>
              <w:contextualSpacing/>
            </w:pPr>
            <w:r>
              <w:t>Clinical Trial</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Cmax</w:t>
            </w:r>
          </w:p>
        </w:tc>
        <w:tc>
          <w:tcPr>
            <w:tcW w:w="3635" w:type="pct"/>
          </w:tcPr>
          <w:p w:rsidR="00025830" w:rsidRPr="00DB22B3" w:rsidRDefault="00025830" w:rsidP="00DB22B3">
            <w:pPr>
              <w:spacing w:before="100" w:beforeAutospacing="1" w:after="100" w:afterAutospacing="1" w:line="240" w:lineRule="auto"/>
              <w:contextualSpacing/>
            </w:pPr>
            <w:r>
              <w:t>Maximum plasma concentration</w:t>
            </w:r>
          </w:p>
        </w:tc>
      </w:tr>
      <w:tr w:rsidR="00B77F82" w:rsidRPr="00DB22B3" w:rsidTr="00DB22B3">
        <w:trPr>
          <w:trHeight w:val="20"/>
        </w:trPr>
        <w:tc>
          <w:tcPr>
            <w:tcW w:w="1365" w:type="pct"/>
          </w:tcPr>
          <w:p w:rsidR="00B77F82" w:rsidRPr="00DB22B3" w:rsidRDefault="00B77F82" w:rsidP="00DB22B3">
            <w:pPr>
              <w:spacing w:before="100" w:beforeAutospacing="1" w:after="100" w:afterAutospacing="1" w:line="240" w:lineRule="auto"/>
              <w:contextualSpacing/>
            </w:pPr>
            <w:r>
              <w:t>CYP</w:t>
            </w:r>
          </w:p>
        </w:tc>
        <w:tc>
          <w:tcPr>
            <w:tcW w:w="3635" w:type="pct"/>
          </w:tcPr>
          <w:p w:rsidR="00B77F82" w:rsidRPr="00DB22B3" w:rsidRDefault="00B77F82" w:rsidP="00DB22B3">
            <w:pPr>
              <w:spacing w:before="100" w:beforeAutospacing="1" w:after="100" w:afterAutospacing="1" w:line="240" w:lineRule="auto"/>
              <w:contextualSpacing/>
            </w:pPr>
            <w:r>
              <w:t>Cytochrome</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DBP</w:t>
            </w:r>
          </w:p>
        </w:tc>
        <w:tc>
          <w:tcPr>
            <w:tcW w:w="3635" w:type="pct"/>
          </w:tcPr>
          <w:p w:rsidR="00DB22B3" w:rsidRPr="00DB22B3" w:rsidRDefault="00DB22B3" w:rsidP="00DB22B3">
            <w:pPr>
              <w:spacing w:before="100" w:beforeAutospacing="1" w:after="100" w:afterAutospacing="1" w:line="240" w:lineRule="auto"/>
              <w:contextualSpacing/>
            </w:pPr>
            <w:r>
              <w:t>Diastolic Blood Pressure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DLC</w:t>
            </w:r>
          </w:p>
        </w:tc>
        <w:tc>
          <w:tcPr>
            <w:tcW w:w="3635" w:type="pct"/>
          </w:tcPr>
          <w:p w:rsidR="00025830" w:rsidRPr="00DB22B3" w:rsidRDefault="00025830" w:rsidP="00DB22B3">
            <w:pPr>
              <w:spacing w:before="100" w:beforeAutospacing="1" w:after="100" w:afterAutospacing="1" w:line="240" w:lineRule="auto"/>
              <w:contextualSpacing/>
            </w:pPr>
            <w:r>
              <w:t>Differential Leucocyte Count</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DNA</w:t>
            </w:r>
          </w:p>
        </w:tc>
        <w:tc>
          <w:tcPr>
            <w:tcW w:w="3635" w:type="pct"/>
          </w:tcPr>
          <w:p w:rsidR="00025830" w:rsidRPr="00DB22B3" w:rsidRDefault="00025830" w:rsidP="00DB22B3">
            <w:pPr>
              <w:spacing w:before="100" w:beforeAutospacing="1" w:after="100" w:afterAutospacing="1" w:line="240" w:lineRule="auto"/>
              <w:contextualSpacing/>
            </w:pPr>
            <w:r>
              <w:t>Deoxyribonucleic Acid</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DSM-IV</w:t>
            </w:r>
          </w:p>
        </w:tc>
        <w:tc>
          <w:tcPr>
            <w:tcW w:w="3635" w:type="pct"/>
          </w:tcPr>
          <w:p w:rsidR="00DB22B3" w:rsidRPr="00DB22B3" w:rsidRDefault="00DB22B3" w:rsidP="00DB22B3">
            <w:pPr>
              <w:spacing w:before="100" w:beforeAutospacing="1" w:after="100" w:afterAutospacing="1" w:line="240" w:lineRule="auto"/>
              <w:contextualSpacing/>
            </w:pPr>
            <w:r>
              <w:t>Diagnostic and Statistical Manual of Mental Disorders, Fourth Edition</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DOTES</w:t>
            </w:r>
          </w:p>
        </w:tc>
        <w:tc>
          <w:tcPr>
            <w:tcW w:w="3635" w:type="pct"/>
          </w:tcPr>
          <w:p w:rsidR="00DB22B3" w:rsidRPr="00DB22B3" w:rsidRDefault="00DB22B3" w:rsidP="00DB22B3">
            <w:pPr>
              <w:spacing w:before="100" w:beforeAutospacing="1" w:after="100" w:afterAutospacing="1" w:line="240" w:lineRule="auto"/>
              <w:contextualSpacing/>
            </w:pPr>
            <w:r>
              <w:t>Dosage Record and Treatment Emergent Symptom Scale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ECG</w:t>
            </w:r>
          </w:p>
        </w:tc>
        <w:tc>
          <w:tcPr>
            <w:tcW w:w="3635" w:type="pct"/>
          </w:tcPr>
          <w:p w:rsidR="00025830" w:rsidRPr="00DB22B3" w:rsidRDefault="00025830" w:rsidP="00DB22B3">
            <w:pPr>
              <w:spacing w:before="100" w:beforeAutospacing="1" w:after="100" w:afterAutospacing="1" w:line="240" w:lineRule="auto"/>
              <w:contextualSpacing/>
            </w:pPr>
            <w:r>
              <w:t>Electrocardiogram</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EDTA</w:t>
            </w:r>
          </w:p>
        </w:tc>
        <w:tc>
          <w:tcPr>
            <w:tcW w:w="3635" w:type="pct"/>
          </w:tcPr>
          <w:p w:rsidR="00DB22B3" w:rsidRPr="00DB22B3" w:rsidRDefault="00DB22B3" w:rsidP="00DB22B3">
            <w:pPr>
              <w:spacing w:before="100" w:beforeAutospacing="1" w:after="100" w:afterAutospacing="1" w:line="240" w:lineRule="auto"/>
              <w:contextualSpacing/>
            </w:pPr>
            <w:r>
              <w:t>Ethylenediaminetetraacetic acid</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FBS</w:t>
            </w:r>
          </w:p>
        </w:tc>
        <w:tc>
          <w:tcPr>
            <w:tcW w:w="3635" w:type="pct"/>
          </w:tcPr>
          <w:p w:rsidR="00025830" w:rsidRPr="00DB22B3" w:rsidRDefault="00025830" w:rsidP="00DB22B3">
            <w:pPr>
              <w:spacing w:before="100" w:beforeAutospacing="1" w:after="100" w:afterAutospacing="1" w:line="240" w:lineRule="auto"/>
              <w:contextualSpacing/>
            </w:pPr>
            <w:r>
              <w:t>Fasting Blood Sugar</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GCP</w:t>
            </w:r>
          </w:p>
        </w:tc>
        <w:tc>
          <w:tcPr>
            <w:tcW w:w="3635" w:type="pct"/>
          </w:tcPr>
          <w:p w:rsidR="00025830" w:rsidRPr="00DB22B3" w:rsidRDefault="00025830" w:rsidP="00DB22B3">
            <w:pPr>
              <w:spacing w:before="100" w:beforeAutospacing="1" w:after="100" w:afterAutospacing="1" w:line="240" w:lineRule="auto"/>
              <w:contextualSpacing/>
            </w:pPr>
            <w:r>
              <w:t>Good Clinical Practice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GPV</w:t>
            </w:r>
          </w:p>
        </w:tc>
        <w:tc>
          <w:tcPr>
            <w:tcW w:w="3635" w:type="pct"/>
          </w:tcPr>
          <w:p w:rsidR="00025830" w:rsidRPr="00DB22B3" w:rsidRDefault="00025830" w:rsidP="00DB22B3">
            <w:pPr>
              <w:spacing w:before="100" w:beforeAutospacing="1" w:after="100" w:afterAutospacing="1" w:line="240" w:lineRule="auto"/>
              <w:contextualSpacing/>
            </w:pPr>
            <w:r>
              <w:t>Good Pharmacovigilance Practice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HDL</w:t>
            </w:r>
          </w:p>
        </w:tc>
        <w:tc>
          <w:tcPr>
            <w:tcW w:w="3635" w:type="pct"/>
          </w:tcPr>
          <w:p w:rsidR="00025830" w:rsidRPr="00DB22B3" w:rsidRDefault="00025830" w:rsidP="00DB22B3">
            <w:pPr>
              <w:spacing w:before="100" w:beforeAutospacing="1" w:after="100" w:afterAutospacing="1" w:line="240" w:lineRule="auto"/>
              <w:contextualSpacing/>
            </w:pPr>
            <w:r>
              <w:t>High Density Lipoprotein</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HPLC</w:t>
            </w:r>
          </w:p>
        </w:tc>
        <w:tc>
          <w:tcPr>
            <w:tcW w:w="3635" w:type="pct"/>
          </w:tcPr>
          <w:p w:rsidR="00025830" w:rsidRPr="00DB22B3" w:rsidRDefault="00025830" w:rsidP="00DB22B3">
            <w:pPr>
              <w:spacing w:before="100" w:beforeAutospacing="1" w:after="100" w:afterAutospacing="1" w:line="240" w:lineRule="auto"/>
              <w:contextualSpacing/>
            </w:pPr>
            <w:r>
              <w:t>High Performance Liquid Chromatography</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ICD</w:t>
            </w:r>
          </w:p>
        </w:tc>
        <w:tc>
          <w:tcPr>
            <w:tcW w:w="3635" w:type="pct"/>
          </w:tcPr>
          <w:p w:rsidR="00DB22B3" w:rsidRPr="00DB22B3" w:rsidRDefault="00DB22B3" w:rsidP="00DB22B3">
            <w:pPr>
              <w:spacing w:before="100" w:beforeAutospacing="1" w:after="100" w:afterAutospacing="1" w:line="240" w:lineRule="auto"/>
              <w:contextualSpacing/>
            </w:pPr>
            <w:r>
              <w:t>International Classification of Diseases</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ICH</w:t>
            </w:r>
          </w:p>
        </w:tc>
        <w:tc>
          <w:tcPr>
            <w:tcW w:w="3635" w:type="pct"/>
          </w:tcPr>
          <w:p w:rsidR="00025830" w:rsidRPr="00DB22B3" w:rsidRDefault="00025830" w:rsidP="00DB22B3">
            <w:pPr>
              <w:spacing w:before="100" w:beforeAutospacing="1" w:after="100" w:afterAutospacing="1" w:line="240" w:lineRule="auto"/>
              <w:contextualSpacing/>
            </w:pPr>
            <w:r>
              <w:t xml:space="preserve">International Council for Harmonisation of Technical Requirements for Pharmaceuticals for Human Use </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LDL</w:t>
            </w:r>
          </w:p>
        </w:tc>
        <w:tc>
          <w:tcPr>
            <w:tcW w:w="3635" w:type="pct"/>
          </w:tcPr>
          <w:p w:rsidR="00025830" w:rsidRPr="00DB22B3" w:rsidRDefault="00025830" w:rsidP="00DB22B3">
            <w:pPr>
              <w:spacing w:before="100" w:beforeAutospacing="1" w:after="100" w:afterAutospacing="1" w:line="240" w:lineRule="auto"/>
              <w:contextualSpacing/>
            </w:pPr>
            <w:r>
              <w:t>Low Density Lipoprotein</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MMSE</w:t>
            </w:r>
          </w:p>
        </w:tc>
        <w:tc>
          <w:tcPr>
            <w:tcW w:w="3635" w:type="pct"/>
          </w:tcPr>
          <w:p w:rsidR="00DB22B3" w:rsidRPr="00DB22B3" w:rsidRDefault="00DB22B3" w:rsidP="00DB22B3">
            <w:pPr>
              <w:spacing w:before="100" w:beforeAutospacing="1" w:after="100" w:afterAutospacing="1" w:line="240" w:lineRule="auto"/>
              <w:contextualSpacing/>
            </w:pPr>
            <w:r>
              <w:t>Mini Mental State Examination</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MRI</w:t>
            </w:r>
          </w:p>
        </w:tc>
        <w:tc>
          <w:tcPr>
            <w:tcW w:w="3635" w:type="pct"/>
          </w:tcPr>
          <w:p w:rsidR="00025830" w:rsidRPr="00DB22B3" w:rsidRDefault="00025830" w:rsidP="00DB22B3">
            <w:pPr>
              <w:spacing w:before="100" w:beforeAutospacing="1" w:after="100" w:afterAutospacing="1" w:line="240" w:lineRule="auto"/>
              <w:contextualSpacing/>
            </w:pPr>
            <w:r>
              <w:t>Magnetic Resonance Imaging</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MTF</w:t>
            </w:r>
          </w:p>
        </w:tc>
        <w:tc>
          <w:tcPr>
            <w:tcW w:w="3635" w:type="pct"/>
          </w:tcPr>
          <w:p w:rsidR="00025830" w:rsidRPr="00DB22B3" w:rsidRDefault="00025830" w:rsidP="00DB22B3">
            <w:pPr>
              <w:spacing w:before="100" w:beforeAutospacing="1" w:after="100" w:afterAutospacing="1" w:line="240" w:lineRule="auto"/>
              <w:contextualSpacing/>
            </w:pPr>
            <w:r>
              <w:t>Multi-Task Framework</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NHP</w:t>
            </w:r>
          </w:p>
        </w:tc>
        <w:tc>
          <w:tcPr>
            <w:tcW w:w="3635" w:type="pct"/>
          </w:tcPr>
          <w:p w:rsidR="00DB22B3" w:rsidRPr="00DB22B3" w:rsidRDefault="00DB22B3" w:rsidP="00DB22B3">
            <w:pPr>
              <w:spacing w:before="100" w:beforeAutospacing="1" w:after="100" w:afterAutospacing="1" w:line="240" w:lineRule="auto"/>
              <w:contextualSpacing/>
            </w:pPr>
            <w:r>
              <w:t>Natural Health Product</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NLT</w:t>
            </w:r>
          </w:p>
        </w:tc>
        <w:tc>
          <w:tcPr>
            <w:tcW w:w="3635" w:type="pct"/>
          </w:tcPr>
          <w:p w:rsidR="00025830" w:rsidRPr="00DB22B3" w:rsidRDefault="00025830" w:rsidP="00DB22B3">
            <w:pPr>
              <w:spacing w:before="100" w:beforeAutospacing="1" w:after="100" w:afterAutospacing="1" w:line="240" w:lineRule="auto"/>
              <w:contextualSpacing/>
            </w:pPr>
            <w:r>
              <w:t>Not Less Than</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PQ</w:t>
            </w:r>
          </w:p>
        </w:tc>
        <w:tc>
          <w:tcPr>
            <w:tcW w:w="3635" w:type="pct"/>
          </w:tcPr>
          <w:p w:rsidR="00025830" w:rsidRPr="00DB22B3" w:rsidRDefault="00025830" w:rsidP="00DB22B3">
            <w:pPr>
              <w:spacing w:before="100" w:beforeAutospacing="1" w:after="100" w:afterAutospacing="1" w:line="240" w:lineRule="auto"/>
              <w:contextualSpacing/>
            </w:pPr>
            <w:r>
              <w:t>Paraquat</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PBDE-209</w:t>
            </w:r>
          </w:p>
        </w:tc>
        <w:tc>
          <w:tcPr>
            <w:tcW w:w="3635" w:type="pct"/>
          </w:tcPr>
          <w:p w:rsidR="00025830" w:rsidRPr="00DB22B3" w:rsidRDefault="00025830" w:rsidP="00DB22B3">
            <w:pPr>
              <w:spacing w:before="100" w:beforeAutospacing="1" w:after="100" w:afterAutospacing="1" w:line="240" w:lineRule="auto"/>
              <w:contextualSpacing/>
            </w:pPr>
            <w:r>
              <w:t>Decabrominated diphenyl ether</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PSAPP</w:t>
            </w:r>
          </w:p>
        </w:tc>
        <w:tc>
          <w:tcPr>
            <w:tcW w:w="3635" w:type="pct"/>
          </w:tcPr>
          <w:p w:rsidR="00DB22B3" w:rsidRPr="00DB22B3" w:rsidRDefault="00DB22B3" w:rsidP="00DB22B3">
            <w:pPr>
              <w:spacing w:before="100" w:beforeAutospacing="1" w:after="100" w:afterAutospacing="1" w:line="240" w:lineRule="auto"/>
              <w:contextualSpacing/>
            </w:pPr>
            <w:r>
              <w:t>The double transgenic mice (APP</w:t>
            </w:r>
            <w:r>
              <w:rPr>
                <w:vertAlign w:val="subscript"/>
              </w:rPr>
              <w:t>K670NM671L</w:t>
            </w:r>
            <w:r>
              <w:t>/PS-1</w:t>
            </w:r>
            <w:r>
              <w:rPr>
                <w:vertAlign w:val="subscript"/>
              </w:rPr>
              <w:t>M146L</w:t>
            </w:r>
            <w:r>
              <w:t>) line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PYC</w:t>
            </w:r>
          </w:p>
        </w:tc>
        <w:tc>
          <w:tcPr>
            <w:tcW w:w="3635" w:type="pct"/>
          </w:tcPr>
          <w:p w:rsidR="00025830" w:rsidRPr="00DB22B3" w:rsidRDefault="00025830" w:rsidP="00DB22B3">
            <w:pPr>
              <w:spacing w:before="100" w:beforeAutospacing="1" w:after="100" w:afterAutospacing="1" w:line="240" w:lineRule="auto"/>
              <w:contextualSpacing/>
            </w:pPr>
            <w:r>
              <w:t>Pycnogenol</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RBC</w:t>
            </w:r>
          </w:p>
        </w:tc>
        <w:tc>
          <w:tcPr>
            <w:tcW w:w="3635" w:type="pct"/>
          </w:tcPr>
          <w:p w:rsidR="00025830" w:rsidRPr="00DB22B3" w:rsidRDefault="00025830" w:rsidP="00DB22B3">
            <w:pPr>
              <w:spacing w:before="100" w:beforeAutospacing="1" w:after="100" w:afterAutospacing="1" w:line="240" w:lineRule="auto"/>
              <w:contextualSpacing/>
            </w:pPr>
            <w:r>
              <w:t>Red Blood Cell Count</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ROS</w:t>
            </w:r>
          </w:p>
        </w:tc>
        <w:tc>
          <w:tcPr>
            <w:tcW w:w="3635" w:type="pct"/>
          </w:tcPr>
          <w:p w:rsidR="00025830" w:rsidRPr="00DB22B3" w:rsidRDefault="00025830" w:rsidP="00DB22B3">
            <w:pPr>
              <w:spacing w:before="100" w:beforeAutospacing="1" w:after="100" w:afterAutospacing="1" w:line="240" w:lineRule="auto"/>
              <w:contextualSpacing/>
            </w:pPr>
            <w:r>
              <w:t>Reactive Oxygen Species</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SBP</w:t>
            </w:r>
          </w:p>
        </w:tc>
        <w:tc>
          <w:tcPr>
            <w:tcW w:w="3635" w:type="pct"/>
          </w:tcPr>
          <w:p w:rsidR="00DB22B3" w:rsidRPr="00DB22B3" w:rsidRDefault="00DB22B3" w:rsidP="00DB22B3">
            <w:pPr>
              <w:spacing w:before="100" w:beforeAutospacing="1" w:after="100" w:afterAutospacing="1" w:line="240" w:lineRule="auto"/>
              <w:contextualSpacing/>
            </w:pPr>
            <w:r>
              <w:t>Systolic Blood Pressure</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SD</w:t>
            </w:r>
          </w:p>
        </w:tc>
        <w:tc>
          <w:tcPr>
            <w:tcW w:w="3635" w:type="pct"/>
          </w:tcPr>
          <w:p w:rsidR="00DB22B3" w:rsidRPr="00DB22B3" w:rsidRDefault="00DB22B3" w:rsidP="00DB22B3">
            <w:pPr>
              <w:spacing w:before="100" w:beforeAutospacing="1" w:after="100" w:afterAutospacing="1" w:line="240" w:lineRule="auto"/>
              <w:contextualSpacing/>
            </w:pPr>
            <w:r>
              <w:t>Standard Deviation</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SEM</w:t>
            </w:r>
          </w:p>
        </w:tc>
        <w:tc>
          <w:tcPr>
            <w:tcW w:w="3635" w:type="pct"/>
          </w:tcPr>
          <w:p w:rsidR="00025830" w:rsidRPr="00DB22B3" w:rsidRDefault="00025830" w:rsidP="00DB22B3">
            <w:pPr>
              <w:spacing w:before="100" w:beforeAutospacing="1" w:after="100" w:afterAutospacing="1" w:line="240" w:lineRule="auto"/>
              <w:contextualSpacing/>
            </w:pPr>
            <w:r>
              <w:t>Standard error of the mean</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LMC</w:t>
            </w:r>
          </w:p>
        </w:tc>
        <w:tc>
          <w:tcPr>
            <w:tcW w:w="3635" w:type="pct"/>
          </w:tcPr>
          <w:p w:rsidR="00025830" w:rsidRPr="00DB22B3" w:rsidRDefault="00025830" w:rsidP="00DB22B3">
            <w:pPr>
              <w:spacing w:before="100" w:beforeAutospacing="1" w:after="100" w:afterAutospacing="1" w:line="240" w:lineRule="auto"/>
              <w:contextualSpacing/>
            </w:pPr>
            <w:r>
              <w:t>Lumen Marketing Company</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SGOT</w:t>
            </w:r>
          </w:p>
        </w:tc>
        <w:tc>
          <w:tcPr>
            <w:tcW w:w="3635" w:type="pct"/>
          </w:tcPr>
          <w:p w:rsidR="00025830" w:rsidRPr="00DB22B3" w:rsidRDefault="00025830" w:rsidP="00DB22B3">
            <w:pPr>
              <w:spacing w:before="100" w:beforeAutospacing="1" w:after="100" w:afterAutospacing="1" w:line="240" w:lineRule="auto"/>
              <w:contextualSpacing/>
            </w:pPr>
            <w:r>
              <w:t>Serum Glutamic Oxalacetic Transaminase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 xml:space="preserve">SGPT </w:t>
            </w:r>
          </w:p>
        </w:tc>
        <w:tc>
          <w:tcPr>
            <w:tcW w:w="3635" w:type="pct"/>
          </w:tcPr>
          <w:p w:rsidR="00025830" w:rsidRPr="00DB22B3" w:rsidRDefault="00025830" w:rsidP="00DB22B3">
            <w:pPr>
              <w:spacing w:before="100" w:beforeAutospacing="1" w:after="100" w:afterAutospacing="1" w:line="240" w:lineRule="auto"/>
              <w:contextualSpacing/>
            </w:pPr>
            <w:r>
              <w:t>Serum Glutamic Pyruvic Transaminase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SOD</w:t>
            </w:r>
          </w:p>
        </w:tc>
        <w:tc>
          <w:tcPr>
            <w:tcW w:w="3635" w:type="pct"/>
          </w:tcPr>
          <w:p w:rsidR="00025830" w:rsidRPr="00DB22B3" w:rsidRDefault="00025830" w:rsidP="00DB22B3">
            <w:pPr>
              <w:spacing w:before="100" w:beforeAutospacing="1" w:after="100" w:afterAutospacing="1" w:line="240" w:lineRule="auto"/>
              <w:contextualSpacing/>
            </w:pPr>
            <w:r>
              <w:t>Superoxide Dismutase</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SOP</w:t>
            </w:r>
          </w:p>
        </w:tc>
        <w:tc>
          <w:tcPr>
            <w:tcW w:w="3635" w:type="pct"/>
          </w:tcPr>
          <w:p w:rsidR="00DB22B3" w:rsidRPr="00DB22B3" w:rsidRDefault="00DB22B3" w:rsidP="00DB22B3">
            <w:pPr>
              <w:spacing w:before="100" w:beforeAutospacing="1" w:after="100" w:afterAutospacing="1" w:line="240" w:lineRule="auto"/>
              <w:contextualSpacing/>
            </w:pPr>
            <w:r>
              <w:t>Standard Operating Procedure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T</w:t>
            </w:r>
            <m:oMath>
              <m:r>
                <m:rPr>
                  <m:sty m:val="p"/>
                </m:rPr>
                <w:rPr>
                  <w:rFonts w:ascii="Cambria Math" w:hAnsi="Cambria Math"/>
                </w:rPr>
                <m:t>½</m:t>
              </m:r>
            </m:oMath>
          </w:p>
        </w:tc>
        <w:tc>
          <w:tcPr>
            <w:tcW w:w="3635" w:type="pct"/>
          </w:tcPr>
          <w:p w:rsidR="00025830" w:rsidRPr="00DB22B3" w:rsidRDefault="00025830" w:rsidP="00DB22B3">
            <w:pPr>
              <w:spacing w:before="100" w:beforeAutospacing="1" w:after="100" w:afterAutospacing="1" w:line="240" w:lineRule="auto"/>
              <w:contextualSpacing/>
            </w:pPr>
            <w:r>
              <w:t>Terminal elimination half-life</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TLC</w:t>
            </w:r>
          </w:p>
        </w:tc>
        <w:tc>
          <w:tcPr>
            <w:tcW w:w="3635" w:type="pct"/>
          </w:tcPr>
          <w:p w:rsidR="00025830" w:rsidRPr="00DB22B3" w:rsidRDefault="00025830" w:rsidP="00DB22B3">
            <w:pPr>
              <w:spacing w:before="100" w:beforeAutospacing="1" w:after="100" w:afterAutospacing="1" w:line="240" w:lineRule="auto"/>
              <w:contextualSpacing/>
            </w:pPr>
            <w:r>
              <w:t>Total Leucocyte Count</w:t>
            </w:r>
          </w:p>
        </w:tc>
      </w:tr>
      <w:tr w:rsidR="00025830" w:rsidRPr="00DB22B3" w:rsidTr="00DB22B3">
        <w:trPr>
          <w:trHeight w:val="20"/>
        </w:trPr>
        <w:tc>
          <w:tcPr>
            <w:tcW w:w="1365" w:type="pct"/>
          </w:tcPr>
          <w:p w:rsidR="00025830" w:rsidRPr="00DB22B3" w:rsidRDefault="00025830" w:rsidP="00DB22B3">
            <w:pPr>
              <w:spacing w:before="100" w:beforeAutospacing="1" w:after="100" w:afterAutospacing="1" w:line="240" w:lineRule="auto"/>
              <w:contextualSpacing/>
            </w:pPr>
            <w:r>
              <w:t>USP</w:t>
            </w:r>
          </w:p>
        </w:tc>
        <w:tc>
          <w:tcPr>
            <w:tcW w:w="3635" w:type="pct"/>
          </w:tcPr>
          <w:p w:rsidR="00025830" w:rsidRPr="00DB22B3" w:rsidRDefault="00025830" w:rsidP="00DB22B3">
            <w:pPr>
              <w:spacing w:before="100" w:beforeAutospacing="1" w:after="100" w:afterAutospacing="1" w:line="240" w:lineRule="auto"/>
              <w:contextualSpacing/>
            </w:pPr>
            <w:r>
              <w:t>United States Pharmacopeia</w:t>
            </w:r>
          </w:p>
        </w:tc>
      </w:tr>
      <w:tr w:rsidR="00DB22B3" w:rsidRPr="00DB22B3" w:rsidTr="00DB22B3">
        <w:trPr>
          <w:trHeight w:val="20"/>
        </w:trPr>
        <w:tc>
          <w:tcPr>
            <w:tcW w:w="1365" w:type="pct"/>
          </w:tcPr>
          <w:p w:rsidR="00DB22B3" w:rsidRPr="00DB22B3" w:rsidRDefault="00DB22B3" w:rsidP="00DB22B3">
            <w:pPr>
              <w:spacing w:before="100" w:beforeAutospacing="1" w:after="100" w:afterAutospacing="1" w:line="240" w:lineRule="auto"/>
              <w:contextualSpacing/>
            </w:pPr>
            <w:r>
              <w:t>VAS</w:t>
            </w:r>
          </w:p>
        </w:tc>
        <w:tc>
          <w:tcPr>
            <w:tcW w:w="3635" w:type="pct"/>
          </w:tcPr>
          <w:p w:rsidR="00DB22B3" w:rsidRPr="00DB22B3" w:rsidRDefault="00DB22B3" w:rsidP="00DB22B3">
            <w:pPr>
              <w:spacing w:before="100" w:beforeAutospacing="1" w:after="100" w:afterAutospacing="1" w:line="240" w:lineRule="auto"/>
              <w:contextualSpacing/>
            </w:pPr>
            <w:r>
              <w:t>Visual Analogue Scale</w:t>
            </w:r>
          </w:p>
        </w:tc>
      </w:tr>
    </w:tbl>
    <w:p w:rsidR="00025830" w:rsidRDefault="00025830" w:rsidP="00025830"/>
    <w:p w:rsidR="00025830" w:rsidRDefault="00025830" w:rsidP="00025830">
      <w:pPr>
        <w:rPr>
          <w:color w:val="459683" w:themeColor="accent1" w:themeShade="BF"/>
          <w:sz w:val="28"/>
          <w:szCs w:val="28"/>
        </w:rPr>
      </w:pPr>
      <w:r>
        <w:br w:type="page"/>
      </w:r>
    </w:p>
    <w:p w:rsidR="00025830" w:rsidRDefault="00025830" w:rsidP="00025830">
      <w:pPr>
        <w:pStyle w:val="Heading2"/>
      </w:pPr>
      <w:bookmarkStart w:id="1" w:name="_Toc475341320"/>
      <w:r>
        <w:t>2.5.1 PRODUCT DEVELOPMENT RATIONALE</w:t>
      </w:r>
      <w:bookmarkEnd w:id="1"/>
      <w:r>
        <w:t xml:space="preserve"> </w:t>
      </w:r>
    </w:p>
    <w:p w:rsidR="00025830" w:rsidRPr="00446042" w:rsidRDefault="00025830" w:rsidP="00025830">
      <w:pPr>
        <w:pStyle w:val="Heading3"/>
      </w:pPr>
      <w:bookmarkStart w:id="2" w:name="_Toc475341321"/>
      <w:r>
        <w:t>2.5.1.1 Pharmacological class</w:t>
      </w:r>
      <w:bookmarkEnd w:id="2"/>
    </w:p>
    <w:p w:rsidR="00025830" w:rsidRDefault="00025830" w:rsidP="00025830">
      <w:pPr>
        <w:rPr>
          <w:szCs w:val="22"/>
        </w:rPr>
      </w:pPr>
      <w:r>
        <w:rPr>
          <w:lang w:val="en-GB"/>
        </w:rPr>
        <w:t>The medicinal product commonly marketed as Mindwise</w:t>
      </w:r>
      <w:r>
        <w:rPr>
          <w:vertAlign w:val="superscript"/>
          <w:lang w:val="en-GB"/>
        </w:rPr>
        <w:t>®</w:t>
      </w:r>
      <w:r>
        <w:rPr>
          <w:lang w:val="en-GB"/>
        </w:rPr>
        <w:t xml:space="preserve">, contains </w:t>
      </w:r>
      <w:r>
        <w:rPr>
          <w:szCs w:val="22"/>
        </w:rPr>
        <w:t xml:space="preserve">160mg </w:t>
      </w:r>
      <w:r>
        <w:rPr>
          <w:i/>
          <w:szCs w:val="22"/>
        </w:rPr>
        <w:t xml:space="preserve">Bacopa monnieri </w:t>
      </w:r>
      <w:r>
        <w:rPr>
          <w:szCs w:val="22"/>
        </w:rPr>
        <w:t>whole plant extract dry concentrate designated as CDRI 08 in the galenical form of hard hydroxymethylcellulose capsule. CDRI 08 is standardized according to the following specification: NLT 8 mg of total Bacosides (Bacopaside I, Bacoside A3, Bacopaside II, Bacoside X, Bacopasaponin C) quantified as Bacopaside II by HPLC method (</w:t>
      </w:r>
      <w:r>
        <w:rPr>
          <w:szCs w:val="22"/>
          <w:highlight w:val="yellow"/>
        </w:rPr>
        <w:t>EurPh ref?</w:t>
      </w:r>
      <w:r>
        <w:rPr>
          <w:szCs w:val="22"/>
        </w:rPr>
        <w:t xml:space="preserve">).  </w:t>
      </w:r>
    </w:p>
    <w:p w:rsidR="00025830" w:rsidRPr="00446042" w:rsidRDefault="00025830" w:rsidP="00025830">
      <w:pPr>
        <w:pStyle w:val="Heading3"/>
      </w:pPr>
      <w:bookmarkStart w:id="3" w:name="_Toc475341322"/>
      <w:r>
        <w:t>2.5.1.2 Targeted indication</w:t>
      </w:r>
      <w:bookmarkEnd w:id="3"/>
    </w:p>
    <w:p w:rsidR="00025830" w:rsidRPr="00446042" w:rsidRDefault="00025830" w:rsidP="00025830">
      <w:pPr>
        <w:rPr>
          <w:color w:val="000000"/>
          <w:lang w:val="en-GB"/>
        </w:rPr>
      </w:pPr>
      <w:r>
        <w:rPr>
          <w:i/>
          <w:lang w:val="en-AU"/>
        </w:rPr>
        <w:t>Bacopa monnieri</w:t>
      </w:r>
      <w:r>
        <w:rPr>
          <w:lang w:val="en-AU"/>
        </w:rPr>
        <w:t xml:space="preserve"> CDRI 08 capsule is a natural medicine which is clinically proven to support memory, concentration and learning retention, particularly during times of stress. The following claims/indications for </w:t>
      </w:r>
      <w:r>
        <w:rPr>
          <w:i/>
          <w:lang w:val="en-AU"/>
        </w:rPr>
        <w:t>Bacopa monnieri</w:t>
      </w:r>
      <w:r>
        <w:rPr>
          <w:lang w:val="en-AU"/>
        </w:rPr>
        <w:t xml:space="preserve"> CDRI 08 capsule</w:t>
      </w:r>
      <w:r>
        <w:rPr>
          <w:rFonts w:ascii="Trebuchet MS" w:hAnsi="Trebuchet MS"/>
          <w:sz w:val="20"/>
          <w:szCs w:val="20"/>
        </w:rPr>
        <w:t xml:space="preserve"> </w:t>
      </w:r>
      <w:r>
        <w:t>are</w:t>
      </w:r>
      <w:r>
        <w:rPr>
          <w:i/>
        </w:rPr>
        <w:t xml:space="preserve"> </w:t>
      </w:r>
      <w:r>
        <w:rPr>
          <w:color w:val="000000"/>
          <w:lang w:val="en-GB"/>
        </w:rPr>
        <w:t xml:space="preserve">based on </w:t>
      </w:r>
      <w:r>
        <w:t>clinical data from studies using this product, together with published and traditional data:</w:t>
      </w:r>
    </w:p>
    <w:p w:rsidR="00025830" w:rsidRPr="00AE4B74" w:rsidRDefault="00025830" w:rsidP="00025830">
      <w:r>
        <w:t>[1] May help to improve cognitive function in adults/May help to support cognitive function in healthy adults/ May help maintain healthy cognitive function/Supports mental clarity and supports cognitive function.</w:t>
      </w:r>
    </w:p>
    <w:p w:rsidR="00025830" w:rsidRPr="00AE4B74" w:rsidRDefault="00025830" w:rsidP="00025830">
      <w:r>
        <w:t>[2] May help to improve and maintain memory in healthy individuals/May help improve working memory/May assist in learning retention.</w:t>
      </w:r>
    </w:p>
    <w:p w:rsidR="00025830" w:rsidRPr="00AE4B74" w:rsidRDefault="00025830" w:rsidP="00025830">
      <w:r>
        <w:t>[3] May assists with concentration/ focus/ keeping to tasks / attention span.</w:t>
      </w:r>
    </w:p>
    <w:p w:rsidR="00025830" w:rsidRPr="00AE4B74" w:rsidRDefault="00025830" w:rsidP="00025830">
      <w:r>
        <w:t>[4] Traditionally used in Ayurveda for memory and concentration/Brahmi has a traditional use in Ayurvedic medicine to heighten learning capacity.</w:t>
      </w:r>
    </w:p>
    <w:p w:rsidR="00025830" w:rsidRPr="00AE4B74" w:rsidRDefault="00025830" w:rsidP="00025830">
      <w:r>
        <w:t>[5] Traditionally used in Ayurvedic medicine as a nerve tonic and to support cardiovascular health.</w:t>
      </w:r>
    </w:p>
    <w:p w:rsidR="00025830" w:rsidRPr="00AE4B74" w:rsidRDefault="00025830" w:rsidP="00025830">
      <w:r>
        <w:t>[6] Bacopa Monnieri has anti-oxidant properties.</w:t>
      </w:r>
    </w:p>
    <w:p w:rsidR="00025830" w:rsidRDefault="00B77F82" w:rsidP="00025830">
      <w:r>
        <w:t>[7] In vitro and animal studies suggest that Bacopa monnieri has neuroprotective action.</w:t>
      </w:r>
    </w:p>
    <w:p w:rsidR="00025830" w:rsidRDefault="00025830" w:rsidP="00025830">
      <w:r>
        <w:t>[8] May be beneficial during times of stress/mild anxiety</w:t>
      </w:r>
    </w:p>
    <w:p w:rsidR="00025830" w:rsidRPr="00446042" w:rsidRDefault="00025830" w:rsidP="00025830">
      <w:pPr>
        <w:pStyle w:val="Heading3"/>
      </w:pPr>
      <w:bookmarkStart w:id="4" w:name="_Toc475341323"/>
      <w:r>
        <w:t>2.5.1.3 Scientific background</w:t>
      </w:r>
      <w:bookmarkEnd w:id="4"/>
    </w:p>
    <w:p w:rsidR="00025830" w:rsidRPr="005C2A52" w:rsidRDefault="00025830" w:rsidP="00025830">
      <w:r>
        <w:rPr>
          <w:i/>
        </w:rPr>
        <w:t>Bacopa monnieri</w:t>
      </w:r>
      <w:r>
        <w:t xml:space="preserve"> (Linn.) Pennell (Scrophulariaceae), also known as Brahmi in Ayurvedic medicine (synonym </w:t>
      </w:r>
      <w:r>
        <w:rPr>
          <w:i/>
        </w:rPr>
        <w:t xml:space="preserve">Bacopa monniera, Herpestis monniera, </w:t>
      </w:r>
      <w:r>
        <w:t>Brahmi, Water hyssop), is a perennial creeping plant found in wet, damp and marshy areas of India and has been used for almost 3000 years (Singh, 2013) in traditional Ayurvedic medicine as a nootropic, cognitive enhancer, neuroprotective, adaptogenic and anxiolytic substance (Indian Herbal Pharmacopeia, 2002; Tunaligil et al. 2013; Braun and Cohen, 2010, Dept Ayush Ayurvedic Pharmacopoeia.).</w:t>
      </w:r>
    </w:p>
    <w:p w:rsidR="00025830" w:rsidRPr="004047C5" w:rsidRDefault="00025830" w:rsidP="00025830">
      <w:pPr>
        <w:rPr>
          <w:highlight w:val="yellow"/>
        </w:rPr>
      </w:pPr>
      <w:r>
        <w:t xml:space="preserve">Ayurveda, the ‘science of life’, was written in 3500 BCE in India, describing various diseases and therapeutic approaches for their management, including symptoms of various central nervous system disorders, and memory disorders (Singh, 2013). In various classical Āyurvedic texts, the use of </w:t>
      </w:r>
      <w:r>
        <w:rPr>
          <w:i/>
        </w:rPr>
        <w:t>Bacopa monnieri</w:t>
      </w:r>
      <w:r>
        <w:t xml:space="preserve"> is classified under ‘Medhya rasayana’ as being memory enhancing and rejuvenating and its use is described for increasing longevity and promoting progeny (Singh, 2013). For example, in the Āyurvedic text, Suśruta-Samhita, it is mentioned that continuous use of Brahmi can improve memory and expand intellectual faculties (Bhishagratna, 1998). Use of </w:t>
      </w:r>
      <w:r>
        <w:rPr>
          <w:i/>
        </w:rPr>
        <w:t>Bacopa monnieri</w:t>
      </w:r>
      <w:r>
        <w:t xml:space="preserve"> has been described in these classical texts for alleviating old age and age-related diseases, promoting memory and intellect, enhancing life-span, providing nourishment, excellence, for clarity of voice, complexion and luster (Singh, 2013). </w:t>
      </w:r>
      <w:r>
        <w:rPr>
          <w:i/>
        </w:rPr>
        <w:t>Bacopa monnieri</w:t>
      </w:r>
      <w:r>
        <w:t xml:space="preserve"> is also described as being efficacious in the treatment of many psychiatric disorders including hallucination, schizophrenia, obsessive compulsive disorder and severe psychosis (Singh, 2013) and has been prescribed for leprosy, intermittent fever, epilepsy, uroliathiasis and as a cure for skin disorders (Russo and Borrelli, 2005; Traditional Knowledge Digital Library; </w:t>
      </w:r>
      <w:r>
        <w:rPr>
          <w:i/>
        </w:rPr>
        <w:t>Bacopa monniera</w:t>
      </w:r>
      <w:r>
        <w:t xml:space="preserve"> Monograph, 2004).   </w:t>
      </w:r>
    </w:p>
    <w:p w:rsidR="00025830" w:rsidRPr="004047C5" w:rsidRDefault="00025830" w:rsidP="00025830">
      <w:r>
        <w:t xml:space="preserve">The major constituents in CDRI 08 are the dammarane type triterpenoid collectively designated as bacosides and bacopasides (Module 3.2.S.1.3, Sivaramakrishna et al 2005). The alkaloids brahmine, nicotine, and herpestine have been catalogued, along with D-mannitol, apigenin, hersaponin, monnierasides I–III, cucurbitacins and plantainoside B (Chakravarty et al 2003; Russo and Borrelli, 2005). The effects of </w:t>
      </w:r>
      <w:r>
        <w:rPr>
          <w:i/>
        </w:rPr>
        <w:t>Bacopa monnieri</w:t>
      </w:r>
      <w:r>
        <w:t xml:space="preserve"> are believed to be exerted mainly by the saponins Bacoside A and B (Deepak et al. 2005, Deepak and Amit 2004). Bacosides have been shown to be responsible for neuropharmacological effects and the nootropic action of Bacopa. It is not fully understood how these bacosides are metabolised and in what form they are functionally active. There are suggestions that Bacosides A are active while Bacosides B are not (Dowell et al. 2015).  Although some effects may be attributed to specific compounds, the whole herbal extract has to be regarded as the active substance.</w:t>
      </w:r>
    </w:p>
    <w:p w:rsidR="00025830" w:rsidRPr="004047C5" w:rsidRDefault="00025830" w:rsidP="00025830">
      <w:r>
        <w:t xml:space="preserve">Most research has focused on the cognitive effects of BM extracts (Tunaligil et al. 2013) although BM extracts have been applied in rodents and cell cultures for the following uses: anti-convulsant; anti-depressant; analgesic; anti-inflammatory; anti-microbial; anti-ulcerogenic/anti-H. Pylori; anxiolytic; adaptogenic; anti-neoplastic; hepatoprotective; immunostimulatory (Aguiar and Borowski, 2013). </w:t>
      </w:r>
    </w:p>
    <w:p w:rsidR="00025830" w:rsidRPr="004047C5" w:rsidRDefault="00025830" w:rsidP="00025830">
      <w:r>
        <w:t xml:space="preserve">Although the exact mechanisms of action are not fully understood, preclinical evidence suggests that BM extract may have at least: </w:t>
      </w:r>
    </w:p>
    <w:p w:rsidR="00025830" w:rsidRPr="004047C5" w:rsidRDefault="00025830" w:rsidP="00025830">
      <w:pPr>
        <w:jc w:val="left"/>
      </w:pPr>
      <w:r>
        <w:t xml:space="preserve">(i) direct pro-cholinergic action (Das, 2002); </w:t>
        <w:br/>
        <w:t xml:space="preserve">(ii) anti-oxidant activity (Tripathi et al. 1996; Bhattacharya et al. 2000); </w:t>
        <w:br/>
        <w:t xml:space="preserve">(iii) metal chelation properties (Tripathi et al. 1996); </w:t>
        <w:br/>
        <w:t xml:space="preserve">(iv) anti-inflammatory effects (Channa et al. 2006); </w:t>
        <w:br/>
        <w:t xml:space="preserve">(v) ability to improve blood circulation (Dar and Channa, 1999); </w:t>
        <w:br/>
        <w:t xml:space="preserve">(vi) adaptogenic activity (Rai et al. 2003); and </w:t>
        <w:br/>
        <w:t>(vii) ability to remove b-amyloid deposits (Holcomb et al. 2006; Dhanasekaran et al. 2007)</w:t>
        <w:br/>
        <w:t>(viii) immunostimulatory (Yamada et al. 2011)</w:t>
      </w:r>
    </w:p>
    <w:p w:rsidR="00025830" w:rsidRPr="008D2CC6" w:rsidRDefault="00025830" w:rsidP="00025830">
      <w:r>
        <w:t>With the increasing ageing population in our world, there is an anticipated increase in age-associated diseases, especially affecting memory and cognitive function. Neurological disorders are widely referred to as the new epidemic, as longer life expectancies allow for an increase in neuropathology. Dementia rates in the Western world, and certainly globally, are high and on the increase. Non-pathological memory loss in the aged population also has a very high incidence, which has been reported as occurring in almost half of the over 65-years age group (Small, 2002). In addition, with the complexity and pressure of living in the current technologically rich society, researchers have looked more closely at natural compounds that could potentially help maintain or improve the ability to function within a complex society structure. Natural products that may help by maintaining or improving memory and cognitive function have been of some interest. The elderly worry about the loss of their mental faculties and may choose to use complementary medicines to help enhance their memory (Jorm et al. 2004). Treatments that can enhance cognitive function and improve neurological health may help lessen the social and personal losses associated with cognitive stress or decline (Abascal and Yarnell, 2011), potentially improve quality of life for sufferers of cognitive impairment and their families, and reduce the burden of neurological illness on health care resources. In addition, the use of effective natural products in children with cognitive challenges, in particular symptoms of hyperactivity and inattention, that alleviate some of the symptoms and assist these children in their learning environment would potentially offer an alternative to current therapies and their side effect profiles.</w:t>
      </w:r>
    </w:p>
    <w:p w:rsidR="00025830" w:rsidRPr="00E34A90" w:rsidRDefault="00025830" w:rsidP="00025830">
      <w:pPr>
        <w:spacing w:before="0" w:after="0" w:line="240" w:lineRule="auto"/>
        <w:jc w:val="left"/>
        <w:rPr>
          <w:rFonts w:ascii="Trebuchet MS" w:hAnsi="Trebuchet MS"/>
          <w:sz w:val="20"/>
          <w:szCs w:val="20"/>
        </w:rPr>
      </w:pPr>
      <w:r>
        <w:t xml:space="preserve">There are no highly effective pharmacological treatments for cognitive decline at present. Given the traditional uses of </w:t>
      </w:r>
      <w:r>
        <w:rPr>
          <w:i/>
        </w:rPr>
        <w:t>Bacopa monnie</w:t>
      </w:r>
      <w:r>
        <w:t>ri and the potential mechanisms of action as described above, it is reasonable for CDRI 08 to be studied further to add to the substantiation of the traditional and clinical claims in the area of cognitive function.</w:t>
      </w:r>
    </w:p>
    <w:p w:rsidR="00025830" w:rsidRDefault="00025830" w:rsidP="00025830">
      <w:pPr>
        <w:pStyle w:val="Heading3"/>
      </w:pPr>
      <w:bookmarkStart w:id="5" w:name="_Toc475341324"/>
      <w:r>
        <w:t>2.5.1.4 Clinical Development Programme</w:t>
      </w:r>
      <w:bookmarkEnd w:id="5"/>
    </w:p>
    <w:p w:rsidR="00025830" w:rsidRPr="0092137D" w:rsidRDefault="00025830" w:rsidP="00025830">
      <w:r>
        <w:rPr>
          <w:i/>
        </w:rPr>
        <w:t>Bacopa monnieri</w:t>
      </w:r>
      <w:r>
        <w:t xml:space="preserve"> extract is a traditional herbal medicine, and the clinical development program varies from that for a routine prescription or non-prescription medicine. The studies included in this application were guided by clinical practice and provide data to support long-standing traditional claims.</w:t>
      </w:r>
    </w:p>
    <w:p w:rsidR="00025830" w:rsidRDefault="00025830" w:rsidP="00025830">
      <w:pPr>
        <w:rPr>
          <w:lang w:eastAsia="en-US"/>
        </w:rPr>
      </w:pPr>
      <w:r>
        <w:t xml:space="preserve">To date, clinical studies of the effects of CDRI 08 have included studies of acute and chronic effects of memory enhancement and cognitive function in healthy adults, in adults with age-associated memory impairment, and in children with ADHD (module 5.3.5.4). </w:t>
      </w:r>
      <w:r>
        <w:rPr>
          <w:lang w:eastAsia="en-US"/>
        </w:rPr>
        <w:t>The specific clinical applications for BM extract and CDRI 08</w:t>
      </w:r>
      <w:r>
        <w:rPr>
          <w:i/>
          <w:lang w:eastAsia="en-US"/>
        </w:rPr>
        <w:t xml:space="preserve"> </w:t>
      </w:r>
      <w:r>
        <w:rPr>
          <w:lang w:eastAsia="en-US"/>
        </w:rPr>
        <w:t>that have been tested in humans and support the overall clinical effectiveness are as follows:</w:t>
      </w:r>
    </w:p>
    <w:p w:rsidR="00025830" w:rsidRPr="00AE4B74" w:rsidRDefault="00025830" w:rsidP="00025830">
      <w:pPr>
        <w:rPr>
          <w:u w:val="single"/>
          <w:lang w:eastAsia="en-US"/>
        </w:rPr>
      </w:pPr>
      <w:r>
        <w:rPr>
          <w:u w:val="single"/>
          <w:lang w:eastAsia="en-US"/>
        </w:rPr>
        <w:t>Studies using CDRI 08*</w:t>
      </w:r>
    </w:p>
    <w:p w:rsidR="00025830" w:rsidRPr="005C2A52" w:rsidRDefault="00025830" w:rsidP="00025830">
      <w:pPr>
        <w:pStyle w:val="ListParagraph"/>
        <w:numPr>
          <w:ilvl w:val="0"/>
          <w:numId w:val="18"/>
        </w:numPr>
      </w:pPr>
      <w:r>
        <w:t>effects of chronic use on cognition and memory in healthy subjects (Stough et al. 2001; Stough et al. 2008; Roodenrys et al. 2002)</w:t>
      </w:r>
    </w:p>
    <w:p w:rsidR="00025830" w:rsidRPr="005C2A52" w:rsidRDefault="00025830" w:rsidP="00025830">
      <w:pPr>
        <w:pStyle w:val="ListParagraph"/>
        <w:numPr>
          <w:ilvl w:val="0"/>
          <w:numId w:val="18"/>
        </w:numPr>
      </w:pPr>
      <w:r>
        <w:t xml:space="preserve">effects of acute use on cognitive function in healthy subjects (Nathan et al. 2001; Downey et al. 2012; Benson et al. 2013) </w:t>
      </w:r>
    </w:p>
    <w:p w:rsidR="00025830" w:rsidRPr="005C2A52" w:rsidRDefault="00025830" w:rsidP="00025830">
      <w:pPr>
        <w:pStyle w:val="ListParagraph"/>
        <w:numPr>
          <w:ilvl w:val="0"/>
          <w:numId w:val="18"/>
        </w:numPr>
      </w:pPr>
      <w:r>
        <w:t>effects of chronic use on cognitive function and memory in subjects with age-associated memory impairment (Raghav et al. 2006; Sharma thesis, 2000 (m5.3.5.4).</w:t>
      </w:r>
    </w:p>
    <w:p w:rsidR="00025830" w:rsidRPr="005C2A52" w:rsidRDefault="00025830" w:rsidP="00025830">
      <w:pPr>
        <w:pStyle w:val="ListParagraph"/>
        <w:numPr>
          <w:ilvl w:val="0"/>
          <w:numId w:val="18"/>
        </w:numPr>
      </w:pPr>
      <w:r>
        <w:t>effect of chronic use on stress/ anxiety in healthy adults (Stough et al. 2001; Kumar et al. 2011)</w:t>
      </w:r>
    </w:p>
    <w:p w:rsidR="00025830" w:rsidRPr="005C2A52" w:rsidRDefault="00025830" w:rsidP="00025830">
      <w:pPr>
        <w:pStyle w:val="ListParagraph"/>
        <w:numPr>
          <w:ilvl w:val="0"/>
          <w:numId w:val="18"/>
        </w:numPr>
      </w:pPr>
      <w:r>
        <w:t xml:space="preserve">effect of chronic use on stress/ anxiety in subjects with anxiety neurosis (Singh and Singh, 1980) </w:t>
      </w:r>
    </w:p>
    <w:p w:rsidR="00025830" w:rsidRPr="005C2A52" w:rsidRDefault="00025830" w:rsidP="00025830">
      <w:pPr>
        <w:pStyle w:val="ListParagraph"/>
        <w:numPr>
          <w:ilvl w:val="0"/>
          <w:numId w:val="18"/>
        </w:numPr>
      </w:pPr>
      <w:r>
        <w:t>effect of chronic use on behavioural and cognitive function in children with ADHD (CDRI 2001 m5.3.5.4, Kean et al 2016)</w:t>
      </w:r>
    </w:p>
    <w:p w:rsidR="00025830" w:rsidRPr="005C2A52" w:rsidRDefault="00025830" w:rsidP="00025830">
      <w:pPr>
        <w:pStyle w:val="ListParagraph"/>
        <w:numPr>
          <w:ilvl w:val="0"/>
          <w:numId w:val="18"/>
        </w:numPr>
      </w:pPr>
      <w:r>
        <w:t>effect of chronic use in revitalizing intellectual function in children (Sharma et al. 1987)</w:t>
      </w:r>
    </w:p>
    <w:p w:rsidR="00025830" w:rsidRDefault="00025830" w:rsidP="00025830">
      <w:pPr>
        <w:pStyle w:val="ListParagraph"/>
        <w:numPr>
          <w:ilvl w:val="0"/>
          <w:numId w:val="18"/>
        </w:numPr>
      </w:pPr>
      <w:r>
        <w:t>effect of chronic use on sleep, lethargy and night sweats of postmenopausal women (Kala et al. 2011).</w:t>
      </w:r>
    </w:p>
    <w:p w:rsidR="00B77F82" w:rsidRDefault="00B77F82" w:rsidP="00B77F82">
      <w:r>
        <w:t>*Erratums have been published from the Stough research group which correct two important methodological mistakes/omissions relating to the CDR 08 test product used in the Stough research group clinical trials:</w:t>
      </w:r>
    </w:p>
    <w:p w:rsidR="00B77F82" w:rsidRPr="00A428DC" w:rsidRDefault="00B77F82" w:rsidP="00B77F82">
      <w:pPr>
        <w:rPr>
          <w:lang w:val="en-AU" w:eastAsia="en-US"/>
        </w:rPr>
      </w:pPr>
      <w:r>
        <w:rPr>
          <w:lang w:val="en-AU" w:eastAsia="en-US"/>
        </w:rPr>
        <w:t>1. The dosage statement is incorrect and the text should read: ‘Each capsule contained 160mg B. monniera extract equivalent to 4 g dried herb’.</w:t>
      </w:r>
    </w:p>
    <w:p w:rsidR="00B77F82" w:rsidRPr="00B77F82" w:rsidRDefault="00B77F82" w:rsidP="00B77F82">
      <w:pPr>
        <w:rPr>
          <w:lang w:val="en-AU" w:eastAsia="en-US"/>
        </w:rPr>
      </w:pPr>
      <w:r>
        <w:rPr>
          <w:lang w:val="en-AU" w:eastAsia="en-US"/>
        </w:rPr>
        <w:t>2. The concentration of the extraction solvent in manufacturing has been stated incorrectly and the actual concentration was 75 % ethanol.</w:t>
      </w:r>
      <w:r>
        <w:rPr>
          <w:lang w:eastAsia="en-US"/>
        </w:rPr>
        <w:t xml:space="preserve">  </w:t>
      </w:r>
    </w:p>
    <w:p w:rsidR="00B77F82" w:rsidRDefault="00B77F82" w:rsidP="00B77F82">
      <w:pPr>
        <w:rPr>
          <w:lang w:eastAsia="en-US"/>
        </w:rPr>
      </w:pPr>
      <w:r>
        <w:rPr>
          <w:lang w:eastAsia="en-US"/>
        </w:rPr>
        <w:t xml:space="preserve">All CDRI 08 dosage and concentration errors have been amended throughout this dossier.  </w:t>
      </w:r>
    </w:p>
    <w:p w:rsidR="00025830" w:rsidRPr="00AE4B74" w:rsidRDefault="00025830" w:rsidP="00025830">
      <w:pPr>
        <w:rPr>
          <w:u w:val="single"/>
          <w:lang w:eastAsia="en-US"/>
        </w:rPr>
      </w:pPr>
      <w:r>
        <w:rPr>
          <w:u w:val="single"/>
          <w:lang w:eastAsia="en-US"/>
        </w:rPr>
        <w:t>Studies using BM extract</w:t>
      </w:r>
    </w:p>
    <w:p w:rsidR="00025830" w:rsidRDefault="00025830" w:rsidP="00025830">
      <w:pPr>
        <w:pStyle w:val="ListParagraph"/>
        <w:numPr>
          <w:ilvl w:val="0"/>
          <w:numId w:val="18"/>
        </w:numPr>
      </w:pPr>
      <w:r>
        <w:t>effects of chronic use on cognition and memory in healthy subjects (Mandal et al. 2011; Sathyanarayanan et al. 2013)</w:t>
      </w:r>
    </w:p>
    <w:p w:rsidR="00025830" w:rsidRDefault="00025830" w:rsidP="00025830">
      <w:pPr>
        <w:pStyle w:val="ListParagraph"/>
        <w:numPr>
          <w:ilvl w:val="0"/>
          <w:numId w:val="18"/>
        </w:numPr>
      </w:pPr>
      <w:r>
        <w:t>effects of chronic use on cognitive function and memory in subjects with age-associated memory impairment (Barbhaiya et al. 2008).</w:t>
      </w:r>
    </w:p>
    <w:p w:rsidR="00025830" w:rsidRPr="004A693A" w:rsidRDefault="00025830" w:rsidP="00025830">
      <w:pPr>
        <w:pStyle w:val="ListParagraph"/>
        <w:numPr>
          <w:ilvl w:val="0"/>
          <w:numId w:val="18"/>
        </w:numPr>
      </w:pPr>
      <w:r>
        <w:t>effects of chronic use on memory in a healthy older population (Morgan and Stevens, 2010)</w:t>
      </w:r>
    </w:p>
    <w:p w:rsidR="00025830" w:rsidRPr="004A693A" w:rsidRDefault="00025830" w:rsidP="00025830">
      <w:pPr>
        <w:pStyle w:val="ListParagraph"/>
        <w:numPr>
          <w:ilvl w:val="0"/>
          <w:numId w:val="18"/>
        </w:numPr>
      </w:pPr>
      <w:r>
        <w:t>effects of chronic use on memory and brain activity in healthy elderly subjects (Peth-Nui et al. 2012)</w:t>
      </w:r>
    </w:p>
    <w:p w:rsidR="00025830" w:rsidRPr="005C2A52" w:rsidRDefault="00025830" w:rsidP="00025830">
      <w:pPr>
        <w:pStyle w:val="ListParagraph"/>
        <w:numPr>
          <w:ilvl w:val="0"/>
          <w:numId w:val="18"/>
        </w:numPr>
      </w:pPr>
      <w:r>
        <w:t>effects of chronic use on cognitive performance, anxiety and depression in the elderly (Calabrese et al. 2008)</w:t>
      </w:r>
    </w:p>
    <w:p w:rsidR="00025830" w:rsidRPr="005C2A52" w:rsidRDefault="00025830" w:rsidP="00025830">
      <w:pPr>
        <w:pStyle w:val="ListParagraph"/>
        <w:numPr>
          <w:ilvl w:val="0"/>
          <w:numId w:val="18"/>
        </w:numPr>
      </w:pPr>
      <w:r>
        <w:t>effects of chronic use on cognitive function and memory in children requiring individual education programmes (Usha et al. 2008)</w:t>
      </w:r>
    </w:p>
    <w:p w:rsidR="00025830" w:rsidRPr="005C2A52" w:rsidRDefault="00025830" w:rsidP="00025830">
      <w:pPr>
        <w:pStyle w:val="ListParagraph"/>
        <w:numPr>
          <w:ilvl w:val="0"/>
          <w:numId w:val="18"/>
        </w:numPr>
      </w:pPr>
      <w:r>
        <w:t xml:space="preserve">effect of chronic use on cognitive function in patients with Alzheimer’s disease (Goswami et al. 2011) </w:t>
      </w:r>
    </w:p>
    <w:p w:rsidR="00025830" w:rsidRDefault="00025830" w:rsidP="00B77F82">
      <w:pPr>
        <w:pStyle w:val="ListParagraph"/>
        <w:numPr>
          <w:ilvl w:val="0"/>
          <w:numId w:val="18"/>
        </w:numPr>
      </w:pPr>
      <w:r>
        <w:t>effect of chronic use on behavioural and cognitive function in children with ADHD (Dave et al. 2014)</w:t>
      </w:r>
    </w:p>
    <w:p w:rsidR="00025830" w:rsidRDefault="00025830" w:rsidP="00025830">
      <w:r>
        <w:t>Ongoing clinical trials using CDRI 08 include:</w:t>
      </w:r>
    </w:p>
    <w:p w:rsidR="00025830" w:rsidRDefault="00025830" w:rsidP="00025830">
      <w:pPr>
        <w:pStyle w:val="ListParagraph"/>
        <w:numPr>
          <w:ilvl w:val="0"/>
          <w:numId w:val="22"/>
        </w:numPr>
      </w:pPr>
      <w:r>
        <w:t>Determination whether CDRI 08 will assist children with symptoms of hyperactivity and inattention. This randomised double-blind placebo-controlled clinical study examines whether a 14 week administration of CDRI 08 improves a range of neurophysiology, intelligence, cognitive, mood, genetic, sleep, and behavioural measures in children aged 6-14 years with symptoms of inattention and hyperactivity relative to placebo (Kean et al 2015).</w:t>
      </w:r>
    </w:p>
    <w:p w:rsidR="00025830" w:rsidRDefault="00025830" w:rsidP="00025830">
      <w:pPr>
        <w:pStyle w:val="ListParagraph"/>
        <w:numPr>
          <w:ilvl w:val="0"/>
          <w:numId w:val="22"/>
        </w:numPr>
      </w:pPr>
      <w:r>
        <w:t>Investigation of the effects of CDRI 08 in healthy older volunteers, on a range of cognitive and biological (cardiovascular, biochemical, neuroimaging and genetic) measures up to 12 months (Stough et al, 2012).</w:t>
      </w:r>
    </w:p>
    <w:p w:rsidR="00025830" w:rsidRPr="0071590F" w:rsidRDefault="00025830" w:rsidP="00025830">
      <w:pPr>
        <w:pStyle w:val="ListParagraph"/>
        <w:numPr>
          <w:ilvl w:val="0"/>
          <w:numId w:val="22"/>
        </w:numPr>
      </w:pPr>
      <w:r>
        <w:t>Investigating the acute effects of CDRI 08 administration. This study is an acute, randomised, double-blind, placebo-controlled parallel groups design study of 320mg, 640mg and 960mg doses of CDRI 08 in healthy adult participants completing cognitive, mood and stress assessments, prior to and 1, 2 and 4 hours post supplementation.</w:t>
      </w:r>
    </w:p>
    <w:p w:rsidR="00025830" w:rsidRDefault="00025830" w:rsidP="00025830">
      <w:pPr>
        <w:pStyle w:val="Heading3"/>
      </w:pPr>
      <w:bookmarkStart w:id="6" w:name="_Toc475341325"/>
      <w:r>
        <w:t>2.5.1.5 Study quality and concordance with current standard research approaches</w:t>
      </w:r>
      <w:bookmarkEnd w:id="6"/>
    </w:p>
    <w:p w:rsidR="00025830" w:rsidRDefault="00025830" w:rsidP="00025830">
      <w:r>
        <w:rPr>
          <w:i/>
        </w:rPr>
        <w:t>Bacopa monnieri</w:t>
      </w:r>
      <w:r>
        <w:t xml:space="preserve"> has been used for over 3000 years in traditional Ayurveda medicine. Its effect on learning and memory described in the ancient Ayurvedic texts was the focus of further investigation by the Indian Central Drug Research Institute (CSIR), with analytical and preclinical research published from 1930s to current. The Good Clinical Practice guideline E6 (GCP) was developed by the International Council for Harmonisation (ICH) in the mid 1990s as the international guideline to follow when generating clinical data intended to be submitted to regulatory authorities</w:t>
      </w:r>
      <w:r>
        <w:rPr>
          <w:rStyle w:val="FootnoteReference"/>
        </w:rPr>
        <w:footnoteReference w:id="1"/>
      </w:r>
      <w:r>
        <w:t xml:space="preserve">. Due to the classification of </w:t>
      </w:r>
      <w:r>
        <w:rPr>
          <w:i/>
        </w:rPr>
        <w:t>Bacopa monnieri</w:t>
      </w:r>
      <w:r>
        <w:t xml:space="preserve"> extract as a traditional herbal medicine, early clinical studies investigating the effects of BM extracts were not always executed in strict adherence with GCP. These clinical studies were completed as compliant to local regulatory requirements. Clinical studies performed with CDRI08 broadly adopt GCP practice, using standard protocols and defined processes of enrollment and screening that give consistency and reliability to the final results, enabling publication of results in a pertinent peer reviewed journal. </w:t>
      </w:r>
    </w:p>
    <w:p w:rsidR="00025830" w:rsidRPr="0015175A" w:rsidRDefault="00025830" w:rsidP="00025830">
      <w:pPr>
        <w:rPr>
          <w:lang w:val="en-GB"/>
        </w:rPr>
      </w:pPr>
      <w:r>
        <w:t xml:space="preserve">The clinical studies using </w:t>
      </w:r>
      <w:r>
        <w:rPr>
          <w:i/>
        </w:rPr>
        <w:t>Bacopa monnieri</w:t>
      </w:r>
      <w:r>
        <w:t xml:space="preserve"> may vary in strict compliance to GCP, however in totality, </w:t>
      </w:r>
      <w:r>
        <w:rPr>
          <w:lang w:val="en-GB"/>
        </w:rPr>
        <w:t>there is demonstration of positive efficacy in cognitive function, thus substantiating the overall conclusions of this clinical overview.</w:t>
      </w:r>
    </w:p>
    <w:p w:rsidR="00025830" w:rsidRPr="00F2179E" w:rsidRDefault="00025830" w:rsidP="00025830">
      <w:pPr>
        <w:pStyle w:val="Heading2"/>
      </w:pPr>
      <w:bookmarkStart w:id="7" w:name="_Toc475341326"/>
      <w:r>
        <w:t>2.5.2 OVERVIEW OF BIOPHARMACEUTICS</w:t>
      </w:r>
      <w:bookmarkEnd w:id="7"/>
      <w:r>
        <w:t xml:space="preserve"> </w:t>
      </w:r>
    </w:p>
    <w:p w:rsidR="00025830" w:rsidRPr="000E66D4" w:rsidRDefault="00025830" w:rsidP="00025830">
      <w:r>
        <w:t>No biopharmaceutical studies in clinical studies have been performed with CDRI 08. In contrast to conventional drug bioavailability determination, the studies of plant extract bioavailability are complicated by the presence of many known and unknown active ingredients (potentially numerous bioactive metabolites), and the lack of knowledge of the kinetics of turnover and excretion of these active ingredients.</w:t>
      </w:r>
    </w:p>
    <w:p w:rsidR="00025830" w:rsidRDefault="00025830" w:rsidP="00025830">
      <w:pPr>
        <w:pStyle w:val="Heading2"/>
      </w:pPr>
      <w:bookmarkStart w:id="8" w:name="_Toc475341327"/>
      <w:r>
        <w:t>2.5.3 OVERVIEW OF CLINICAL PHARMACOLOGY</w:t>
      </w:r>
      <w:bookmarkEnd w:id="8"/>
    </w:p>
    <w:p w:rsidR="00025830" w:rsidRDefault="00025830" w:rsidP="00025830">
      <w:pPr>
        <w:pStyle w:val="Heading3"/>
      </w:pPr>
      <w:bookmarkStart w:id="9" w:name="_Toc475341328"/>
      <w:r>
        <w:t>2.5.3.1 Pharmacokinetics</w:t>
      </w:r>
      <w:bookmarkEnd w:id="9"/>
    </w:p>
    <w:p w:rsidR="00025830" w:rsidRDefault="00025830" w:rsidP="00025830">
      <w:pPr>
        <w:rPr>
          <w:lang w:val="en-AU"/>
        </w:rPr>
      </w:pPr>
      <w:r>
        <w:t xml:space="preserve">The pharmacokinetic assessment of </w:t>
      </w:r>
      <w:r>
        <w:rPr>
          <w:i/>
        </w:rPr>
        <w:t>Bacopa monnieri</w:t>
      </w:r>
      <w:r>
        <w:t xml:space="preserve"> in general and of CDRI 08 in particular is complicated by the high diversity and complexity of its active components that make difficult to assign a reliable and reproducible assay to determine the pharmacokinetics of the many active ingredients present in the extract. No studies of the pharmacokinetics of BM extract in humans have been published to date</w:t>
      </w:r>
      <w:r>
        <w:rPr>
          <w:i/>
        </w:rPr>
        <w:t>.</w:t>
      </w:r>
      <w:r>
        <w:t xml:space="preserve"> </w:t>
      </w:r>
      <w:r>
        <w:rPr>
          <w:lang w:val="en-AU"/>
        </w:rPr>
        <w:t xml:space="preserve">The peak of the dose-absorption curve is not known, but onset of detectable activity on cognitive functions was demonstrated from one hour post consumption (Benson et al 2013). Interactions between the actives (synergistic, additive and antagonistic) within the numerous neuronal, metabolic and hormonal systems are likely because of the multiple sites and different mechanisms of action of the active components of the extracts. This results in complex dose and time dependent effects. Furthermore, it is likely that the different compounds of </w:t>
      </w:r>
      <w:r>
        <w:rPr>
          <w:i/>
        </w:rPr>
        <w:t>Bacopa monnieri</w:t>
      </w:r>
      <w:r>
        <w:rPr>
          <w:lang w:val="en-AU"/>
        </w:rPr>
        <w:t xml:space="preserve"> are extensively metabolised. </w:t>
      </w:r>
    </w:p>
    <w:p w:rsidR="00025830" w:rsidRPr="00C32F9B" w:rsidRDefault="00025830" w:rsidP="00025830">
      <w:pPr>
        <w:rPr>
          <w:lang w:val="en-AU"/>
        </w:rPr>
      </w:pPr>
      <w:r>
        <w:rPr>
          <w:i/>
          <w:lang w:val="en-AU"/>
        </w:rPr>
        <w:t>In vivo</w:t>
      </w:r>
      <w:r>
        <w:rPr>
          <w:lang w:val="en-AU"/>
        </w:rPr>
        <w:t xml:space="preserve"> pharmacokinetic studies have provided information about </w:t>
      </w:r>
      <w:r>
        <w:t xml:space="preserve">the bacosides in BM extracts. Ramasamy et al (2015) showed that the parent glycosides were not found in the plasma after oral administration, while their metabolites were detected. This poor intestinal absorption is most likely due low membrane permeability, suggesting that the parent glycosides may need to be metabolized </w:t>
      </w:r>
      <w:r>
        <w:rPr>
          <w:i/>
        </w:rPr>
        <w:t>in vivo</w:t>
      </w:r>
      <w:r>
        <w:t xml:space="preserve"> to active forms before exerting pharmacological activities (Ramasamy et al. 2015). Yin et al. (2016) demonstrated in rats that the plasma concentration of bacopaside I (BP-I) increased rapidly after oral administration of three dosages (3, 6, and 12mg/kg) and reached Cmax (ng/mL) of 74.70±14.58, 117.94±16.88 and 197±14.13, respectively within 22 min, then the concentrations declined with the T</w:t>
      </w:r>
      <m:oMath>
        <m:r>
          <w:rPr>
            <w:rFonts w:ascii="Cambria Math" w:hAnsi="Cambria Math"/>
            <w:vertAlign w:val="subscript"/>
          </w:rPr>
          <m:t>½</m:t>
        </m:r>
      </m:oMath>
      <w:r>
        <w:t xml:space="preserve"> of 50.47–80.37 min. The calculated oral bioavailabilities of BP-I in rats were 7.22%, 9.69% and 8.30% at low (3 mg/kg), middle (6 mg/kg) and high (12 mg/kg) dosage levels, respectively. After intravenous injection of 5mg/kg BP-I into mice, Bhateria et al (2016) determined the plasma and brain pharmacokinetics of BP-I as the following: Cmax (ng/mL) 10763.78±3148.88SEM plasma and 1506.94±316.47SEM brain and T</w:t>
      </w:r>
      <m:oMath>
        <m:r>
          <w:rPr>
            <w:rFonts w:ascii="Cambria Math" w:hAnsi="Cambria Math"/>
            <w:vertAlign w:val="subscript"/>
          </w:rPr>
          <m:t xml:space="preserve">½ </m:t>
        </m:r>
      </m:oMath>
      <w:r>
        <w:rPr>
          <w:vertAlign w:val="subscript"/>
        </w:rPr>
        <w:t xml:space="preserve">(h) </w:t>
      </w:r>
      <w:r>
        <w:t xml:space="preserve"> 3.85± 1.38 plasma and 3.54± 0.65 brain respectively, which provided evidence of the ability of BP-I to cross the Blood Brain Barrier.  </w:t>
      </w:r>
    </w:p>
    <w:p w:rsidR="00025830" w:rsidRDefault="00025830" w:rsidP="00025830">
      <w:pPr>
        <w:pStyle w:val="Heading3"/>
      </w:pPr>
      <w:bookmarkStart w:id="10" w:name="_Toc475341329"/>
      <w:r>
        <w:t>2.5.3.2 Pharmacodynamics</w:t>
      </w:r>
      <w:bookmarkEnd w:id="10"/>
    </w:p>
    <w:p w:rsidR="00025830" w:rsidRDefault="00025830" w:rsidP="00025830">
      <w:r>
        <w:t xml:space="preserve">The pharmacodynamics effects of </w:t>
      </w:r>
      <w:r>
        <w:rPr>
          <w:i/>
        </w:rPr>
        <w:t>Bacopa monnieri</w:t>
      </w:r>
      <w:r>
        <w:t xml:space="preserve"> have been mainly reported as secondary observations in publications of clinical studies using BM extract. </w:t>
      </w:r>
    </w:p>
    <w:p w:rsidR="00025830" w:rsidRDefault="00025830" w:rsidP="00025830">
      <w:r>
        <w:t>Preclinical evidence suggests that the mechanisms of action of BM extract may include:</w:t>
      </w:r>
    </w:p>
    <w:p w:rsidR="00025830" w:rsidRDefault="00025830" w:rsidP="00025830">
      <w:pPr>
        <w:jc w:val="left"/>
      </w:pPr>
      <w:r>
        <w:rPr>
          <w:lang w:eastAsia="en-US"/>
        </w:rPr>
        <w:t xml:space="preserve"> </w:t>
      </w:r>
      <w:r>
        <w:t xml:space="preserve">(i) direct pro-cholinergic action (Das 2002); </w:t>
        <w:br/>
        <w:t xml:space="preserve">(ii) anti-oxidant activity (e.g. Tripathi et al. 1996; Bhattacharya et al. 2000); </w:t>
        <w:br/>
        <w:t xml:space="preserve">(iii) metal chelation properties (Tripathi et al. 1996); </w:t>
        <w:br/>
        <w:t xml:space="preserve">(iv) anti-inflammatory effects (e.g. Channa et al. 2006); </w:t>
        <w:br/>
        <w:t xml:space="preserve">(v) ability to improve blood circulation (e.g. Dar and Channa, 1999); </w:t>
        <w:br/>
        <w:t xml:space="preserve">(vi) adaptogenic activity (Rai et al. 2003); and </w:t>
        <w:br/>
        <w:t>(vii) ability to remove ß-amyloid deposits (Holcomb et al. 2006; Dhanasekaran et al. 2007)</w:t>
        <w:br/>
        <w:t>(viii) immunostimulatory (Yamada et al. 2011)</w:t>
      </w:r>
    </w:p>
    <w:p w:rsidR="00025830" w:rsidRDefault="00025830" w:rsidP="00025830">
      <w:r>
        <w:t xml:space="preserve">The effects of BM extract on haematological (haemaglobin, leucocyte, polymorph, and lymphocyte levels), biochemical (blood urea, creatinine, blood glucose) and cardiovascular (systolic BP) parameters have been not significant compared to placebo in aged healthy volunteers (Sharma 2000 m5.3.5.4, Singh 2001 m5.3.5.4, Raghav et al 2006,) and in children (Jauhari 2001 m5.3.5.4). Kumar et al (2011) reported increases in hemoglobin concentration and improvement in serum glucose levels in healthy volunteers.  No significant changes in blood pressure (diastolic and systolic) were found in a clinical trial investigating the acute effects of two dosages (320 mg and 640 mg or placebo) of CDRI 08 in 24 healthy adult volunteers (Downey et al 2012). </w:t>
      </w:r>
    </w:p>
    <w:p w:rsidR="00025830" w:rsidRPr="00E34A90" w:rsidRDefault="00025830" w:rsidP="00025830">
      <w:pPr>
        <w:rPr>
          <w:sz w:val="20"/>
          <w:szCs w:val="20"/>
          <w:lang w:val="en-AU"/>
        </w:rPr>
      </w:pPr>
      <w:r>
        <w:t>Pravina et al (2007) conducted a Phase 1 randomised open label clinical study, which involved 23 healthy participants ingesting 300mg BM extract for 15 days then 450mg BM extract for a further 15 days. No significant physiological, biochemical or electrocardiographic effects or abnormalities were induced in any of the volunteers. Urinalysis results were found to be in the normal physiological range and revealed no abnormalities. There were statistically significant (p≤0.05) reductions in fasting blood sugar, serum creatine and the liver function test, serum glutamic oxaloacetic transaminase (SGOT) values and increase in serum glutamic pyruvic transaminase (SGTP) values after BM extract supplementation, but the values remained within the normal range, and were not considered clinically relevant. Similarly, no significant effects were observed on blood pressure,  hematology, liver function tests, renal function test and fasting blood sugar in a clinical trial investigating the intervention of BM caplets containing 100mg BM extract and 650 mg BM powder compared to placebo on healthy individuals for 12 weeks (Mandal et al 2011).</w:t>
      </w:r>
    </w:p>
    <w:p w:rsidR="00025830" w:rsidRDefault="00025830" w:rsidP="00B75C25">
      <w:r>
        <w:t>Healthy elderly participants were studied in a clinical trial with a treatment of 300mg BM extract or placebo orally daily for 12 weeks. The primary outcomes were related to cognitive function testing, however blood pressure, heart rate and temperature were also measured. No differences existed between the groups for systolic or diastolic blood pressure or temperature. Participants had slightly lower heart rates after taking BM extract while those taking the placebo displayed an increase in heart rate (Calabrese et al 2008).</w:t>
      </w:r>
    </w:p>
    <w:p w:rsidR="00025830" w:rsidRPr="00C1463A" w:rsidRDefault="00025830" w:rsidP="00025830">
      <w:r>
        <w:t xml:space="preserve">Elderly participants were also studied in a clinical trial using 450mg BM extract or placebo orally daily for 12 weeks. While cognitive function activities were the primary focus, </w:t>
      </w:r>
      <w:r>
        <w:rPr>
          <w:lang w:val="en-AU"/>
        </w:rPr>
        <w:t>haematological investigations were within normal limits and no significant differences noted except for a marginal increase in haemoglobin values (p≤0.05) and decrease in the lymphocytes values (p≤0.05) in the BM treated group, while the placebo group showed slight increase in the monocytes (p≤0.05) (Barbhaiya et al 2008).</w:t>
      </w:r>
      <w:r>
        <w:t xml:space="preserve"> </w:t>
      </w:r>
    </w:p>
    <w:p w:rsidR="00025830" w:rsidRDefault="00025830" w:rsidP="00025830">
      <w:r>
        <w:t>Singh and Dhawan (1997) conducted a placebo-controlled, double-blind phase I clinical trial using single-dose (20 mg up to 300 mg) bacosides A and B in 31 healthy male adults. A multiple dosage trial (100 mg or 200 mg oral per day) was conducted for 4 weeks. Clinical, hematological and biochemical assays that were assessed revealed no abnormalities or changes on these parameters.</w:t>
      </w:r>
    </w:p>
    <w:p w:rsidR="00025830" w:rsidRDefault="00025830" w:rsidP="00025830">
      <w:pPr>
        <w:rPr>
          <w:lang w:val="en-GB"/>
        </w:rPr>
      </w:pPr>
      <w:r>
        <w:t xml:space="preserve">A </w:t>
      </w:r>
      <w:r>
        <w:rPr>
          <w:lang w:val="en-GB"/>
        </w:rPr>
        <w:t>randomized double blind placebo-controlled non-cross-over, parallel trial</w:t>
      </w:r>
      <w:r>
        <w:t xml:space="preserve"> was conducted in </w:t>
      </w:r>
      <w:r>
        <w:rPr>
          <w:lang w:val="en-GB"/>
        </w:rPr>
        <w:t xml:space="preserve">60 </w:t>
      </w:r>
      <w:r>
        <w:t xml:space="preserve">young healthy medical students to </w:t>
      </w:r>
      <w:r>
        <w:rPr>
          <w:lang w:val="en-GB"/>
        </w:rPr>
        <w:t>assess efficacy of 150mg of BM extract or matching placebo twice daily for six weeks</w:t>
      </w:r>
      <w:r>
        <w:t xml:space="preserve"> (Kumar et al. 2016). </w:t>
      </w:r>
      <w:r>
        <w:rPr>
          <w:lang w:val="en-GB"/>
        </w:rPr>
        <w:t>Serum calcium, serum total cholesterol, serum HDL, serum triglycerides, and serum LDL levels were evaluated. Results showed that there was a significant increase in the serum calcium level (</w:t>
      </w:r>
      <w:r>
        <w:rPr>
          <w:rFonts w:ascii="Cambria Math" w:hAnsi="Cambria Math" w:cs="Cambria Math"/>
          <w:lang w:val="en-GB"/>
        </w:rPr>
        <w:t>𝑝</w:t>
      </w:r>
      <w:r>
        <w:rPr>
          <w:lang w:val="en-GB"/>
        </w:rPr>
        <w:t xml:space="preserve"> &lt; 0.05), still within the normal range (9-11 mg/dL), with 6-week administration of BM extract. The lipid profile showed that in the BM extract group the serum cholesterol decreased and serum HDL levels increased but these changes were not statistically significant when compared to the control group. </w:t>
      </w:r>
    </w:p>
    <w:p w:rsidR="00025830" w:rsidRPr="003E139D" w:rsidRDefault="00025830" w:rsidP="00E06EA1">
      <w:pPr>
        <w:autoSpaceDE w:val="0"/>
        <w:autoSpaceDN w:val="0"/>
        <w:adjustRightInd w:val="0"/>
        <w:spacing w:before="0" w:after="0" w:line="240" w:lineRule="auto"/>
        <w:rPr>
          <w:lang w:val="en-GB"/>
        </w:rPr>
      </w:pPr>
      <w:r>
        <w:rPr>
          <w:lang w:val="en-GB"/>
        </w:rPr>
        <w:t>The effect of consumption of BM extract (300 and 600mg) on the functions of both the cholinergic and monoaminergic systems in 60 healthy elderly participants for 12 weeks was investigated in a randomised double blind placebo controlled trial (Peth-Nui et al 2012). The cholinergic and monoaminergic systems functions were determined using Acetylcholinesterase (AChE) and Monoamine Oxidase (MAO) activities.</w:t>
      </w:r>
      <w:r>
        <w:rPr>
          <w:rFonts w:ascii="Minion-Regular" w:hAnsi="Minion-Regular" w:cs="Minion-Regular"/>
          <w:sz w:val="18"/>
          <w:szCs w:val="18"/>
          <w:lang w:val="en-AU"/>
        </w:rPr>
        <w:t xml:space="preserve"> </w:t>
      </w:r>
      <w:r>
        <w:rPr>
          <w:lang w:val="en-GB"/>
        </w:rPr>
        <w:t>Suppression of plasma AChE activity was observed. There was no significant change in MAO activity.  The data demonstrated that BM extract at a dose of 300 mg</w:t>
      </w:r>
      <w:r>
        <w:rPr>
          <w:lang w:val="en-AU"/>
        </w:rPr>
        <w:t>/</w:t>
      </w:r>
      <w:r>
        <w:rPr>
          <w:lang w:val="en-GB"/>
        </w:rPr>
        <w:t>day could improve power and speed of attention, continuity of attention, and quality and speed of memory suggesting that</w:t>
      </w:r>
      <w:r>
        <w:rPr>
          <w:rFonts w:ascii="Minion-Regular" w:hAnsi="Minion-Regular" w:cs="Minion-Regular"/>
          <w:sz w:val="20"/>
          <w:szCs w:val="20"/>
          <w:lang w:val="en-AU"/>
        </w:rPr>
        <w:t xml:space="preserve"> </w:t>
      </w:r>
      <w:r>
        <w:rPr>
          <w:lang w:val="en-GB"/>
        </w:rPr>
        <w:t>the BM extract suppresses AChE activity resulting in enhanced cholinergic function, which in turn enhances attention and memory processing and gives rise to the increased working memory.</w:t>
      </w:r>
    </w:p>
    <w:p w:rsidR="00025830" w:rsidRDefault="00025830" w:rsidP="00025830">
      <w:pPr>
        <w:pStyle w:val="Heading2"/>
      </w:pPr>
      <w:bookmarkStart w:id="11" w:name="_Toc475341330"/>
      <w:r>
        <w:t>2.5.4 OVERVIEW OF EFFICACY</w:t>
      </w:r>
      <w:bookmarkEnd w:id="11"/>
      <w:r>
        <w:t xml:space="preserve"> </w:t>
      </w:r>
    </w:p>
    <w:p w:rsidR="00025830" w:rsidRPr="001736E2" w:rsidRDefault="00E06EA1" w:rsidP="00025830">
      <w:pPr>
        <w:rPr>
          <w:highlight w:val="yellow"/>
        </w:rPr>
      </w:pPr>
      <w:r>
        <w:t xml:space="preserve">BM extract was used for centuries, in traditional Ayurvedic medicine, as a memory-enhancing, anti-inflammatory, analgesic, antipyretic, sedative and antiepileptic agent (Russo &amp; Borrelli, 2005; Pase et al. 2012). The plant, whole plant extract and isolated bacosides (the major active components) have been extensively investigated in several laboratories for their neuropharmacological effects and a number of reports are available confirming their nootropic action (Stough et al. 2008). </w:t>
      </w:r>
    </w:p>
    <w:p w:rsidR="00025830" w:rsidRPr="00B22300" w:rsidRDefault="00025830" w:rsidP="00025830">
      <w:r>
        <w:t xml:space="preserve">While </w:t>
      </w:r>
      <w:r>
        <w:rPr>
          <w:i/>
        </w:rPr>
        <w:t>Bacopa monnieri</w:t>
      </w:r>
      <w:r>
        <w:t xml:space="preserve"> has been reported to have many actions, its memory-enhancing effects have attracted most attention and are supported by the psychopharmacology literature. The increase in pre-clinical investigation has led to several clinical trials on the various BM extracts.</w:t>
      </w:r>
      <w:r>
        <w:rPr>
          <w:sz w:val="26"/>
        </w:rPr>
        <w:t xml:space="preserve"> </w:t>
      </w:r>
      <w:r>
        <w:t xml:space="preserve">Several double-blinded, randomised, controlled trials provide evidence to suggest that BM extract is efficacious in improving the </w:t>
      </w:r>
      <w:r>
        <w:rPr>
          <w:rFonts w:cstheme="minorHAnsi"/>
        </w:rPr>
        <w:t>retention of new information</w:t>
      </w:r>
      <w:r>
        <w:t>, improving learning and free recall of information (</w:t>
      </w:r>
      <w:r>
        <w:rPr>
          <w:rFonts w:cstheme="minorHAnsi"/>
        </w:rPr>
        <w:t>Stough et al. 2001, 2008; Roodenrys et al. 2002;</w:t>
      </w:r>
      <w:r>
        <w:rPr>
          <w:rFonts w:cstheme="minorHAnsi"/>
          <w:i/>
        </w:rPr>
        <w:t xml:space="preserve"> </w:t>
      </w:r>
      <w:r>
        <w:rPr>
          <w:rFonts w:cstheme="minorHAnsi"/>
        </w:rPr>
        <w:t>Barbhaiya et al. 2008; Morgan and Stevens, 2010; Mandal et al. 2011</w:t>
      </w:r>
      <w:r>
        <w:rPr>
          <w:rFonts w:cstheme="minorHAnsi"/>
          <w:sz w:val="20"/>
          <w:szCs w:val="20"/>
        </w:rPr>
        <w:t>)</w:t>
      </w:r>
      <w:r>
        <w:t>. The data from these studies suggest that Bacopa could potentially be recommended clinically as a memory enhancer.</w:t>
      </w:r>
    </w:p>
    <w:p w:rsidR="00025830" w:rsidRDefault="00B77F82" w:rsidP="00025830">
      <w:r>
        <w:t xml:space="preserve">The effect of </w:t>
      </w:r>
      <w:r>
        <w:rPr>
          <w:i/>
        </w:rPr>
        <w:t xml:space="preserve">Bacopa monnieri </w:t>
      </w:r>
      <w:r>
        <w:t>on cognition has also been the focus of clinical research. BM extracts</w:t>
      </w:r>
      <w:r>
        <w:rPr>
          <w:i/>
        </w:rPr>
        <w:t xml:space="preserve"> </w:t>
      </w:r>
      <w:r>
        <w:t xml:space="preserve">could have a role in the management of cognitive function in healthy adults, also for those who experience an age-associated decline in cognitive function and for children who may need assistance with aspects of cognitive function. </w:t>
      </w:r>
    </w:p>
    <w:p w:rsidR="00025830" w:rsidRDefault="00025830" w:rsidP="00025830">
      <w:r>
        <w:t>There is a body of evidence to support the many potential uses of BM extract</w:t>
      </w:r>
      <w:r>
        <w:rPr>
          <w:i/>
        </w:rPr>
        <w:t xml:space="preserve"> </w:t>
      </w:r>
      <w:r>
        <w:t>in clinical practice. An overview of the efficacy data to support each proposed indication in this application is given in module 2.7.</w:t>
      </w:r>
    </w:p>
    <w:p w:rsidR="00025830" w:rsidRDefault="00025830" w:rsidP="00025830">
      <w:pPr>
        <w:pStyle w:val="Heading3"/>
      </w:pPr>
      <w:bookmarkStart w:id="12" w:name="_Toc475341331"/>
      <w:r>
        <w:t>2.5.4.1 Clinical trials and evidence to support indications</w:t>
      </w:r>
      <w:bookmarkEnd w:id="12"/>
      <w:r>
        <w:t xml:space="preserve"> </w:t>
      </w:r>
    </w:p>
    <w:p w:rsidR="00025830" w:rsidRPr="00762AA6" w:rsidRDefault="00025830" w:rsidP="00025830">
      <w:r>
        <w:t xml:space="preserve">[1] </w:t>
      </w:r>
      <w:r>
        <w:rPr>
          <w:highlight w:val="yellow"/>
        </w:rPr>
        <w:t>Improve cognitive functions in adults/Support cognitive functions in healthy adults/ Maintain healthy cognitive functions/Supports mental clarity and supports cognitive function.</w:t>
      </w:r>
      <w:r>
        <w:t xml:space="preserve"> </w:t>
      </w:r>
    </w:p>
    <w:p w:rsidR="00025830" w:rsidRDefault="00025830" w:rsidP="00025830">
      <w:r>
        <w:t xml:space="preserve">Traditional evidence suggests that </w:t>
      </w:r>
      <w:r>
        <w:rPr>
          <w:i/>
        </w:rPr>
        <w:t xml:space="preserve">Bacopa monnieri </w:t>
      </w:r>
      <w:r>
        <w:t>enhances cognitive function as it has been used to enhance memory and aid intellect in humans for centuries in traditional Ayurvedic medicine (Russo and Borrelli, 2005).</w:t>
      </w:r>
    </w:p>
    <w:p w:rsidR="00025830" w:rsidRDefault="00025830" w:rsidP="00025830">
      <w:r>
        <w:t>The data in this application to support this first indication is based on ‘sustained’ or ‘chronic’ use of CDRI 08, i.e. over 90 days (Stough et al. 2001), and what is termed ‘acute’ use, where the effects on cognitive function are assessed within 1-2 hours of dosing (Downey et al. 2012).</w:t>
      </w:r>
    </w:p>
    <w:p w:rsidR="00025830" w:rsidRDefault="00025830" w:rsidP="00025830">
      <w:r>
        <w:t xml:space="preserve">The pivotal studies to support an improvement in cognitive function over a sustained or ‘chronic’ use of CDRI 08 are </w:t>
      </w:r>
      <w:r>
        <w:rPr>
          <w:highlight w:val="yellow"/>
        </w:rPr>
        <w:t>Csr-km1-2012 (Stough et al. 2001), Csr-km2-2012 (Stough et al. 2008), Csr-km-2002 (Roodenrys et al. 2002), all in healthy adults and the study Csr-kgmc-01 (Raghav et al. 2006) in elderly subjects with age-associated memory impairment (m 5.3.5.1).</w:t>
      </w:r>
      <w:r>
        <w:t xml:space="preserve">  </w:t>
      </w:r>
    </w:p>
    <w:p w:rsidR="00025830" w:rsidRDefault="00025830" w:rsidP="00025830">
      <w:r>
        <w:t>Stough et al. (2001) conducted the first randomised, double-blind, placebo-controlled study of the cognitive enhancing effects of CDRI 08 (at the dosage of 300 mg) in 46 healthy adults between 18-60 years of age</w:t>
      </w:r>
      <w:r>
        <w:rPr>
          <w:i/>
        </w:rPr>
        <w:t xml:space="preserve">. </w:t>
      </w:r>
      <w:r>
        <w:t xml:space="preserve">They found significant improvement in the speed of visual processing, learning rate and memory consolidation measured by the Auditory Verbal Learning Test (AVLT; P&lt;0.05) and an improved state of anxiety (P&lt;0.001) in the participants who received </w:t>
      </w:r>
      <w:r>
        <w:rPr>
          <w:i/>
        </w:rPr>
        <w:t xml:space="preserve"> </w:t>
      </w:r>
      <w:r>
        <w:t xml:space="preserve">CDRI 08 extract compared with those who received placebo, with maximal effects after 12 weeks. </w:t>
      </w:r>
    </w:p>
    <w:p w:rsidR="00025830" w:rsidRPr="00C929E2" w:rsidRDefault="00025830" w:rsidP="00025830">
      <w:r>
        <w:t>The results from the study by Stough (2001) were replicated by Roodenrys and colleagues (2002) who found that treatment with 300-450 mg CDRI 08</w:t>
      </w:r>
      <w:r>
        <w:rPr>
          <w:i/>
        </w:rPr>
        <w:t xml:space="preserve"> </w:t>
      </w:r>
      <w:r>
        <w:t xml:space="preserve">for 3 months resulted in significantly improved retention of new information: the recall of information (unrelated word pairs) after a short delay. 76 subjects aged between 40-65 years and slightly older than the group studied by Stough et al. (2001) were included into this study. However, the analyses were limited as they did not adjust for multiple measures so further confirmation of the cognitive effects of </w:t>
      </w:r>
      <w:r>
        <w:rPr>
          <w:i/>
        </w:rPr>
        <w:t xml:space="preserve">Bacopa monnieri </w:t>
      </w:r>
      <w:r>
        <w:t>was required (Roodenrys et al. 2002).</w:t>
      </w:r>
    </w:p>
    <w:p w:rsidR="00025830" w:rsidRDefault="00025830" w:rsidP="00025830">
      <w:r>
        <w:t>In a separate study of the nootropic effects of CDRI 08</w:t>
      </w:r>
      <w:r>
        <w:rPr>
          <w:i/>
        </w:rPr>
        <w:t xml:space="preserve"> </w:t>
      </w:r>
      <w:r>
        <w:t xml:space="preserve">in a larger group of participants (107 healthy volunteers, aged between 18 and 60 years) and using a tailored Cognitive Drug Research (CDR) cognitive assessment battery, Stough and colleagues (2008) showed that participants receiving the treatment had a significant improvement in working memory and a reduction in false positives in the rapid visual information processing task, compared with participants receiving placebo (Stough et al. 2008). In this study, participants were only included if they were at least 80% compliant with the use of their medication. However, in this study there was no reduction in state anxiety in participants receiving CDRI 08, contrasting with the results from the earlier study by Stough and colleagues (2001). </w:t>
      </w:r>
    </w:p>
    <w:p w:rsidR="00025830" w:rsidRDefault="00025830" w:rsidP="00025830">
      <w:r>
        <w:t xml:space="preserve">The positive effects on cognitive function with the sustained use of CDRI 08 were also observed in the smaller study of subjects (35 subjects completed the study) with complaints of memory impairment (Raghav et al. 2006). In these subjects, treatment with CDRI 08 produced significant improvement in mental control, logical memory and paired associated learning (Raghav et al. 2006).  </w:t>
      </w:r>
    </w:p>
    <w:p w:rsidR="00025830" w:rsidRDefault="00025830" w:rsidP="00025830">
      <w:r>
        <w:t xml:space="preserve">The sustained effects of the CDRI 08 extract on cognitive function are supported by data with other BM extracts in older participants (Calabrese et al. 2008; Morgan and Stevens, 2010), in participants with complaints of memory impairment (Barbhaiya et al. 2008) and in participants with disturbances in concentration, memory and learning ability (Mandal et al. 2011). Doses in these studies ranged from 300mg-750mg BM extract per day. </w:t>
      </w:r>
    </w:p>
    <w:p w:rsidR="00025830" w:rsidRDefault="00025830" w:rsidP="00025830">
      <w:r>
        <w:t xml:space="preserve">A more recent double blind, placebo-controlled study (Kumar et al. 2016) in healthy young medical students, showed a statistically improvement in test relating cognitive functions after administration of 150 mg BM extract (Bacognize) for six weeks.  </w:t>
      </w:r>
    </w:p>
    <w:p w:rsidR="00025830" w:rsidRDefault="00025830" w:rsidP="00025830">
      <w:r>
        <w:t>Another study that investigated the effects of a single 450 mg daily dose of BM extract in 72 healthy adults found no significant differences in cognitive function between the group treated with BM</w:t>
      </w:r>
      <w:r>
        <w:rPr>
          <w:i/>
        </w:rPr>
        <w:t xml:space="preserve"> </w:t>
      </w:r>
      <w:r>
        <w:t xml:space="preserve">extract and a group receiving placebo (Sathyanarayanan et al. 2013). When investigating effects of a combined extract of </w:t>
      </w:r>
      <w:r>
        <w:rPr>
          <w:i/>
        </w:rPr>
        <w:t xml:space="preserve">Gingko biloba </w:t>
      </w:r>
      <w:r>
        <w:t xml:space="preserve">and </w:t>
      </w:r>
      <w:r>
        <w:rPr>
          <w:i/>
        </w:rPr>
        <w:t>Bacopa monnieri</w:t>
      </w:r>
      <w:r>
        <w:t xml:space="preserve"> in healthy humans Nathan et al (2004) found no significant improvement in tests of cognitive function that included attention, short-term and working memory, verbal learning, memory consolidation, executive processes, planning and problem solving, information processing speed, motor responsiveness and decision making (Nathan et al. 2004). In this study, testing was performed at baseline and at 2 and 4 weeks after treatment with daily doses of placebo or 300 mg </w:t>
      </w:r>
      <w:r>
        <w:rPr>
          <w:i/>
        </w:rPr>
        <w:t xml:space="preserve">Bacopa monnieri </w:t>
      </w:r>
      <w:r>
        <w:t xml:space="preserve">and 120 mg </w:t>
      </w:r>
      <w:r>
        <w:rPr>
          <w:i/>
        </w:rPr>
        <w:t xml:space="preserve">Gingko biloba </w:t>
      </w:r>
      <w:r>
        <w:t xml:space="preserve">(Nathan et al. 2004). The authors concluded that it was possible that the treatment duration was not long enough to produce the maximum pharmacodynamic effects of </w:t>
      </w:r>
      <w:r>
        <w:rPr>
          <w:i/>
        </w:rPr>
        <w:t xml:space="preserve">Bacopa monnieri </w:t>
      </w:r>
      <w:r>
        <w:t xml:space="preserve">on cognition (Nathan et al. 2004).  </w:t>
      </w:r>
    </w:p>
    <w:p w:rsidR="00025830" w:rsidRPr="00E13CB6" w:rsidRDefault="00025830" w:rsidP="00025830">
      <w:r>
        <w:t xml:space="preserve">The body of evidence supporting the sustained or chronic cognitive benefits of </w:t>
      </w:r>
      <w:r>
        <w:rPr>
          <w:i/>
        </w:rPr>
        <w:t>Bacopa monnieri</w:t>
      </w:r>
      <w:r>
        <w:t xml:space="preserve"> (i.e. ≥12 weeks of therapy) has been assessed via systematic review (Pase et al. 2012) and meta-analysis (Kongkeaw et al. 2014). The systematic review by Pase did not support enhancement of cognitive function with use of </w:t>
      </w:r>
      <w:r>
        <w:rPr>
          <w:i/>
        </w:rPr>
        <w:t xml:space="preserve">Bacopa monnieri </w:t>
      </w:r>
      <w:r>
        <w:t>(Pase et al. 2012). However, the authors acknowledged that this may have been due to inconsistent measures being employed across the different cognitive domains (Pase et al. 2012). Also, only 6 studies were included in this analysis (i.e. Stough et al. 2001, 2008; Roodenrys et al. 2002; Morgan and Stevens, 2010; Calabrese et al. 2008; Barbhaiya et al. 2008). The meta-analysis by Kongkeaw et al. (2014) concluded that use of BM extract has the potential to improve cognition, particularly speed of attention but also acknowledged the need for more data. This meta-analysis included the study by Sathyanarayanan et al. (2013) but did not include the two additional unpublished studies supporting enhancement of cognitive function is subjects with age-associated memory impairment and children with ADHD that are included in this application (</w:t>
      </w:r>
      <w:r>
        <w:rPr>
          <w:highlight w:val="yellow"/>
        </w:rPr>
        <w:t>Csr-ddugu-01, Sharma thesis, 2000 and Csr-cdri-01, CDRI internal report 2001 m 5.3.5.4).</w:t>
      </w:r>
      <w:r>
        <w:t xml:space="preserve"> </w:t>
      </w:r>
    </w:p>
    <w:p w:rsidR="00025830" w:rsidRDefault="00025830" w:rsidP="00025830">
      <w:r>
        <w:t xml:space="preserve">The first test of the acute nootropic effects of </w:t>
      </w:r>
      <w:r>
        <w:rPr>
          <w:i/>
        </w:rPr>
        <w:t>Bacopa monnieri</w:t>
      </w:r>
      <w:r>
        <w:t xml:space="preserve"> in healthy human subjects showed no significant change in the assessments of cognitive function before and 2 hours after a 300 mg dose of CDRI 08 (Nathan et al. 2001)</w:t>
      </w:r>
      <w:r>
        <w:rPr>
          <w:i/>
        </w:rPr>
        <w:t xml:space="preserve">. </w:t>
      </w:r>
      <w:r>
        <w:t xml:space="preserve">However, no assessments of mood, anxiety or any biological measures related to the adaptogenic properties of </w:t>
      </w:r>
      <w:r>
        <w:rPr>
          <w:i/>
        </w:rPr>
        <w:t xml:space="preserve">Bacopa monnieri </w:t>
      </w:r>
      <w:r>
        <w:t>were collected. In addition, the tests of cognitive function were the same as those used in the studies on chronic use and may not have been ideal for assessing the acute cognitive effects of CDRI 08 (Nathan et al. 2001).</w:t>
      </w:r>
    </w:p>
    <w:p w:rsidR="00025830" w:rsidRDefault="00025830" w:rsidP="00025830">
      <w:r>
        <w:t>In this dossier, additional studies on the</w:t>
      </w:r>
      <w:r>
        <w:rPr>
          <w:i/>
        </w:rPr>
        <w:t xml:space="preserve"> </w:t>
      </w:r>
      <w:r>
        <w:t xml:space="preserve">acute effects of Mindwise show that cognitive performance can be improved on specific tasks (Downey et al. 2012; see also Benson et al. 2013 and </w:t>
      </w:r>
      <w:r>
        <w:rPr>
          <w:highlight w:val="yellow"/>
        </w:rPr>
        <w:t>Stough and</w:t>
      </w:r>
      <w:r>
        <w:t xml:space="preserve"> </w:t>
      </w:r>
      <w:r>
        <w:rPr>
          <w:highlight w:val="yellow"/>
        </w:rPr>
        <w:t>Downey, 2014 - interim results</w:t>
      </w:r>
      <w:r>
        <w:t xml:space="preserve">). Downey and colleagues (2012) showed that the acute effects on cognitive performance occurred without any effect on cardiovascular parameters and with no attenuation of ratings of stress or fatigue (Downey et al. 2012). These studies used different cognitive assessments to those in the study by Nathan et al. (2001). </w:t>
      </w:r>
      <w:r>
        <w:rPr>
          <w:highlight w:val="yellow"/>
        </w:rPr>
        <w:t>While the interim results from the study by Stough and Downey support the conclusions from the study by Benson et al. (2013), the final results will be important to confirm these acute effects on cognitive function</w:t>
      </w:r>
      <w:r>
        <w:t xml:space="preserve">.  </w:t>
      </w:r>
    </w:p>
    <w:p w:rsidR="00025830" w:rsidRPr="00762AA6" w:rsidRDefault="00025830" w:rsidP="00025830">
      <w:r>
        <w:t xml:space="preserve">[2] </w:t>
      </w:r>
      <w:r>
        <w:rPr>
          <w:highlight w:val="yellow"/>
        </w:rPr>
        <w:t>Improves and maintains memory in healthy individuals/Improves working memory/Assist in learning retention.</w:t>
      </w:r>
      <w:r>
        <w:t xml:space="preserve"> </w:t>
      </w:r>
    </w:p>
    <w:p w:rsidR="00025830" w:rsidRDefault="00025830" w:rsidP="00025830">
      <w:r>
        <w:t>Stough and colleagues (2001) included memory assessments in their first randomised, controlled trial of CDRI 08</w:t>
      </w:r>
      <w:r>
        <w:rPr>
          <w:i/>
        </w:rPr>
        <w:t xml:space="preserve"> </w:t>
      </w:r>
      <w:r>
        <w:t>and found that learning rate and memory consolidation improved significantly in subjects receiving treatment compared with those receiving placebo (Stough et al. 2001). Roodenrys and colleagues (2002) replicated the memory-enhancing effects of CDRI 08 treatment in their study in slightly older subjects (40-65 years of age; Roodenrys et al. 2002). They found improved retention of new information and a decreasing rate of forgetting newly acquired information in the subjects who received CDRI 08 compared with those who received placebo and all subjects had 80% compliance with their study medication. Although there was significant improvement in recall and retention tasks, there was no effect of CDRI 08 on short term and working memory and the number of participants included in the final analysis was modest (n=37 CDRI 08, n=39 Placebo). In addition, the analysis was limited as it was not adjusted for multiple measures (Roodenrys et al. 2002).</w:t>
      </w:r>
    </w:p>
    <w:p w:rsidR="00025830" w:rsidRDefault="00025830" w:rsidP="00025830">
      <w:r>
        <w:t xml:space="preserve">The effects of memory were tested further in the larger sample of subjects by Stough and colleagues (2008) with a tailored version of the cognitive demand battery of tests. In this study, use of CDRI 08 significantly improved performance on the ‘Working Memory’ factor (P=0.035). </w:t>
      </w:r>
    </w:p>
    <w:p w:rsidR="00025830" w:rsidRDefault="00025830" w:rsidP="00025830">
      <w:r>
        <w:t xml:space="preserve">In two studies in subjects who complained of memory impairment, treatment with CDRI 08 for 12 weeks resulted in a significant improvement in mental control, logical memory and paired associate learning in one study (Raghav et al. 2006) and in the second study, significant improvements in logical memory and paired associate learning on the Wechsler’s Memory Scale from week 4 onwards (Csr-ddugu-01 m5.3.5.4). Furthermore, children with ADHD receiving </w:t>
      </w:r>
      <w:r>
        <w:rPr>
          <w:i/>
        </w:rPr>
        <w:t xml:space="preserve">Bacopa monnieri </w:t>
      </w:r>
      <w:r>
        <w:t>had a significant improvement in sentence repetition, logical memory, word recall, digit span test, delayed response learning, picture recall and mental control test, compared with children who received placebo (</w:t>
      </w:r>
      <w:r>
        <w:rPr>
          <w:highlight w:val="yellow"/>
        </w:rPr>
        <w:t>Csr-cdri-01; CDRI internal report, 2001 m5.5.5.4</w:t>
      </w:r>
      <w:r>
        <w:t xml:space="preserve">). </w:t>
      </w:r>
    </w:p>
    <w:p w:rsidR="00025830" w:rsidRPr="003E139D" w:rsidRDefault="0029064C" w:rsidP="00025830">
      <w:pPr>
        <w:rPr>
          <w:lang w:val="en-GB"/>
        </w:rPr>
      </w:pPr>
      <w:r>
        <w:t>The pivotal studies above with CDRI 08 are supported by data from placebo-controlled studies with other BM extracts</w:t>
      </w:r>
      <w:r>
        <w:rPr>
          <w:i/>
        </w:rPr>
        <w:t xml:space="preserve">. </w:t>
      </w:r>
      <w:r>
        <w:t>In subjects &gt;65 years of age, subjects receiving BM extract had enhanced AVLT delayed word recall memory scores, compared with the group receiving placebo (Calabrese et al. 2008). In subjects aged 50-75 with complaints of memory impairment receiving 450 mg BM extract (BacoMind) daily for 12 weeks, there was an improvement in tests associated with attention and verbal memory, compared with the results in the group receiving placebo (Barbhaiya et al. 2008). In healthy volunteers with disturbances in concentration, memory and learning ability there was a significant improvement in verbal span memory, verbal working memory and logical memory with the use of a daily 750 mg caplet of BM extract compared with the results in a group receiving placebo. In another group of healthy elderly subjects, use of BM extract resulted in improved working memory (both continuation or attention and quality of memory), compared with results in a group receiving placebo (Peth-Nui et al. 2012).</w:t>
      </w:r>
      <w:r>
        <w:rPr>
          <w:i/>
        </w:rPr>
        <w:t xml:space="preserve"> </w:t>
      </w:r>
      <w:r>
        <w:t xml:space="preserve">Improvements in audioverbal and visual memory measured by the AVLT were demonstrated in a study in which 136 healthy older volunteers &gt;55 years were randomized to receive BM extract (300 mg/daily, Baco Mind) or placebo for 12 weeks (Morgan and Stevens, 2010). BM extract significantly improved verbal learning, memory acquisition, and delayed recall as measured by the AVLT: trial a4 (p = 0.000), trial a5 (p = 0.016); trial a6 (p = 0.000); trial a7 (delayed recall) (p = 0.001); total learning (p = 0.011); and retroactive interference (p = 0.048). In the study published by Kumar et al (2016) medical students aged between 19-22 years and subject to 150mg/daily of BM extract (Bacognize) or placebo were assessed </w:t>
      </w:r>
      <w:r>
        <w:rPr>
          <w:lang w:val="en-GB"/>
        </w:rPr>
        <w:t>to a battery of established auditory and visual neuropsychological tests to evaluate the efficacy of treatment (Kumar et al. 2016). The logical memory test, known to be a measure of immediate recall of logical material and language comprehension significantly improved (</w:t>
      </w:r>
      <w:r>
        <w:rPr>
          <w:rFonts w:ascii="Cambria Math" w:hAnsi="Cambria Math" w:cs="Cambria Math"/>
          <w:lang w:val="en-GB"/>
        </w:rPr>
        <w:t>𝑝</w:t>
      </w:r>
      <w:r>
        <w:rPr>
          <w:lang w:val="en-GB"/>
        </w:rPr>
        <w:t xml:space="preserve"> &lt; 0.05) in the </w:t>
      </w:r>
      <w:r>
        <w:t>BM extract</w:t>
      </w:r>
      <w:r>
        <w:rPr>
          <w:i/>
          <w:iCs/>
          <w:lang w:val="en-GB"/>
        </w:rPr>
        <w:t xml:space="preserve"> </w:t>
      </w:r>
      <w:r>
        <w:rPr>
          <w:iCs/>
          <w:lang w:val="en-GB"/>
        </w:rPr>
        <w:t>treatment group</w:t>
      </w:r>
      <w:r>
        <w:rPr>
          <w:i/>
          <w:iCs/>
          <w:lang w:val="en-GB"/>
        </w:rPr>
        <w:t>.</w:t>
      </w:r>
    </w:p>
    <w:p w:rsidR="00025830" w:rsidRDefault="00025830" w:rsidP="00025830">
      <w:r>
        <w:t xml:space="preserve">The systematic review of 6 randomised, controlled studies of the cognitive-enhancing effects of </w:t>
      </w:r>
      <w:r>
        <w:rPr>
          <w:i/>
        </w:rPr>
        <w:t>Bacopa monnieri</w:t>
      </w:r>
      <w:r>
        <w:t xml:space="preserve"> (Stough et al. 2001, 2008; Roodenrys et al. 2002; Barbhaiya et al. 2008; Calabrese et al. 2008; Morgan and Stevens, 2010) showed that there was evidence to support the use of BM extract for improving free recall of information (Pase et al. 2012). While this review does not include all the studies provided in this application to support this indication, it provides further support for this indication.</w:t>
      </w:r>
    </w:p>
    <w:p w:rsidR="00025830" w:rsidRPr="005D03A8" w:rsidRDefault="00025830" w:rsidP="00025830">
      <w:r>
        <w:t>Another recent review that analysed studies of BM extract in children and adolescents demonstrated improvements in this population after treatment in a number of the memory sub-domain assessments particularly in memory-span (Kean et al. 2016).</w:t>
      </w:r>
    </w:p>
    <w:p w:rsidR="00025830" w:rsidRPr="00655144" w:rsidRDefault="00025830" w:rsidP="00025830">
      <w:r>
        <w:t>[3</w:t>
      </w:r>
      <w:r>
        <w:rPr>
          <w:highlight w:val="yellow"/>
        </w:rPr>
        <w:t>] Assist with concentration/ focus/ keeping to tasks / attention span.</w:t>
        <w:tab/>
      </w:r>
    </w:p>
    <w:p w:rsidR="00025830" w:rsidRDefault="00025830" w:rsidP="00025830">
      <w:r>
        <w:t>In the first randomised, controlled trial of sustained or chronic use of CDRI 08, Stough and colleagues found evidence to support this indication via decreased proactive interference in the subjects who received CDRI 08, compared with those who received placebo (Stough et al. 2001). This was supported by data in their second larger study in which use of CDRI 08 resulted in significantly improved performance on the ‘Working Memory’ factor (P=0.035), in addition to a reduction in the number of false positives recorded in the Rapid Visual Information Processing task, compared with results in the placebo group (P=0.029) (Stough et al. 2008).</w:t>
      </w:r>
    </w:p>
    <w:p w:rsidR="00025830" w:rsidRDefault="00025830" w:rsidP="00025830">
      <w:r>
        <w:t>The sustained or chronic use of CDRI 08 for 12 weeks in children with ADHD resulted in an improvement in concentration in 67% of subjects receiving CDRI 08</w:t>
      </w:r>
      <w:r>
        <w:rPr>
          <w:i/>
        </w:rPr>
        <w:t xml:space="preserve"> </w:t>
      </w:r>
      <w:r>
        <w:t>(</w:t>
      </w:r>
      <w:r>
        <w:rPr>
          <w:highlight w:val="yellow"/>
        </w:rPr>
        <w:t>Csr-cdri-01; CDRI internal report, 2001 m 5.3.5.4).</w:t>
      </w:r>
      <w:r>
        <w:t xml:space="preserve"> While there was no significant difference between results for those children treated with CDRI 08</w:t>
      </w:r>
      <w:r>
        <w:rPr>
          <w:i/>
        </w:rPr>
        <w:t xml:space="preserve"> </w:t>
      </w:r>
      <w:r>
        <w:t>and placebo for personal information, paired associated learning or the subscale II (impulsive) on the ADD evaluation scale, all other memory variables and learning indicators significantly improved in the group receiving CDRI 08</w:t>
      </w:r>
      <w:r>
        <w:rPr>
          <w:i/>
        </w:rPr>
        <w:t xml:space="preserve"> </w:t>
      </w:r>
      <w:r>
        <w:t xml:space="preserve">and significant improvements in subscale I (in attentive) and subscale II (hyperactives) were also observed compared with the group receiving placebo </w:t>
      </w:r>
      <w:r>
        <w:rPr>
          <w:highlight w:val="yellow"/>
        </w:rPr>
        <w:t>(Csr-cdri-01; CDRI internal report, 2001 m 5.3.5.4).</w:t>
      </w:r>
    </w:p>
    <w:p w:rsidR="00025830" w:rsidRDefault="00025830" w:rsidP="00025830">
      <w:r>
        <w:t>Another study considering the effect of BM extract after 6 months in children (6-12 years) diagnosed for ADHD showed the reduction of attention-deficit symptoms in 85% of children included into the investigation (Dave et al. 2014).</w:t>
      </w:r>
    </w:p>
    <w:p w:rsidR="00025830" w:rsidRDefault="00025830" w:rsidP="00025830">
      <w:r>
        <w:t xml:space="preserve">Downey and colleagues (2012) provide data to support an acute effect of CDRI 08 for this indication with improved performance on the serial 3s subtraction test with a 320mg dose at the first, second and fourth repetition post-dose. This improvement in performance is thought to be due to improvements in information processing and decision making time and is also thought to involve aspects of attention and freedom from distractibility (Downey et al. 2012). However, the authors concluded that a different test of cognition with less impact on memory might be better suited to an assessment of the acute effects of CDRI 08 (Downey et al. 2012). In the small study by Benson et al. (2013), a multi-task framework (MTF) was used to test the acute effects of the treatment at 1 and 2 hours post dose. Changes from baseline indicated positive cognitive effects that warranted further investigation and these are being replicated in the study </w:t>
      </w:r>
      <w:r>
        <w:rPr>
          <w:highlight w:val="yellow"/>
        </w:rPr>
        <w:t>by Stough and Downey (2014). Preliminary results from this study are consistent with those from the Benson study but the final results will be important to confirm these acute effects on cognitive function</w:t>
      </w:r>
      <w:r>
        <w:t>.</w:t>
      </w:r>
    </w:p>
    <w:p w:rsidR="00025830" w:rsidRPr="00762AA6" w:rsidRDefault="00025830" w:rsidP="00025830">
      <w:r>
        <w:t xml:space="preserve">[4] </w:t>
      </w:r>
      <w:r>
        <w:rPr>
          <w:highlight w:val="yellow"/>
        </w:rPr>
        <w:t>Traditionally used in Ayurveda for memory and concentration/</w:t>
      </w:r>
      <w:r>
        <w:rPr>
          <w:i/>
          <w:highlight w:val="yellow"/>
        </w:rPr>
        <w:t>Bacopa monnieri</w:t>
      </w:r>
      <w:r>
        <w:rPr>
          <w:highlight w:val="yellow"/>
        </w:rPr>
        <w:t xml:space="preserve"> has a traditional use in Ayurvedic medicine to heighten learning capacity.</w:t>
      </w:r>
    </w:p>
    <w:p w:rsidR="00025830" w:rsidRDefault="00025830" w:rsidP="00025830">
      <w:r>
        <w:rPr>
          <w:i/>
        </w:rPr>
        <w:t>Bacopa monnieri</w:t>
      </w:r>
      <w:r>
        <w:t xml:space="preserve"> has been used by Ayurvedic medical practitioners for centuries to improve memory and intellect (Russo and Borrelli, 2005; Braun and Cohen, 2010). Brahmi (</w:t>
      </w:r>
      <w:r>
        <w:rPr>
          <w:i/>
        </w:rPr>
        <w:t xml:space="preserve">Bacopa monnieri) </w:t>
      </w:r>
      <w:r>
        <w:t xml:space="preserve">was included in various historical Ayurvedic texts as a </w:t>
      </w:r>
      <w:r>
        <w:rPr>
          <w:i/>
        </w:rPr>
        <w:t>rasayana</w:t>
      </w:r>
      <w:r>
        <w:t xml:space="preserve"> to be taken during each decade of life after the first decade (Singh, 2013 Table 2.5.1). </w:t>
      </w:r>
      <w:r>
        <w:rPr>
          <w:lang w:eastAsia="en-US"/>
        </w:rPr>
        <w:t xml:space="preserve">Brahmi was referred to in religious, social and medical treatises of India well before its first reference in the </w:t>
      </w:r>
      <w:r>
        <w:rPr>
          <w:i/>
          <w:lang w:eastAsia="en-US"/>
        </w:rPr>
        <w:t>Charak Samhita</w:t>
      </w:r>
      <w:r>
        <w:rPr>
          <w:lang w:eastAsia="en-US"/>
        </w:rPr>
        <w:t xml:space="preserve"> that was written in the Kushan age (circa first century A.D.). In the </w:t>
      </w:r>
      <w:r>
        <w:rPr>
          <w:i/>
          <w:lang w:eastAsia="en-US"/>
        </w:rPr>
        <w:t>Charak Samhita</w:t>
      </w:r>
      <w:r>
        <w:rPr>
          <w:lang w:eastAsia="en-US"/>
        </w:rPr>
        <w:t xml:space="preserve"> reference, Brahmi was prescribed for a mental disorder consisting of a combination of anxiety, weak intellect and lack of concentration (Van Loom, 2003). The traditional use of Brahmi is also recorded in the </w:t>
      </w:r>
      <w:r>
        <w:rPr>
          <w:i/>
          <w:lang w:eastAsia="en-US"/>
        </w:rPr>
        <w:t>Susruta Samhita (</w:t>
      </w:r>
      <w:r>
        <w:rPr>
          <w:lang w:eastAsia="en-US"/>
        </w:rPr>
        <w:t>circa 200 A.D.), in which Brahmi was described as being efficacious in the treatment of loss of memory and useful for enhancing intellect (</w:t>
      </w:r>
      <w:r>
        <w:t xml:space="preserve">Bhishagratna, 1998). </w:t>
      </w:r>
    </w:p>
    <w:p w:rsidR="00025830" w:rsidRDefault="00025830" w:rsidP="00025830">
      <w:r>
        <w:rPr>
          <w:i/>
        </w:rPr>
        <w:t xml:space="preserve">Bacopa monnieri </w:t>
      </w:r>
      <w:r>
        <w:t xml:space="preserve">(Brahmi) is classified as memory enhancing and rejuvenating and is claimed to increase longevity and promote progeny. It was also claimed to alleviate old age and age-related illnesses, to promote memory and intellect, enhance life span, provide nourishment, excellence, clarity of voice, complexion and luster and produce a photographic memory (Singh, 2013). </w:t>
      </w:r>
    </w:p>
    <w:p w:rsidR="00025830" w:rsidRPr="00762AA6" w:rsidRDefault="00025830" w:rsidP="00025830">
      <w:r>
        <w:t xml:space="preserve">[5] </w:t>
      </w:r>
      <w:r>
        <w:rPr>
          <w:highlight w:val="yellow"/>
        </w:rPr>
        <w:t>Traditionally used in Ayurvedic medicine as a nerve tonic and to support cardiovascular health</w:t>
      </w:r>
      <w:r>
        <w:t>.</w:t>
      </w:r>
    </w:p>
    <w:p w:rsidR="00025830" w:rsidRDefault="00025830" w:rsidP="00025830">
      <w:r>
        <w:t xml:space="preserve">In Ayurvedic medicine, </w:t>
      </w:r>
      <w:r>
        <w:rPr>
          <w:i/>
        </w:rPr>
        <w:t>Bacopa monnieri</w:t>
      </w:r>
      <w:r>
        <w:t xml:space="preserve"> is described as being cold, sweet, astringent, diuretic, laxative and as a tonic for the heart and nerves. In India and Pakistan, bacopa is used internally as a febrifuge, nervine and cardiac tonic (Wohlmuth, 1999). </w:t>
      </w:r>
    </w:p>
    <w:p w:rsidR="00025830" w:rsidRPr="002943B2" w:rsidRDefault="00025830" w:rsidP="00025830">
      <w:r>
        <w:t xml:space="preserve">Although described as a ‘nerve tonic’ that was prescribed to enhance rehabilitation after injury causing neural damage such as a stroke (Braun and Cohen, 2010), there is pre-clinical evidence that also supports a neuroprotective function for </w:t>
      </w:r>
      <w:r>
        <w:rPr>
          <w:i/>
        </w:rPr>
        <w:t>Bacopa monnieri</w:t>
      </w:r>
      <w:r>
        <w:t xml:space="preserve">. The evidence to support a neuroprotective function is given under indication [7] below. </w:t>
      </w:r>
    </w:p>
    <w:p w:rsidR="00025830" w:rsidRDefault="00025830" w:rsidP="00025830">
      <w:r>
        <w:t xml:space="preserve">The direct cardiovascular effects of BM extract are documented in pre-clinical studies. An ethanolic extract of the whole </w:t>
      </w:r>
      <w:r>
        <w:rPr>
          <w:i/>
        </w:rPr>
        <w:t>Bacopa monnieri</w:t>
      </w:r>
      <w:r>
        <w:t xml:space="preserve"> plant showed cardiac depressive activity on left ventricular contractility, heart rate and coronary flow in isolated rabbit heart (Rashid et al. 1990). In addition, BM extract acts as a non-selective calcium antagonist in the rabbit aorta and main pulmonary artery with a similar response to that of the known calcium channel blocker, nifedipine (Dar and Channa, 1999). When these actions were studied </w:t>
      </w:r>
      <w:r>
        <w:rPr>
          <w:i/>
        </w:rPr>
        <w:t>in vivo</w:t>
      </w:r>
      <w:r>
        <w:t xml:space="preserve">, they translated into a transient, dose-dependent reduction in blood pressure in rats without an effect on heart rate (Kamkaew et al. 2011). Furthermore, </w:t>
      </w:r>
      <w:r>
        <w:rPr>
          <w:i/>
        </w:rPr>
        <w:t xml:space="preserve">in vitro </w:t>
      </w:r>
      <w:r>
        <w:t xml:space="preserve">studies showed that BM extract had a vasodilator action in isolated arteries (Kamkaew et al. 2011). Further studies are needed to determine whether these results may have clinical application but they provide some support for the traditional claims. </w:t>
      </w:r>
    </w:p>
    <w:p w:rsidR="00025830" w:rsidRPr="00762AA6" w:rsidRDefault="00025830" w:rsidP="00025830">
      <w:r>
        <w:t xml:space="preserve"> [6] </w:t>
      </w:r>
      <w:r>
        <w:rPr>
          <w:i/>
          <w:highlight w:val="yellow"/>
        </w:rPr>
        <w:t>Bacopa monnieri</w:t>
      </w:r>
      <w:r>
        <w:rPr>
          <w:highlight w:val="yellow"/>
        </w:rPr>
        <w:t xml:space="preserve"> has anti-oxidant properties</w:t>
      </w:r>
      <w:r>
        <w:t>.</w:t>
      </w:r>
    </w:p>
    <w:p w:rsidR="00025830" w:rsidRDefault="00025830" w:rsidP="00025830">
      <w:r>
        <w:t xml:space="preserve">In living systems, lipid peroxidation is induced by free radicals and reactive oxygen species. The main radicals are superoxides that are converted to hydrogen peroxide. If these are not ‘scavenged’ or converted into less reactive forms they can ultimately damage the cell. Transition metals are also involved in the lipid peroxidation which may either be enzymatic or non-enzymatic. Anti-oxidants are specific to the species of reactive oxygen. They may act by enhancing the endogenous defence enzymes, by interacting directly with the superoxides or by chelation of the transition metals and inhibiting the formation of free radicals (Tripathi et al. 1996). </w:t>
      </w:r>
    </w:p>
    <w:p w:rsidR="00025830" w:rsidRDefault="00025830" w:rsidP="00025830">
      <w:r>
        <w:t xml:space="preserve">Accumulation of neurotoxic free radicals and the consequent neurodegeneration in specific brain areas has been proposed as a factor involved in Alzheimer’s disease, Parkinsonism and the process of ageing (Jomova et al 2010). </w:t>
      </w:r>
    </w:p>
    <w:p w:rsidR="00025830" w:rsidRDefault="00025830" w:rsidP="00025830">
      <w:r>
        <w:t xml:space="preserve">The anti-oxidant properties of </w:t>
      </w:r>
      <w:r>
        <w:rPr>
          <w:i/>
        </w:rPr>
        <w:t xml:space="preserve">Bacopa monnieri </w:t>
      </w:r>
      <w:r>
        <w:t xml:space="preserve">have been studied in several pre-clinical studies. Tripathi and colleagues (1996) investigated the effects of </w:t>
      </w:r>
      <w:r>
        <w:rPr>
          <w:i/>
        </w:rPr>
        <w:t xml:space="preserve">Bacopa monnieri </w:t>
      </w:r>
      <w:r>
        <w:t xml:space="preserve">on lipid peroxidation and compared the outcomes with known anti-oxidants in albino rats </w:t>
      </w:r>
      <w:r>
        <w:rPr>
          <w:i/>
        </w:rPr>
        <w:t xml:space="preserve">in vitro </w:t>
      </w:r>
      <w:r>
        <w:t>(Tripathi et al. 1996)</w:t>
      </w:r>
      <w:r>
        <w:rPr>
          <w:i/>
        </w:rPr>
        <w:t xml:space="preserve">. Bacopa monnieri </w:t>
      </w:r>
      <w:r>
        <w:t>decreased the lipid peroxidation induced by FeSO</w:t>
      </w:r>
      <w:r>
        <w:rPr>
          <w:vertAlign w:val="subscript"/>
        </w:rPr>
        <w:t>4</w:t>
      </w:r>
      <w:r>
        <w:t xml:space="preserve"> and cumene hydroperoxide and therefore exhibited potent anti-oxidant activity (Tripathi et al. 1996). The anti-oxidant activity was thought to be at the initiation level via chelation of the Fe</w:t>
      </w:r>
      <w:r>
        <w:rPr>
          <w:vertAlign w:val="superscript"/>
        </w:rPr>
        <w:t>++</w:t>
      </w:r>
      <w:r>
        <w:t xml:space="preserve"> ion, and not via hydroxyl radicals or via regulation of glutathione content (Tripathi et al. 1996).</w:t>
      </w:r>
    </w:p>
    <w:p w:rsidR="00025830" w:rsidRPr="00116DAE" w:rsidRDefault="00025830" w:rsidP="00025830">
      <w:r>
        <w:t xml:space="preserve">Another study in rats provided evidence that BM extract has a significant anti-oxidant effect after sub-chronic administration for 14 or 21 days as it caused an increase in the activity of superoxide dismutase, catalase and glutathione peroxidase in the frontal cortex, striatum and hippocampus (Bhattacharya et al. 2000). In this study, results were compared with the effects of deprenyl, a well-known anti-oxidant. Similar results were noted between BM extract and deprenyl for the frontal cortex and striatum, but not in the hippocampus with deprenyl (Bhattacharya et al. 2000). Further evidence of the anti-oxidant activity of BM extract comes from a study of a hydroalcoholic extract of the whole </w:t>
      </w:r>
      <w:r>
        <w:rPr>
          <w:i/>
        </w:rPr>
        <w:t xml:space="preserve">Bacopa monnieri </w:t>
      </w:r>
      <w:r>
        <w:t>plant (Pawar et al. 2001). In this study, BM extract was shown to have an inhibitory effect on superoxide released from polymorphonuclear cells in a nitroblue tetrazolium assay (Pawar et al. 2001; see Russo and Borelli, 2005). BM extract has been shown to induce the activity of superoxide dismutase and catalase in the liver (Kar et al. 2002) and also to protect against reactive oxygen species (ROS)-induced damage in diabetic rats (Kapoor et al. 2009).</w:t>
      </w:r>
    </w:p>
    <w:p w:rsidR="00025830" w:rsidRDefault="00025830" w:rsidP="00025830">
      <w:r>
        <w:t xml:space="preserve">Russo and colleagues used the Paoletti assay to test whether the anti-oxidant activity of </w:t>
      </w:r>
      <w:r>
        <w:rPr>
          <w:i/>
        </w:rPr>
        <w:t xml:space="preserve">Bacopa monnieri </w:t>
      </w:r>
      <w:r>
        <w:t>results from a direct decrease in the production of free radicals (Russo et al. 2003a). The results showed that BM extract inhibited the superoxide anion formation in a dose-dependent manner and also exhibited a free-radical scavenging effect in a dose-dependent manner (Russo et al. 2003a). The free radical scavenging effect of BM extract was confirmed by its protection against plasmid DNA strand scission. BM extract also reduced H</w:t>
      </w:r>
      <w:r>
        <w:rPr>
          <w:vertAlign w:val="subscript"/>
        </w:rPr>
        <w:t>2</w:t>
      </w:r>
      <w:r>
        <w:t>O</w:t>
      </w:r>
      <w:r>
        <w:rPr>
          <w:vertAlign w:val="subscript"/>
        </w:rPr>
        <w:t>2</w:t>
      </w:r>
      <w:r>
        <w:t xml:space="preserve">-induced cytotoxicity and DNA damage in human fibroblast cells (Russo et al. 2003a). Another study of the effect of </w:t>
      </w:r>
      <w:r>
        <w:rPr>
          <w:i/>
        </w:rPr>
        <w:t xml:space="preserve">Bacopa monnieri </w:t>
      </w:r>
      <w:r>
        <w:t xml:space="preserve">on nitric oxide-related toxicity in cultured rat astrocytes showed inhibition of the formation of reactive species and DNA damage in a dose-dependent manner (Russo et al. 2003b). Additional studies have also demonstrated the anti-oxidant properties of BM extract (Sumathy et al. 2001; Dhanasekaran et al. 2007). </w:t>
      </w:r>
    </w:p>
    <w:p w:rsidR="00025830" w:rsidRDefault="00025830" w:rsidP="00025830">
      <w:r>
        <w:t>Pandareesh and Anand assessed whether BM extract ameliorates the neuronal damage and physiological changes in rats upon smoke exposure and demonstrated that treatment ameliorates histopathalogical changes, reactive oxygen species levels, lipid peroxidation, acetylcholine esterase activity and brain neurotransmitter levels to normal. (Pandareesh and Anand, 2014).</w:t>
      </w:r>
    </w:p>
    <w:p w:rsidR="00025830" w:rsidRDefault="00025830" w:rsidP="00025830">
      <w:r>
        <w:rPr>
          <w:i/>
        </w:rPr>
        <w:t>Bacopa monnieri</w:t>
      </w:r>
      <w:r>
        <w:t xml:space="preserve"> is also able to ameliorate decabrominated diphenyl ether (PBDE-209) provoked toxicity in neonate and young female mice (Verma et al. 2014). Results of this study showed that the dose of 120mg/kg of Brahmi restored the levels of oxidants and activities of antioxidant enzymes in the hippocampus and frontal cortex of neonates against PBDE- 209-induced toxicity. This data suggests that BM extract renders the brain resistant to PBDE-209 induced toxicity and thus may be a preventive approach to protect against oxidative-mediated neuronal dysfunction. </w:t>
      </w:r>
    </w:p>
    <w:p w:rsidR="00025830" w:rsidRDefault="00025830" w:rsidP="00025830">
      <w:r>
        <w:t>In studies conducted with CDRI 08 it was found to be effective in attenuating D-gal-induced oxidative damage in the hippocampus, possibly by eliminating free radicals through activating antioxidant enzymes, particularly SOD (</w:t>
      </w:r>
      <w:r>
        <w:rPr>
          <w:lang w:val="en-GB"/>
        </w:rPr>
        <w:t>Dulcy et al. 2012</w:t>
      </w:r>
      <w:r>
        <w:t xml:space="preserve">). </w:t>
      </w:r>
    </w:p>
    <w:p w:rsidR="00025830" w:rsidRDefault="00025830" w:rsidP="00025830">
      <w:r>
        <w:t xml:space="preserve">Another study demonstrated how paraquat (PQ) mediated oxidative stress and neurotoxicity was ameliorated by CDRI 08 treatment in different brain regions of pre-pubertal mice (Hosamani et al. 2016). </w:t>
      </w:r>
    </w:p>
    <w:p w:rsidR="00025830" w:rsidRPr="001F6AD5" w:rsidRDefault="00025830" w:rsidP="00025830">
      <w:r>
        <w:t>The potential antioxidant effect of CDRI 08 was also confirmed by another study where, in a mouse model of Diabetes Mellitus II induced by Streptozotocin (DM2/STR), treatment with the extract decreased the level of lipid peroxidation in the hippocampus when compared with normal control (</w:t>
      </w:r>
      <w:r>
        <w:rPr>
          <w:lang w:val="en-GB"/>
        </w:rPr>
        <w:t>Pandey et al. 2015</w:t>
      </w:r>
      <w:r>
        <w:t xml:space="preserve">). </w:t>
      </w:r>
    </w:p>
    <w:p w:rsidR="00025830" w:rsidRPr="00AF1201" w:rsidRDefault="00025830" w:rsidP="00025830">
      <w:r>
        <w:t>In summary, much pre-clinical evidence supports the antioxidant activity of BM extract</w:t>
      </w:r>
      <w:r>
        <w:rPr>
          <w:i/>
        </w:rPr>
        <w:t xml:space="preserve">. </w:t>
      </w:r>
      <w:r>
        <w:t>Research shows that BM extract causes an increase in the oxidative free radical scavenging activity and an increase in the activity of endogenous anti-oxidant systems (Bhattacharya et al. 2000; Tripathi et al. 1996). The increase in oxidative free radical scavenging activity with BM extract may explain, at least in part, some of its cognitive enhancing effects</w:t>
      </w:r>
      <w:r>
        <w:rPr>
          <w:i/>
        </w:rPr>
        <w:t xml:space="preserve"> </w:t>
      </w:r>
      <w:r>
        <w:t xml:space="preserve">(Bhattacharya et al. 2000; Russo et al. 2003a; Russo and Borelli, 2005).  </w:t>
      </w:r>
    </w:p>
    <w:p w:rsidR="00025830" w:rsidRPr="00762AA6" w:rsidRDefault="00025830" w:rsidP="00025830">
      <w:r>
        <w:t xml:space="preserve">[7] </w:t>
      </w:r>
      <w:r>
        <w:rPr>
          <w:color w:val="1F497D"/>
          <w:highlight w:val="yellow"/>
        </w:rPr>
        <w:t>In vitro and animal studies suggest that</w:t>
      </w:r>
      <w:r>
        <w:rPr>
          <w:color w:val="1F497D"/>
        </w:rPr>
        <w:t xml:space="preserve"> </w:t>
      </w:r>
      <w:r>
        <w:rPr>
          <w:i/>
        </w:rPr>
        <w:t>Bacopa monnieri</w:t>
      </w:r>
      <w:r>
        <w:t xml:space="preserve"> has a neuroprotective action</w:t>
      </w:r>
    </w:p>
    <w:p w:rsidR="00025830" w:rsidRDefault="00025830" w:rsidP="00025830">
      <w:r>
        <w:t xml:space="preserve">In traditional Ayurvedic medicine, </w:t>
      </w:r>
      <w:r>
        <w:rPr>
          <w:i/>
        </w:rPr>
        <w:t xml:space="preserve">Bacopa monnieri </w:t>
      </w:r>
      <w:r>
        <w:t xml:space="preserve">was known as a ‘nerve tonic’ (Jyoti and Sharma, 2006) and its neuroprotective effects are consistent with this description. There are numerous preclinical studies that support the neuroprotective effects of BM extract (Aguiar and Borowski, 2013). </w:t>
      </w:r>
    </w:p>
    <w:p w:rsidR="00025830" w:rsidRDefault="00025830" w:rsidP="00025830">
      <w:r>
        <w:t xml:space="preserve">The neuroprotective action of </w:t>
      </w:r>
      <w:r>
        <w:rPr>
          <w:i/>
        </w:rPr>
        <w:t xml:space="preserve">Bacopa monnieri </w:t>
      </w:r>
      <w:r>
        <w:t>is demonstrated in a number of animal models, including models of Alzheimer’s disease (e.g. Holcomb et al. 2006), models of dementia (Saini et al. 2012), in response to neurotoxins (e.g. cigarette smoke; Anbarasi et al. 2005, 2006), in response to hypoxia (Hota et al. 2009) and in studies of its anti-epileptic action (Krishnakumar et al. 2009). The neuroprotective effect was thought to be via upregulation of the 5-HT</w:t>
      </w:r>
      <w:r>
        <w:rPr>
          <w:vertAlign w:val="subscript"/>
        </w:rPr>
        <w:t>2C</w:t>
      </w:r>
      <w:r>
        <w:t xml:space="preserve"> receptor in the anti-epileptic action (Krishnakumar et al. 2009). However, many studies show that the neuroprotective effects may be via the anti-oxidant activity of BM extract (see data to support indication [6] above; Jyoti and Sharma, 2006; Hota et al. 2009; Dhanasekaran et al. 2007; Kunte and Kuna, 2013; Braun and Cohen, 2010). </w:t>
      </w:r>
    </w:p>
    <w:p w:rsidR="00025830" w:rsidRDefault="00025830" w:rsidP="00025830">
      <w:r>
        <w:t xml:space="preserve">The neuroprotective effects of </w:t>
      </w:r>
      <w:r>
        <w:rPr>
          <w:i/>
        </w:rPr>
        <w:t xml:space="preserve">Bacopa monnieri </w:t>
      </w:r>
      <w:r>
        <w:t>are also reflected by changes in the actual microscopic structure of neurons (e.g. Jyoti and Sharma, 2006; Hota et al. 2009; Uabundit et al. 2010; Vollala et al. 2011). BM extract caused significant inhibition of intreneuronal lipofuscin accumulation and necrotic alteration in the hippocampus (Jyoti and Sharma, 2006), it caused an increase in dendritic length and the number of dendritic branching points along dendrites in neurons in the basolateral amygdala, indicating it may have neuron stimulating properties (Vollala et al. 2011). BM extract slowed the reduction of neurons and cholinergic neuron densities in a rat model of Alzheimer’s disease (Uabundit et al. 2010) and it maintained the structural as well as the functional integrity of the mitochondrial membrane that are damaged in control animals with chronic exposure to cigarette smoke (Anbarasi et al. 2005).</w:t>
      </w:r>
    </w:p>
    <w:p w:rsidR="0029064C" w:rsidRDefault="00025830" w:rsidP="00025830">
      <w:r>
        <w:t xml:space="preserve">The neuroprotective effect of CDRI 08 was demonstrated as an additional mechanism of action by upregulating the Fmr-1 gene, which encodes the neuronal translational repressor Fragile X mental retardation protein (FMRP). Increased expression of the </w:t>
      </w:r>
      <w:r>
        <w:rPr>
          <w:i/>
        </w:rPr>
        <w:t>fmr-1</w:t>
      </w:r>
      <w:r>
        <w:t xml:space="preserve"> gene was shown in a cobalt chloride-induced hypoxia mimetic mouse model, after CDRI 08 treatment (</w:t>
      </w:r>
      <w:r>
        <w:rPr>
          <w:lang w:val="en-GB"/>
        </w:rPr>
        <w:t>Rani and Prasad, 2015</w:t>
      </w:r>
      <w:r>
        <w:t xml:space="preserve">). The </w:t>
      </w:r>
      <w:r>
        <w:rPr>
          <w:i/>
        </w:rPr>
        <w:t>Fmr-1</w:t>
      </w:r>
      <w:r>
        <w:t xml:space="preserve"> gene encoded FMRP has a crucial role in formation and maintenance of synaptic connectivity, and has been implicated in learning memory and cognition. The results showed that CDRI 08 restored the alteration in spatial memory and reversed the alterations in </w:t>
      </w:r>
      <w:r>
        <w:rPr>
          <w:i/>
        </w:rPr>
        <w:t>Fmr-1</w:t>
      </w:r>
      <w:r>
        <w:t xml:space="preserve"> gene expression in the hippocampus due to hypoxia. </w:t>
      </w:r>
    </w:p>
    <w:p w:rsidR="00025830" w:rsidRPr="00AD18DE" w:rsidRDefault="00025830" w:rsidP="00025830">
      <w:pPr>
        <w:rPr>
          <w:i/>
        </w:rPr>
      </w:pPr>
      <w:r>
        <w:t xml:space="preserve">In all studies supporting the neuroprotective effects of </w:t>
      </w:r>
      <w:r>
        <w:rPr>
          <w:i/>
        </w:rPr>
        <w:t xml:space="preserve">Bacopa monnieri </w:t>
      </w:r>
      <w:r>
        <w:t xml:space="preserve">that involved behavioural measurements, the use of BM extract also improved learning and memory (Hota et al. 2009; Dulcy et al. 2012), or reversed or mitigated the deterioration induced in disease models (Holcomb et al. 2006; Uabundit et al. 2010; Saini et al. 2012; Kunte and Kuna, 2013). Therefore, there are numerous studies that provide behavioural, chemical and structural evidence at a microscopic level to support the neuroprotective effects of </w:t>
      </w:r>
      <w:r>
        <w:rPr>
          <w:i/>
        </w:rPr>
        <w:t>Bacopa monnieri.</w:t>
      </w:r>
    </w:p>
    <w:p w:rsidR="00025830" w:rsidRPr="00762AA6" w:rsidRDefault="00025830" w:rsidP="00025830">
      <w:r>
        <w:t xml:space="preserve">[8] </w:t>
      </w:r>
      <w:r>
        <w:rPr>
          <w:highlight w:val="yellow"/>
        </w:rPr>
        <w:t>Beneficial during times of stress/mild anxiety</w:t>
      </w:r>
    </w:p>
    <w:p w:rsidR="00025830" w:rsidRDefault="00025830" w:rsidP="00025830">
      <w:r>
        <w:t xml:space="preserve">Preclinical studies have identified a number of acute anxiolytic, nootropic and adaptogenic effects of </w:t>
      </w:r>
      <w:r>
        <w:rPr>
          <w:i/>
        </w:rPr>
        <w:t xml:space="preserve">Bacopa monnieri </w:t>
      </w:r>
      <w:r>
        <w:t>that may also occur in humans (Bhattacharya and Ghosal, 1998; Sairam et al. 2002; Rai et al 2003; Sheikh et al. 2007; Zhou et al. 2007).</w:t>
      </w:r>
    </w:p>
    <w:p w:rsidR="00025830" w:rsidRDefault="00025830" w:rsidP="00025830">
      <w:r>
        <w:t>In the clinical trial of the effects on cognitive function of CDRI 08 in healthy subjects, Stough and colleagues also measured state anxiety using the State-Trait Anxiety Inventory (Stough et al. 2001). Use of CDRI 08</w:t>
      </w:r>
      <w:r>
        <w:rPr>
          <w:i/>
        </w:rPr>
        <w:t xml:space="preserve"> </w:t>
      </w:r>
      <w:r>
        <w:t>resulted in a significant reduction in state anxiety compared with placebo (F=9.37, P=0.001) after 12 weeks.</w:t>
      </w:r>
    </w:p>
    <w:p w:rsidR="00025830" w:rsidRPr="003E139D" w:rsidRDefault="00025830" w:rsidP="00025830">
      <w:pPr>
        <w:rPr>
          <w:lang w:val="en-GB"/>
        </w:rPr>
      </w:pPr>
      <w:r>
        <w:t xml:space="preserve">Effects on anxiety were evaluated in a </w:t>
      </w:r>
      <w:r>
        <w:rPr>
          <w:lang w:eastAsia="en-GB"/>
        </w:rPr>
        <w:t xml:space="preserve">double-blind, placebo controlled, crossover study where </w:t>
      </w:r>
      <w:r>
        <w:t>seventeen healthy volunteers</w:t>
      </w:r>
      <w:r>
        <w:rPr>
          <w:lang w:eastAsia="en-GB"/>
        </w:rPr>
        <w:t xml:space="preserve"> were randomized to receive placebo, 320mg or 640mg of CDRI 08 and assessed </w:t>
      </w:r>
      <w:r>
        <w:t xml:space="preserve">at baseline, 1 h and 2 h after treatment by State Trait Anxiety Inventory scale. </w:t>
      </w:r>
      <w:r>
        <w:rPr>
          <w:lang w:val="en-GB"/>
        </w:rPr>
        <w:t>Ratings of mood and anxiety were not consistently affected by the treatment, but this could be explained by the small sample size included into the study and it would have been obscured by completion of the multiple testing procedures of the examination (Benson et al. 2013)</w:t>
      </w:r>
    </w:p>
    <w:p w:rsidR="00025830" w:rsidRPr="003C7DD4" w:rsidRDefault="00025830" w:rsidP="00E06EA1">
      <w:r>
        <w:t>Results from studies of other BM</w:t>
      </w:r>
      <w:r>
        <w:rPr>
          <w:i/>
        </w:rPr>
        <w:t xml:space="preserve"> </w:t>
      </w:r>
      <w:r>
        <w:t>extracts provide support for its use during times of stress and mild anxiety. In a study of 300 mg BM  extract  per day for 12 weeks, Calabrese and colleagues reported a decrease in CESD-10 depression score, a decrease in combined state plus trait anxiety scores and a decrease in heart rate in the subjects receiving BM extract,</w:t>
      </w:r>
      <w:r>
        <w:rPr>
          <w:i/>
        </w:rPr>
        <w:t xml:space="preserve"> </w:t>
      </w:r>
      <w:r>
        <w:t xml:space="preserve">compared with those receiving placebo (Calabrese et al. 2008). In a study with an BM extract also prepared by the Central Drug Research Institute (CDRI), a significant improvement in anxiety, together with an improvement in some physical and biochemical parameters was noted in the subjects receiving BM extract, compared with those receiving placebo, although the test of anxiety is not specified (Kumar et al. 2011). These data are supported by the results from an open-label study of the effects of BM extract in a group of subjects with anxiety neurosis who reported symptomatic relief and a reduction in their total anxiety level after receiving treatment with </w:t>
      </w:r>
      <w:r>
        <w:rPr>
          <w:i/>
        </w:rPr>
        <w:t xml:space="preserve">Bacopa monnieri </w:t>
      </w:r>
      <w:r>
        <w:t xml:space="preserve">syrup (Singh and Singh, 1980). </w:t>
      </w:r>
    </w:p>
    <w:p w:rsidR="00E06EA1" w:rsidRDefault="00E06EA1" w:rsidP="00E06EA1">
      <w:pPr>
        <w:pStyle w:val="Heading3"/>
      </w:pPr>
      <w:bookmarkStart w:id="13" w:name="_Toc475341332"/>
      <w:r>
        <w:t>2.5.4.2. Dose, Dosage Regimen and Duration of Administration</w:t>
      </w:r>
      <w:bookmarkEnd w:id="13"/>
    </w:p>
    <w:p w:rsidR="00025830" w:rsidRDefault="00025830" w:rsidP="00E06EA1">
      <w:r>
        <w:t xml:space="preserve">The finished product CDRI 08 capsule referred to in this application contains 160 mg CDRI 08. The dose of </w:t>
      </w:r>
      <w:r>
        <w:rPr>
          <w:i/>
        </w:rPr>
        <w:t>Bacopa monnieri</w:t>
      </w:r>
      <w:r>
        <w:t xml:space="preserve"> extract used traditionally is an oral dose of 50-160 mg, two or three times per day (Tunaligil et al. 2013). </w:t>
      </w:r>
    </w:p>
    <w:p w:rsidR="00025830" w:rsidRDefault="00025830" w:rsidP="00025830">
      <w:r>
        <w:t>The dosing recommendation based on the clinical data provided in this application and based on a capsule containing 160 mg CDRI08, is:</w:t>
      </w:r>
    </w:p>
    <w:p w:rsidR="00025830" w:rsidRDefault="00025830" w:rsidP="00025830">
      <w:pPr>
        <w:pStyle w:val="ListParagraph"/>
        <w:numPr>
          <w:ilvl w:val="0"/>
          <w:numId w:val="20"/>
        </w:numPr>
      </w:pPr>
      <w:r>
        <w:t>Adults: take 2 capsules daily with breakfast</w:t>
      </w:r>
    </w:p>
    <w:p w:rsidR="00025830" w:rsidRDefault="00025830" w:rsidP="00025830">
      <w:pPr>
        <w:pStyle w:val="ListParagraph"/>
        <w:numPr>
          <w:ilvl w:val="0"/>
          <w:numId w:val="20"/>
        </w:numPr>
      </w:pPr>
      <w:r>
        <w:t>Children over 7 years: take 1 capsule daily with breakfast or as advised by your healthcare professional.</w:t>
      </w:r>
    </w:p>
    <w:p w:rsidR="003904BB" w:rsidRDefault="003904BB" w:rsidP="00025830">
      <w:r>
        <w:t>The dosing recommendation for adults and children ensure that the dosage levels remain within the range of CDRI 08 3-8 mg/kg, within the same ranges that are supported by the clinical trials evidence.</w:t>
      </w:r>
    </w:p>
    <w:p w:rsidR="00025830" w:rsidRPr="00E06EA1" w:rsidRDefault="00025830" w:rsidP="00025830">
      <w:r>
        <w:t>The data in the application support sustained use over 90 days (approximately 12 weeks). The effects beyond this time are under investigation within the ongoing clinical development program (see 2.5.1.4).</w:t>
      </w:r>
    </w:p>
    <w:p w:rsidR="00025830" w:rsidRPr="0081169D" w:rsidRDefault="00025830" w:rsidP="00025830">
      <w:r>
        <w:t xml:space="preserve">The data to support a specific dosage for acute use (i.e. 1-2 hours before a cognitive challenge) are limited and further data are required to confirm whether specific dose is recommendation for this use.  </w:t>
      </w:r>
    </w:p>
    <w:p w:rsidR="00025830" w:rsidRDefault="00025830" w:rsidP="00025830">
      <w:pPr>
        <w:pStyle w:val="Heading2"/>
      </w:pPr>
      <w:bookmarkStart w:id="14" w:name="_Toc475341333"/>
      <w:r>
        <w:t>2.5.5 OVERVIEW OF SAFETY</w:t>
      </w:r>
      <w:bookmarkEnd w:id="14"/>
    </w:p>
    <w:p w:rsidR="00025830" w:rsidRDefault="00025830" w:rsidP="00025830">
      <w:pPr>
        <w:pStyle w:val="Heading3"/>
      </w:pPr>
      <w:bookmarkStart w:id="15" w:name="_Toc475341334"/>
      <w:r>
        <w:t>2.5.5.1 Adverse effects characteristic of the pharmacological class</w:t>
      </w:r>
      <w:bookmarkEnd w:id="15"/>
    </w:p>
    <w:p w:rsidR="00025830" w:rsidRDefault="00025830" w:rsidP="00025830">
      <w:r>
        <w:rPr>
          <w:i/>
        </w:rPr>
        <w:t xml:space="preserve">Bacopa monnieri </w:t>
      </w:r>
      <w:r>
        <w:t>has been used safely as part of traditional herbal medicine for centuries and therapeutic doses are not associated with any serious side effects (</w:t>
      </w:r>
      <w:r>
        <w:rPr>
          <w:i/>
        </w:rPr>
        <w:t xml:space="preserve">Bacopa monniera </w:t>
      </w:r>
      <w:r>
        <w:t xml:space="preserve">Monograph, 2004). </w:t>
      </w:r>
    </w:p>
    <w:p w:rsidR="00025830" w:rsidRDefault="00025830" w:rsidP="00025830">
      <w:r>
        <w:t>In recent clinical studies, a systematic approach to the collection of safety data has been adopted. With the more rigorous approach to adverse event reporting in recent studies, the number of adverse events reported during all studies is very low/rare. The most common adverse events reported are nausea, increased intestinal motility and gastrointestinal upset (Aguiar and Borowski, 2013).</w:t>
      </w:r>
    </w:p>
    <w:p w:rsidR="00025830" w:rsidRDefault="00025830" w:rsidP="00025830">
      <w:r>
        <w:t>Single and multiple dose studies have been performed in humans to determine the tolerability of Bacoside A and B over a 4 week period (Asthana et al. 1996). Concentrated bacosides given in single (20-300 mg) and multiple (100-200 mg) daily doses were well tolerated and without adverse effects (Asthana et al. 1996; Singh and Dhawan, 1997). In addition, no abnormalities in clinical, haematological or biochemical parameters were reported (Asthana et al. 1996).</w:t>
      </w:r>
    </w:p>
    <w:p w:rsidR="00025830" w:rsidRDefault="00025830" w:rsidP="00025830">
      <w:pPr>
        <w:pStyle w:val="Heading3"/>
      </w:pPr>
      <w:bookmarkStart w:id="16" w:name="_Toc475341335"/>
      <w:r>
        <w:t>2.5.5.2 Special approaches to monitoring for particular adverse events</w:t>
      </w:r>
      <w:bookmarkEnd w:id="16"/>
      <w:r>
        <w:t xml:space="preserve"> </w:t>
      </w:r>
    </w:p>
    <w:p w:rsidR="00025830" w:rsidRPr="00863A81" w:rsidRDefault="00025830" w:rsidP="00025830">
      <w:pPr>
        <w:rPr>
          <w:rFonts w:eastAsiaTheme="majorEastAsia" w:cstheme="majorBidi"/>
          <w:b/>
          <w:bCs/>
        </w:rPr>
      </w:pPr>
      <w:r>
        <w:t>The safety evaluation of CDRI 08 summarised in this section is based both on experience in clinical studies and post marketing surveillance. Adverse events are systematically collected in double-blind, placebo-controlled clinical trials conducted according to GCP. Post marketing surveillance is centralized and managed by Lumen Marketing Company (LMC) according to approved and updated Good Pharmacovigilance Practice (GPV).  Particular adverse events requiring special approaches to monitoring have not been identified.</w:t>
      </w:r>
    </w:p>
    <w:p w:rsidR="00025830" w:rsidRDefault="00025830" w:rsidP="00025830">
      <w:pPr>
        <w:pStyle w:val="Heading3"/>
      </w:pPr>
      <w:bookmarkStart w:id="17" w:name="_Toc475341336"/>
      <w:r>
        <w:t>2.5.5.3 Relevant animal toxicology and product quality information</w:t>
      </w:r>
      <w:bookmarkEnd w:id="17"/>
    </w:p>
    <w:p w:rsidR="00025830" w:rsidRDefault="00025830" w:rsidP="00025830">
      <w:r>
        <w:t>Extensive safety and toxicological studies have been performed on CDRI 08 developed by CDRI, Lucknow, India (CDRI-08; Singh, 2013). These studies have found the CDRI-08 extract to be safe based on sub-acute toxicity and teratogenicity studies and with no abnormalities seen in genotoxicity or mutagenicity studies (Singh, 2013, m4.3.2). Acute oral toxicity of CDRI 08 was tested in rats and mice after a single dose at a level of 3,000mg/kg. No significant differences were observed between the experimental and control groups of animals, supporting an LD50 of more than 3000mg/kg (m4.2.3.1. cdri-acute toxicity study oral). Supporting studies of single doses of 500, 1000 and 2000mg/kg CDRI 08 in rats showed no mortality, demonstrating an LD50 of more than 2,000mg/kg (m4.2.3.1. GT14-00001).  CDRI 08 was orally administered to rats for 13 weeks at three dosage levels of 300, 600 and 1200 mg/kg. No significant differences were found in mortalities, clinical signs, body weight changes, food consumption, ophthalmoscopy, urinalysis, hematology, blood coagulation time, blood biochemistry, organ weights, gross findings and histopathological findings between the experimental and control groups (m4.2.3.1. GT14-00002).  The NOAEL of CDRI 08 was established at 1,200mg/kg/day.</w:t>
      </w:r>
    </w:p>
    <w:p w:rsidR="00025830" w:rsidRPr="00A25BB8" w:rsidRDefault="00025830" w:rsidP="00025830">
      <w:r>
        <w:t>Acute oral toxicity of a BM extract was studied in female rats followed for 14 days after a single orally administered dose at a level of 5,000 mg/kg. In the chronic toxicity test, groups of both female and male rats were given daily oral doses of BM extract at dose levels of either 30, 60, 300 or 1,500 mg/kg for 270 days. The acute toxicity test found no significant differences between the experimental and the control group rats and all the toxicity analysis remained within the normal range, supporting the conclusion that all the dosage in acute and chronic administration did not cause any signs of toxicity both in male and female rats (Sireeratawong et al. 2016).</w:t>
      </w:r>
    </w:p>
    <w:p w:rsidR="00025830" w:rsidRPr="003E139D" w:rsidRDefault="00025830" w:rsidP="00025830">
      <w:r>
        <w:t xml:space="preserve">Singh and Singh (2009) investigated whenever orally administered BM extract (250 mg/kg body weight/day, for 28 and 56 days) had an effect on reproductive organs and </w:t>
      </w:r>
      <w:r>
        <w:rPr>
          <w:rStyle w:val="highlight2"/>
        </w:rPr>
        <w:t xml:space="preserve">fertility in male </w:t>
      </w:r>
      <w:r>
        <w:t xml:space="preserve">Parkes (P) strain mice. The results in P mice suggested that </w:t>
      </w:r>
      <w:r>
        <w:rPr>
          <w:i/>
        </w:rPr>
        <w:t>Bacopa</w:t>
      </w:r>
      <w:r>
        <w:t xml:space="preserve"> treatment causes reversible suppression of spermatogenesis, without producing systemic toxic effects. On the contrary a more recent study examined the effect of oral CDRI 08 administration (40mg/kg, 80mg/kg, 200mg/kg and 300mg/kg bod weight per day for 28 days in male P mice on the male reproductive organs. This investigation showed that after treatment with CDRI 08 extract, there was an improvement of sperm quality, spermatogenic cell density and no change in steroidogenic indices (Patel et al. 2016).</w:t>
      </w:r>
    </w:p>
    <w:p w:rsidR="00025830" w:rsidRDefault="00025830" w:rsidP="00025830">
      <w:pPr>
        <w:rPr>
          <w:lang w:val="en-GB"/>
        </w:rPr>
      </w:pPr>
      <w:r>
        <w:t>Animal models suggest that BM extract may decrease the toxicity of the drugs morphine (Sumathy et al. 2001) and phenytoin (Vohora et al. 2000). Another study investigated the effect of orally administered BM extract 200mg/kg on the regulation of thyroid hormone concentrations in male rats (Kar et al. 2002).The results suggest that BM extract has a thyroid stimulating role as T4 concentrations were increased, implying a potential therapeutic role in hypothyroidism. The clinical relevance of the study has not been explored further, however patients taking medications for thyroid conditions or with hyperthyroidism should be monitored.</w:t>
      </w:r>
    </w:p>
    <w:p w:rsidR="00025830" w:rsidRPr="003E139D" w:rsidRDefault="00025830" w:rsidP="00025830">
      <w:pPr>
        <w:rPr>
          <w:lang w:val="en-GB"/>
        </w:rPr>
      </w:pPr>
      <w:r>
        <w:t xml:space="preserve">Ramasamy et al (2014) investigated the effects of a </w:t>
      </w:r>
      <w:r>
        <w:rPr>
          <w:i/>
        </w:rPr>
        <w:t>Bacopa monnieri</w:t>
      </w:r>
      <w:r>
        <w:t xml:space="preserve"> standardized extract and the bacosides from the extract on five major CYP isoforms in vitro. Results </w:t>
      </w:r>
      <w:r>
        <w:rPr>
          <w:lang w:val="en-GB"/>
        </w:rPr>
        <w:t xml:space="preserve">suggested that </w:t>
      </w:r>
      <w:r>
        <w:t>BM extract</w:t>
      </w:r>
      <w:r>
        <w:rPr>
          <w:lang w:val="en-GB"/>
        </w:rPr>
        <w:t xml:space="preserve"> could contribute to herb-drug interactions when orally co-administered with drugs metabolized by CYP1A2, CYP3A4, CYP2C9 and CYP2C19. This has not been reported for CDRI 08 and the clinical relevance is not clear, as this has not been studied in humans. There are no specific studies of these potential drug interactions with CDRI 08 in humans, and due to the lack of clinical relevance, and lack of reports from post marketing surveillance, there are no specific precautions listed for CDRI 08.</w:t>
      </w:r>
    </w:p>
    <w:p w:rsidR="00025830" w:rsidRDefault="00025830" w:rsidP="00025830">
      <w:pPr>
        <w:pStyle w:val="Heading3"/>
      </w:pPr>
      <w:bookmarkStart w:id="18" w:name="_Toc475341337"/>
      <w:r>
        <w:t>2.5.5.4 Nature of patient population and extent of exposure</w:t>
      </w:r>
      <w:bookmarkEnd w:id="18"/>
    </w:p>
    <w:p w:rsidR="00025830" w:rsidRDefault="00025830" w:rsidP="00025830">
      <w:pPr>
        <w:rPr>
          <w:rFonts w:ascii="Tahoma" w:hAnsi="Tahoma" w:cs="Tahoma"/>
          <w:sz w:val="17"/>
          <w:szCs w:val="17"/>
        </w:rPr>
      </w:pPr>
      <w:r>
        <w:t xml:space="preserve">To date, clinical studies of the effects of CDRI 08 have included studies of memory enhancement and cognitive function in healthy adults, in adults with age-associated memory impairment and in children with ADHD.  </w:t>
      </w:r>
      <w:r>
        <w:rPr>
          <w:rFonts w:ascii="Tahoma" w:hAnsi="Tahoma" w:cs="Tahoma"/>
          <w:sz w:val="17"/>
          <w:szCs w:val="17"/>
        </w:rPr>
        <w:t> </w:t>
      </w:r>
    </w:p>
    <w:p w:rsidR="00025830" w:rsidRPr="003E139D" w:rsidRDefault="00A25BB8" w:rsidP="00025830">
      <w:r>
        <w:t>The studies reported a maximum exposure of 3 months (12 weeks) in healthy adults volunteers (Stough et al. 2001; Stough et al. 2008; Roodenrys et al. 2002) and in subjects with age-associated memory impairment (Raghav et al. 2006). In the current clinical development program, a study investigating the effects of 12 month daily administration of CDRI 08 on cognitive performance in healthy elderly is in progress (Stough et al. 2012)</w:t>
      </w:r>
    </w:p>
    <w:p w:rsidR="00025830" w:rsidRDefault="00025830" w:rsidP="00A25BB8">
      <w:pPr>
        <w:pStyle w:val="Heading3"/>
      </w:pPr>
      <w:bookmarkStart w:id="19" w:name="_Toc475341338"/>
      <w:r>
        <w:t>2.5.5.5 Common and non-serious adverse events</w:t>
      </w:r>
      <w:bookmarkEnd w:id="19"/>
    </w:p>
    <w:p w:rsidR="00025830" w:rsidRPr="006A56D5" w:rsidRDefault="00025830" w:rsidP="00025830">
      <w:r>
        <w:t>CDRI 08 has shown to be well tolerated (Stough et al. 2008; Benson et al. 2014; Downey et al. 2013). Adverse effects reported during the administration in clinical studies and during post-market surveillance have generally been infrequent, mild and transient. Frequency is not known.</w:t>
      </w:r>
    </w:p>
    <w:p w:rsidR="00025830" w:rsidRDefault="00025830" w:rsidP="00025830">
      <w:r>
        <w:rPr>
          <w:u w:val="single"/>
        </w:rPr>
        <w:t>Gastrointestinal disorders</w:t>
      </w:r>
      <w:r>
        <w:rPr>
          <w:i/>
        </w:rPr>
        <w:t xml:space="preserve"> </w:t>
      </w:r>
      <w:r>
        <w:t xml:space="preserve">reported were: nausea, abdominal pain and diarrhoea (Stough, 2008; Benson, 2014; data on file internal LMC pharmacovigilance database). </w:t>
      </w:r>
    </w:p>
    <w:p w:rsidR="00025830" w:rsidRDefault="00025830" w:rsidP="00025830">
      <w:pPr>
        <w:pStyle w:val="Heading3"/>
      </w:pPr>
      <w:bookmarkStart w:id="20" w:name="_Toc475341339"/>
      <w:r>
        <w:t>2.5.5.6 Medically important or serious adverse events</w:t>
      </w:r>
      <w:bookmarkEnd w:id="20"/>
    </w:p>
    <w:p w:rsidR="00025830" w:rsidRDefault="00025830" w:rsidP="00025830">
      <w:r>
        <w:t xml:space="preserve">In the clinical studies and in post-marketing surveillance, no treatment related serious adverse events including deaths occurred with CDRI 08. </w:t>
      </w:r>
    </w:p>
    <w:p w:rsidR="00025830" w:rsidRDefault="00025830" w:rsidP="00A25BB8">
      <w:pPr>
        <w:pStyle w:val="Heading3"/>
      </w:pPr>
      <w:bookmarkStart w:id="21" w:name="_Toc475341340"/>
      <w:r>
        <w:t>2.5.5.7 Similarities and differences in results among studies</w:t>
      </w:r>
      <w:bookmarkEnd w:id="21"/>
    </w:p>
    <w:p w:rsidR="00025830" w:rsidRDefault="00025830" w:rsidP="00025830">
      <w:r>
        <w:t>In the clinical studies included in this application, a summary of adverse events reported with the use of Mindwise is given below:</w:t>
      </w:r>
    </w:p>
    <w:p w:rsidR="00025830" w:rsidRDefault="00025830" w:rsidP="00025830">
      <w:pPr>
        <w:pStyle w:val="ListParagraph"/>
        <w:numPr>
          <w:ilvl w:val="0"/>
          <w:numId w:val="19"/>
        </w:numPr>
      </w:pPr>
      <w:r>
        <w:t xml:space="preserve">In the first study of sustained use of Mindwise over 12 weeks by Stough and colleagues (2001; csr-km1-2012), all adverse events reported by the subjects receiving Mindwise were also experienced by subjects taking placebo capsules. </w:t>
      </w:r>
    </w:p>
    <w:p w:rsidR="00025830" w:rsidRDefault="00025830" w:rsidP="00025830">
      <w:pPr>
        <w:pStyle w:val="ListParagraph"/>
        <w:numPr>
          <w:ilvl w:val="0"/>
          <w:numId w:val="19"/>
        </w:numPr>
      </w:pPr>
      <w:r>
        <w:t>In the second study of sustained use of Mindwise over 90 days by Stough and colleagues (2008; csr-km2-2012), the adverse events reported in the subjects receiving Mindwise and placebo were again similar, although a higher incidence of diarrhoea was reported in the subjects receiving Mindwise (51% subjects, n=58 reports in Mindwise group versus 26% subjects, n=46 reports in placebo group)</w:t>
      </w:r>
    </w:p>
    <w:p w:rsidR="00025830" w:rsidRDefault="00025830" w:rsidP="00025830">
      <w:pPr>
        <w:pStyle w:val="ListParagraph"/>
        <w:numPr>
          <w:ilvl w:val="0"/>
          <w:numId w:val="19"/>
        </w:numPr>
      </w:pPr>
      <w:r>
        <w:t xml:space="preserve">In the study by Roodenrys et al. (2002) no adverse events were reported at the end of the study after 3 months but one subject withdrew due to a gastrointestinal adverse event during the study. </w:t>
      </w:r>
    </w:p>
    <w:p w:rsidR="00025830" w:rsidRDefault="00025830" w:rsidP="00025830">
      <w:pPr>
        <w:pStyle w:val="ListParagraph"/>
        <w:numPr>
          <w:ilvl w:val="0"/>
          <w:numId w:val="19"/>
        </w:numPr>
      </w:pPr>
      <w:r>
        <w:t>In the study of acute use of Mindwise by Downey and colleagues (2013; csr-km3-2012) and Benson and colleagues (2014) there were no adverse effects reported. There were also no adverse effects on blood pressure or arterial stiffness in the study by Downey and colleagues (2013; csr-km3-2012).</w:t>
      </w:r>
    </w:p>
    <w:p w:rsidR="00025830" w:rsidRPr="009D0B53" w:rsidRDefault="00025830" w:rsidP="00025830">
      <w:pPr>
        <w:pStyle w:val="ListParagraph"/>
        <w:numPr>
          <w:ilvl w:val="0"/>
          <w:numId w:val="19"/>
        </w:numPr>
      </w:pPr>
      <w:r>
        <w:t>In the fMRI study by Neale and colleagues (2013), no adverse effects were reported with the use of Mindwise.</w:t>
      </w:r>
    </w:p>
    <w:p w:rsidR="00025830" w:rsidRDefault="00025830" w:rsidP="00025830">
      <w:r>
        <w:t>In the clinical studies of other CDRI 08 extract formulations (Raghav et al. 2006, csr-kgmc-01; Sharma thesis, 2000, csr-ddugu-01; and csr-cdri-01, CDRI internal report, 2001) the only adverse event reported was a rash in one subject (Raghav et al. 2006). There were no changes in vital signs, clinical or laboratory parameters in any of these studies.</w:t>
      </w:r>
    </w:p>
    <w:p w:rsidR="00025830" w:rsidRDefault="00025830" w:rsidP="00025830">
      <w:r>
        <w:t xml:space="preserve">In studies with other BM extracts, the incidence of adverse events is low and in most studies none were reported (see Table 2.7.24). In the studies in which adverse events were reported, the adverse events were mild (Kala et al. 2011; Pravina et al. 2007; Morgan and Stevens, 2010; Calabrese et al. 2008) and in most cases involved the gastrointestinal system.  </w:t>
      </w:r>
    </w:p>
    <w:p w:rsidR="00025830" w:rsidRDefault="00025830" w:rsidP="00025830">
      <w:pPr>
        <w:pStyle w:val="Heading3"/>
      </w:pPr>
      <w:bookmarkStart w:id="22" w:name="_Toc475341341"/>
      <w:r>
        <w:t>2.5.5.8 Differences in rates of adverse events in population subgroups</w:t>
      </w:r>
      <w:bookmarkEnd w:id="22"/>
    </w:p>
    <w:p w:rsidR="00025830" w:rsidRDefault="00A25BB8" w:rsidP="00025830">
      <w:r>
        <w:t>BM extract</w:t>
      </w:r>
      <w:r>
        <w:rPr>
          <w:i/>
        </w:rPr>
        <w:t xml:space="preserve"> </w:t>
      </w:r>
      <w:r>
        <w:t>was well tolerated in the studies of its use in children over 7 years (Sharma et al. 1987; csr-cdri-01, CDRI Internal report 2001; Usha et al. 2008; Negi et al. 2000; Dave et al. 2014). Therefore, there are no specific safety concerns over the use of the product in children. A daily dose of 160 mg/day is recommended in children up to 50 kg weight. The CDRI 08 product is not indicated for children under 7 years old as it has not been studied in this population.</w:t>
      </w:r>
    </w:p>
    <w:p w:rsidR="00025830" w:rsidRPr="00726B9C" w:rsidRDefault="00025830" w:rsidP="00025830">
      <w:r>
        <w:t xml:space="preserve">A recent review systematically assessed clinical trial outcomes and safety of Bacopa and its effects on the cognition and behaviour in children and adolescents. Safety and tolerability data was well reported for the majority of included studies and it was reported that only 2.3% of all participants reporting mild side-effects mostly related to gastrointestinal upset as seen for other patient population. (Kean et al 2016).   </w:t>
      </w:r>
    </w:p>
    <w:p w:rsidR="00025830" w:rsidRDefault="00A25BB8" w:rsidP="00025830">
      <w:r>
        <w:t>BM extract</w:t>
      </w:r>
      <w:r>
        <w:rPr>
          <w:i/>
        </w:rPr>
        <w:t xml:space="preserve"> </w:t>
      </w:r>
      <w:r>
        <w:t xml:space="preserve">was well tolerated in all studies of its use in elderly subjects (Raghav et al. 2006, csr-kgmc-01; Sharma thesis, 2000, csr-ddugu-01; Barbhaiya et al. 2008; Calabrese et al. 2008; Peth-Nui et al. 2012). Therefore, there are no specific safety concerns or recommendations for this population. </w:t>
      </w:r>
    </w:p>
    <w:p w:rsidR="00025830" w:rsidRDefault="00025830" w:rsidP="00025830">
      <w:pPr>
        <w:pStyle w:val="Heading3"/>
      </w:pPr>
      <w:bookmarkStart w:id="23" w:name="_Toc475341342"/>
      <w:r>
        <w:t>2.5.5.9 Relation of adverse events to dose, dose regimen, and treatment duration</w:t>
      </w:r>
      <w:bookmarkEnd w:id="23"/>
    </w:p>
    <w:p w:rsidR="00025830" w:rsidRPr="003E139D" w:rsidRDefault="00A25BB8" w:rsidP="00025830">
      <w:r>
        <w:t>Adverse events reported and collected during clinical studies and post marketing surveillance do not appear to be dose or dose regimen related and are independent from treatment duration.</w:t>
      </w:r>
    </w:p>
    <w:p w:rsidR="00025830" w:rsidRDefault="00025830" w:rsidP="00025830">
      <w:pPr>
        <w:pStyle w:val="Heading3"/>
      </w:pPr>
      <w:bookmarkStart w:id="24" w:name="_Toc475341343"/>
      <w:r>
        <w:t>2.5.5.10 Long-term safety</w:t>
      </w:r>
      <w:bookmarkEnd w:id="24"/>
    </w:p>
    <w:p w:rsidR="00025830" w:rsidRDefault="00025830" w:rsidP="00025830">
      <w:r>
        <w:t xml:space="preserve">Long term safety has not been studied systematically in clinical studies, however the product has been marketed since 2011 worldwide without any particular safety concerns. </w:t>
      </w:r>
    </w:p>
    <w:p w:rsidR="00025830" w:rsidRDefault="00025830" w:rsidP="00025830">
      <w:r>
        <w:t>Clinical studies reported a safety profile up to 3 months of daily use in adults at the dosage of  300-450 mg daily (Stough et al. 2001; Roodenrys et al. 2002; Stough et al. 2008). A clinical trial currently in progress is investigating the effects of 12 month daily administration of 320mg CDRI 08 on cognitive performance in healthy elderly participants (Stough et al 2012).</w:t>
      </w:r>
    </w:p>
    <w:p w:rsidR="00025830" w:rsidRPr="003E139D" w:rsidRDefault="00A25BB8" w:rsidP="00025830">
      <w:r>
        <w:t xml:space="preserve">BM extract was found to be well tolerated in children aged 6-12 years affected by ADHD after 6 months of treatment at the dosage of 225 mg daily (Dave et al. 2014).  </w:t>
      </w:r>
    </w:p>
    <w:p w:rsidR="00025830" w:rsidRDefault="00025830" w:rsidP="00025830">
      <w:pPr>
        <w:pStyle w:val="Heading3"/>
      </w:pPr>
      <w:bookmarkStart w:id="25" w:name="_Toc475341344"/>
      <w:r>
        <w:t>2.5.5.11 Methods to prevent, mitigate, or manage adverse events</w:t>
      </w:r>
      <w:bookmarkEnd w:id="25"/>
    </w:p>
    <w:p w:rsidR="00025830" w:rsidRPr="0015175A" w:rsidRDefault="009D0B53" w:rsidP="00025830">
      <w:pPr>
        <w:rPr>
          <w:lang w:val="en-GB"/>
        </w:rPr>
      </w:pPr>
      <w:r>
        <w:rPr>
          <w:lang w:val="en-GB"/>
        </w:rPr>
        <w:t xml:space="preserve">Due to general safety considerations, </w:t>
      </w:r>
      <w:r>
        <w:t xml:space="preserve">CDRI 08 should not be taken in case of hypersensitivity or allergy to </w:t>
      </w:r>
      <w:r>
        <w:rPr>
          <w:i/>
          <w:iCs/>
        </w:rPr>
        <w:t>Bacopa monnieri</w:t>
      </w:r>
      <w:r>
        <w:t xml:space="preserve"> or any other member of the Scrophulariaceae (figwort) family, or to any other component of the product.</w:t>
      </w:r>
      <w:r>
        <w:rPr>
          <w:rFonts w:ascii="Tahoma" w:hAnsi="Tahoma" w:cs="Tahoma"/>
          <w:sz w:val="17"/>
          <w:szCs w:val="17"/>
        </w:rPr>
        <w:t> </w:t>
      </w:r>
    </w:p>
    <w:p w:rsidR="00025830" w:rsidRPr="0015175A" w:rsidRDefault="00A25BB8" w:rsidP="00025830">
      <w:pPr>
        <w:rPr>
          <w:lang w:val="en-GB"/>
        </w:rPr>
      </w:pPr>
      <w:r>
        <w:rPr>
          <w:lang w:val="en-GB"/>
        </w:rPr>
        <w:t xml:space="preserve">As no human data from controlled clinical studies are available, the use of </w:t>
      </w:r>
      <w:r>
        <w:t xml:space="preserve">CDRI 08 </w:t>
      </w:r>
      <w:r>
        <w:rPr>
          <w:lang w:val="en-GB"/>
        </w:rPr>
        <w:t xml:space="preserve">is not recommended during pregnancy and lactation. </w:t>
      </w:r>
    </w:p>
    <w:p w:rsidR="00025830" w:rsidRPr="003E139D" w:rsidRDefault="00025830" w:rsidP="00025830">
      <w:pPr>
        <w:rPr>
          <w:rFonts w:eastAsiaTheme="majorEastAsia" w:cstheme="majorBidi"/>
          <w:b/>
          <w:bCs/>
          <w:color w:val="6CBBA8" w:themeColor="accent1"/>
          <w:lang w:val="en-GB"/>
        </w:rPr>
      </w:pPr>
      <w:r>
        <w:t>CDRI 08 is not indicated for use in children &lt; 7 years of age as it has not been studied in this population.</w:t>
      </w:r>
    </w:p>
    <w:p w:rsidR="00025830" w:rsidRDefault="00025830" w:rsidP="00025830">
      <w:pPr>
        <w:pStyle w:val="Heading3"/>
      </w:pPr>
      <w:bookmarkStart w:id="26" w:name="_Toc475341345"/>
      <w:r>
        <w:t>2.5.5.12 Reactions due to overdose, potential for dependence, rebound phenomena, and abuse</w:t>
      </w:r>
      <w:bookmarkEnd w:id="26"/>
    </w:p>
    <w:p w:rsidR="00025830" w:rsidRDefault="00025830" w:rsidP="00025830">
      <w:r>
        <w:t xml:space="preserve">There are no reported cases of overdose, dependence, rebound phenomena and abuse with CDRI 08 </w:t>
      </w:r>
    </w:p>
    <w:p w:rsidR="00025830" w:rsidRPr="003E139D" w:rsidRDefault="00025830" w:rsidP="00025830">
      <w:pPr>
        <w:pStyle w:val="Heading3"/>
      </w:pPr>
      <w:bookmarkStart w:id="27" w:name="_Toc475341346"/>
      <w:r>
        <w:t>2.5.5.13 World-wide marketing experience</w:t>
      </w:r>
      <w:bookmarkEnd w:id="27"/>
    </w:p>
    <w:p w:rsidR="00025830" w:rsidRDefault="00A25BB8" w:rsidP="00025830">
      <w:r>
        <w:t>CDRI 08 was marketed as Mindwise</w:t>
      </w:r>
      <w:r>
        <w:rPr>
          <w:vertAlign w:val="superscript"/>
          <w:lang w:val="en-AU"/>
        </w:rPr>
        <w:t>®</w:t>
      </w:r>
      <w:r>
        <w:t xml:space="preserve"> in Australia since 2008. CDRI 08 is marketed as Mindwise</w:t>
      </w:r>
      <w:r>
        <w:rPr>
          <w:vertAlign w:val="superscript"/>
          <w:lang w:val="en-AU"/>
        </w:rPr>
        <w:t>®</w:t>
      </w:r>
      <w:r>
        <w:t xml:space="preserve"> in several countries including South Africa, </w:t>
      </w:r>
      <w:r>
        <w:rPr>
          <w:lang w:val="en-AU"/>
        </w:rPr>
        <w:t>U.S.A, India, Sri Lanka, Kenya and Nigeria.</w:t>
      </w:r>
      <w:r>
        <w:t xml:space="preserve"> The sales data indicate that the total number of doses sold by Lumen Marketing Company is in excess of 3,000,000.</w:t>
      </w:r>
    </w:p>
    <w:p w:rsidR="00025830" w:rsidRDefault="00025830" w:rsidP="00025830">
      <w:r>
        <w:t>The post-marketing safety data available has not raised any new safety concerns with the use of BM extracts and CDRI 08</w:t>
      </w:r>
      <w:r>
        <w:rPr>
          <w:i/>
        </w:rPr>
        <w:t xml:space="preserve">. </w:t>
      </w:r>
      <w:r>
        <w:t>The product is monitored through Pharmacovigilance practices.</w:t>
      </w:r>
    </w:p>
    <w:p w:rsidR="00025830" w:rsidRDefault="00025830" w:rsidP="00025830">
      <w:pPr>
        <w:pStyle w:val="Heading2"/>
      </w:pPr>
      <w:bookmarkStart w:id="28" w:name="_Toc475341347"/>
      <w:r>
        <w:t>2.5.6 Benefits and Risks Conclusions</w:t>
      </w:r>
      <w:bookmarkEnd w:id="28"/>
    </w:p>
    <w:p w:rsidR="00025830" w:rsidRDefault="00025830" w:rsidP="00025830">
      <w:pPr>
        <w:pStyle w:val="Heading3"/>
      </w:pPr>
      <w:bookmarkStart w:id="29" w:name="_Toc475341348"/>
      <w:r>
        <w:t>2.5.6.1 Therapeutic Context</w:t>
      </w:r>
      <w:bookmarkEnd w:id="29"/>
    </w:p>
    <w:p w:rsidR="00025830" w:rsidRDefault="005C1AD4" w:rsidP="00025830">
      <w:r>
        <w:t xml:space="preserve">Supporting and promoting mental health as a state of wellbeing in which a person is able to cope with normal stress, to be productive and contribute to their community, is becoming more recognised as a global health priority (WHO 2016c). Normal stress can result from a hectic, demanding lifestyle dealing with new technologies, financial and social challenges, where demands and responsibilities are perceived as greater than can be comfortably managed (Farhud et al 2015). Additionally, life expectancy is projected to increase with gains due to enhanced longevity above 65 years old (Kontis et al 2017), and the issue of maintaining wellbeing at advanced ages is growing in importance (Steptoe et al 2015). Between 2000 and 2050 the proportion of the world’s population aged 60 years or over will double from approx. 11% to 22%. The continued increases in longevity will require attention and planning for health and social services. Senior citizens are at risk of physical and mental health challenges which need to be recognised and managed to guarantee an acceptable quality of life (WHO 2016b). Over 20% of adults aged 60 and over suffer from a mental or neurological disorder (excluding headache disorders). The most common neuropsychiatric disorders in this age group are dementia and depression (WHO 2016a). The global societal economic cost of illness of dementia is approximately US$ 818 billion in 2015, an increase of 35% from 2010. The costs of informal care and social care contribute significantly to the total costs (Wimo et al 2017). </w:t>
      </w:r>
    </w:p>
    <w:p w:rsidR="005C1AD4" w:rsidRDefault="005C1AD4" w:rsidP="00025830">
      <w:r>
        <w:t>Seeking optimal robust mental health plays an integral role in public health. Programs and activities that help prevent mental ageing, promote mental health and wellbeing include adoption of healthy lifestyles, supplementation and nutrition and mental activity (Elwood et al. 2013; Small et al 2013). A treatment such as CDRI 08 with a good safety profile and a good benefit-risk ratio could be useful to counteract mental ageing, support cognitive health, aid memory concerns and support high demanding cognitive performance from childhood to adult life.</w:t>
      </w:r>
    </w:p>
    <w:p w:rsidR="00025830" w:rsidRDefault="00025830" w:rsidP="005B4B0C">
      <w:pPr>
        <w:pStyle w:val="Heading4"/>
      </w:pPr>
      <w:r>
        <w:t>2.5.6.1.1 Disease or Condition</w:t>
      </w:r>
    </w:p>
    <w:p w:rsidR="005C1AD4" w:rsidRDefault="00FA46C5" w:rsidP="00FA46C5">
      <w:pPr>
        <w:shd w:val="clear" w:color="auto" w:fill="FFFFFF"/>
        <w:spacing w:line="300" w:lineRule="atLeast"/>
      </w:pPr>
      <w:r>
        <w:t>Mental health, as a state of wellbeing, is a critical component of health and is determined by a range of socioeconomic, biological and environmental factors, taking into account that there are also a wide variety of cognitive variables across nearly all of adulthood (WHO 2016c, reviewed in Salthouse 2011).  Wellbeing, physical and cognitive health are closely linked to age as longevity is associated with an elevated risk for physiological decline and incidence of diseases with disabling consequences.  Paradoxically, clinical evidence has revealed that when longitudinal assessments of three measures of memory and three measures of speed were obtained from a sample of 1,282 healthy adults (in age groups of 18-44, 45- 69 and 70-92 years), substantial declines were apparent in the adults 70 years and older, however in adults older and younger than 70 years, the change scores had similar properties and appear to be just as systematic (Salthouse 2010). This implies that systematic neurocognitive change could occur continuously throughout adulthood, but may not be evident at younger ages because of the presence of other factors (eg. positive retest effects).</w:t>
      </w:r>
    </w:p>
    <w:p w:rsidR="005C1AD4" w:rsidRPr="00892971" w:rsidRDefault="002A1BE1" w:rsidP="002A1BE1">
      <w:pPr>
        <w:shd w:val="clear" w:color="auto" w:fill="FFFFFF"/>
        <w:spacing w:line="300" w:lineRule="atLeast"/>
      </w:pPr>
      <w:r>
        <w:t xml:space="preserve">At all ages, mental health challenges resulting from socioeconomic, biological and environmental factors require coping mechanisms to continue to be productive and contribute to the community. Undue stress can be the result of a perception that demands cannot be comfortably managed. Stress could be work related, education related or lifestyle related, which adversely affects wellbeing and acceptable qualities of life. </w:t>
      </w:r>
    </w:p>
    <w:p w:rsidR="005C1AD4" w:rsidRPr="00D52C2B" w:rsidRDefault="005C1AD4" w:rsidP="002A1BE1">
      <w:pPr>
        <w:spacing w:line="300" w:lineRule="atLeast"/>
      </w:pPr>
      <w:r>
        <w:rPr>
          <w:rFonts w:hint="eastAsia"/>
          <w:lang w:val="en-GB"/>
        </w:rPr>
        <w:t>Future research efforts should</w:t>
      </w:r>
      <w:r>
        <w:rPr>
          <w:lang w:val="en-GB"/>
        </w:rPr>
        <w:t xml:space="preserve"> continue to</w:t>
      </w:r>
      <w:r>
        <w:rPr>
          <w:rFonts w:hint="eastAsia"/>
          <w:lang w:val="en-GB"/>
        </w:rPr>
        <w:t xml:space="preserve"> be focused on </w:t>
      </w:r>
      <w:r>
        <w:rPr>
          <w:lang w:val="en-GB"/>
        </w:rPr>
        <w:t xml:space="preserve">seeking optimal robust mental health support </w:t>
      </w:r>
      <w:r>
        <w:rPr>
          <w:rFonts w:hint="eastAsia"/>
          <w:lang w:val="en-GB"/>
        </w:rPr>
        <w:t xml:space="preserve">to reduce the impact of </w:t>
      </w:r>
      <w:r>
        <w:rPr>
          <w:lang w:val="en-GB"/>
        </w:rPr>
        <w:t>neurocognitive changes</w:t>
      </w:r>
      <w:r>
        <w:rPr>
          <w:rFonts w:hint="eastAsia"/>
          <w:lang w:val="en-GB"/>
        </w:rPr>
        <w:t xml:space="preserve"> on quality of life</w:t>
      </w:r>
      <w:r>
        <w:t xml:space="preserve"> and on the economic and social impact of the health care system</w:t>
      </w:r>
      <w:r>
        <w:rPr>
          <w:rFonts w:hint="eastAsia"/>
          <w:lang w:val="en-GB"/>
        </w:rPr>
        <w:t>.</w:t>
      </w:r>
    </w:p>
    <w:p w:rsidR="00025830" w:rsidRDefault="00025830" w:rsidP="002A1BE1">
      <w:pPr>
        <w:pStyle w:val="Heading4"/>
      </w:pPr>
      <w:r>
        <w:t>2.5.6.1.2 Current Therapies</w:t>
      </w:r>
    </w:p>
    <w:p w:rsidR="002A1BE1" w:rsidRPr="002A1BE1" w:rsidRDefault="002A1BE1" w:rsidP="002A1BE1">
      <w:r>
        <w:t>Current therapies to support mental health across the ages include adoption of healthy lifestyles, including exercise, balanced nutrition and mental activity, such as computer based brain training programs. To support students during education stress, physical activity and mindfulness programs can be helpful, although students also associate the use of stimulants such as caffeinated energy drinks (Gornicka et al 2014) or prescription stimulants (Arria 2006) to improve mental performance.</w:t>
      </w:r>
    </w:p>
    <w:p w:rsidR="00025830" w:rsidRDefault="00025830" w:rsidP="00025830">
      <w:pPr>
        <w:pStyle w:val="Heading3"/>
      </w:pPr>
      <w:bookmarkStart w:id="30" w:name="_Toc475341349"/>
      <w:r>
        <w:t>2.5.6.2 Benefits</w:t>
      </w:r>
      <w:bookmarkEnd w:id="30"/>
    </w:p>
    <w:p w:rsidR="00956E3A" w:rsidRPr="00956E3A" w:rsidRDefault="00956E3A" w:rsidP="00956E3A">
      <w:r>
        <w:t>The benefits of CDRI 08 capsule to improve cognitive function, memory, focus and concentration are mainly centered around its efficacy and safety profile for use across a wide age range (from age of 12 years). CDRI 08 does not function as a stimulant and the risk of dependency is low.</w:t>
      </w:r>
    </w:p>
    <w:p w:rsidR="00025830" w:rsidRDefault="00025830" w:rsidP="00025830">
      <w:pPr>
        <w:pStyle w:val="Heading3"/>
      </w:pPr>
      <w:bookmarkStart w:id="31" w:name="_Toc475341350"/>
      <w:r>
        <w:t>2.5.6.3 Risks</w:t>
      </w:r>
      <w:bookmarkEnd w:id="31"/>
    </w:p>
    <w:p w:rsidR="00956E3A" w:rsidRPr="00956E3A" w:rsidRDefault="00956E3A" w:rsidP="00956E3A">
      <w:r>
        <w:t xml:space="preserve">The risks of CDRI 08 do not outweigh the benefits, as there are minimal safety concerns. </w:t>
      </w:r>
    </w:p>
    <w:p w:rsidR="00025830" w:rsidRPr="00464298" w:rsidRDefault="00025830" w:rsidP="00025830">
      <w:pPr>
        <w:pStyle w:val="Heading3"/>
      </w:pPr>
      <w:bookmarkStart w:id="32" w:name="_Toc475341351"/>
      <w:r>
        <w:t>2.5.6.4 Benefit-Risk Assessment</w:t>
      </w:r>
      <w:bookmarkEnd w:id="32"/>
    </w:p>
    <w:p w:rsidR="00025830" w:rsidRDefault="00025830" w:rsidP="00025830">
      <w:r>
        <w:t xml:space="preserve">The overall body of evidence provides support for all the indications proposed in this application. </w:t>
      </w:r>
    </w:p>
    <w:p w:rsidR="00025830" w:rsidRDefault="00025830" w:rsidP="00025830">
      <w:r>
        <w:t xml:space="preserve">The safety data reviewed in this application does not raise any new concerns regarding the use of CDRI 08 capsules for the indications under review in this application. There are no specific safety concerns regarding the use of CDRI 08 capsules in children, or in the elderly. </w:t>
      </w:r>
    </w:p>
    <w:p w:rsidR="00025830" w:rsidRPr="005B4314" w:rsidRDefault="00025830" w:rsidP="00025830">
      <w:r>
        <w:t xml:space="preserve">There is a need for further data to support and verify the many potential clinical applications for the use of </w:t>
      </w:r>
      <w:r>
        <w:rPr>
          <w:i/>
        </w:rPr>
        <w:t xml:space="preserve">Bacopa monnieri </w:t>
      </w:r>
      <w:r>
        <w:t xml:space="preserve">beyond the indications within this application. The preclinical evidence is voluminous and further clinical evidence to support this data is required so that the all benefits of use of </w:t>
      </w:r>
      <w:r>
        <w:rPr>
          <w:i/>
        </w:rPr>
        <w:t xml:space="preserve">Bacopa monnieri </w:t>
      </w:r>
      <w:r>
        <w:t xml:space="preserve">may be optimised. </w:t>
      </w:r>
    </w:p>
    <w:p w:rsidR="00025830" w:rsidRDefault="00025830" w:rsidP="00025830">
      <w:r>
        <w:t xml:space="preserve">Further studies of the clinical applications of </w:t>
      </w:r>
      <w:r>
        <w:rPr>
          <w:i/>
        </w:rPr>
        <w:t>Bacopa monnieri</w:t>
      </w:r>
      <w:r>
        <w:t xml:space="preserve"> are in progress. For example, early results show some positive effects in patients recently diagnosed with Alzheimer’s disease (Goswami et al. 2011). A specific indication for the use in children with ADHD may also be warranted depending on the results from further clinical data.</w:t>
      </w:r>
    </w:p>
    <w:p w:rsidR="00025830" w:rsidRDefault="00025830" w:rsidP="00025830">
      <w:r>
        <w:t>In conclusion, the data in this application supports the following uses of CDRI 08 capsules:</w:t>
      </w:r>
    </w:p>
    <w:p w:rsidR="00025830" w:rsidRDefault="00025830" w:rsidP="00025830">
      <w:pPr>
        <w:pStyle w:val="ListParagraph"/>
        <w:numPr>
          <w:ilvl w:val="0"/>
          <w:numId w:val="21"/>
        </w:numPr>
      </w:pPr>
      <w:r>
        <w:t xml:space="preserve">In adults the recommended daily dose of 2 x160 mg CDRI 08 capsules and in children &gt;7, a daily dose of 1 x 160mg  may help </w:t>
      </w:r>
    </w:p>
    <w:p w:rsidR="00025830" w:rsidRDefault="00025830" w:rsidP="00025830">
      <w:pPr>
        <w:pStyle w:val="ListParagraph"/>
        <w:numPr>
          <w:ilvl w:val="1"/>
          <w:numId w:val="21"/>
        </w:numPr>
      </w:pPr>
      <w:r>
        <w:t>to improve, support and maintain cognitive function</w:t>
      </w:r>
    </w:p>
    <w:p w:rsidR="00025830" w:rsidRDefault="00025830" w:rsidP="00025830">
      <w:pPr>
        <w:pStyle w:val="ListParagraph"/>
        <w:numPr>
          <w:ilvl w:val="1"/>
          <w:numId w:val="21"/>
        </w:numPr>
      </w:pPr>
      <w:r>
        <w:t>to support mental clarity</w:t>
      </w:r>
    </w:p>
    <w:p w:rsidR="00025830" w:rsidRDefault="00025830" w:rsidP="00025830">
      <w:pPr>
        <w:pStyle w:val="ListParagraph"/>
        <w:numPr>
          <w:ilvl w:val="1"/>
          <w:numId w:val="21"/>
        </w:numPr>
      </w:pPr>
      <w:r>
        <w:t>to improve and maintain memory</w:t>
      </w:r>
    </w:p>
    <w:p w:rsidR="00025830" w:rsidRDefault="00025830" w:rsidP="00025830">
      <w:pPr>
        <w:pStyle w:val="ListParagraph"/>
        <w:numPr>
          <w:ilvl w:val="1"/>
          <w:numId w:val="21"/>
        </w:numPr>
      </w:pPr>
      <w:r>
        <w:t>to improve working memory</w:t>
      </w:r>
    </w:p>
    <w:p w:rsidR="00025830" w:rsidRDefault="00025830" w:rsidP="00025830">
      <w:pPr>
        <w:pStyle w:val="ListParagraph"/>
        <w:numPr>
          <w:ilvl w:val="1"/>
          <w:numId w:val="21"/>
        </w:numPr>
      </w:pPr>
      <w:r>
        <w:t>to assist in learning retention</w:t>
      </w:r>
    </w:p>
    <w:p w:rsidR="00025830" w:rsidRDefault="00025830" w:rsidP="00025830">
      <w:pPr>
        <w:pStyle w:val="ListParagraph"/>
        <w:numPr>
          <w:ilvl w:val="1"/>
          <w:numId w:val="21"/>
        </w:numPr>
      </w:pPr>
      <w:r>
        <w:t>to assist with concentration, focus and keeping to task</w:t>
      </w:r>
    </w:p>
    <w:p w:rsidR="00025830" w:rsidRDefault="00025830" w:rsidP="00025830">
      <w:pPr>
        <w:pStyle w:val="ListParagraph"/>
        <w:numPr>
          <w:ilvl w:val="1"/>
          <w:numId w:val="21"/>
        </w:numPr>
      </w:pPr>
      <w:r>
        <w:t>to be beneficial during times of stress and mild anxiety</w:t>
      </w:r>
    </w:p>
    <w:p w:rsidR="00663CFB" w:rsidRDefault="00663CFB" w:rsidP="00663CFB">
      <w:pPr>
        <w:pStyle w:val="ListParagraph"/>
        <w:ind w:left="1440"/>
      </w:pPr>
    </w:p>
    <w:p w:rsidR="00025830" w:rsidRDefault="00025830" w:rsidP="00025830">
      <w:pPr>
        <w:pStyle w:val="ListParagraph"/>
        <w:numPr>
          <w:ilvl w:val="0"/>
          <w:numId w:val="21"/>
        </w:numPr>
      </w:pPr>
      <w:r>
        <w:t>In adults there is traditional evidence to support the use of CDRI 08 capsules:</w:t>
      </w:r>
    </w:p>
    <w:p w:rsidR="00025830" w:rsidRDefault="00025830" w:rsidP="00025830">
      <w:pPr>
        <w:pStyle w:val="ListParagraph"/>
        <w:numPr>
          <w:ilvl w:val="1"/>
          <w:numId w:val="21"/>
        </w:numPr>
      </w:pPr>
      <w:r>
        <w:t>To aid memory and concentration</w:t>
      </w:r>
    </w:p>
    <w:p w:rsidR="00025830" w:rsidRDefault="00025830" w:rsidP="00025830">
      <w:pPr>
        <w:pStyle w:val="ListParagraph"/>
        <w:numPr>
          <w:ilvl w:val="1"/>
          <w:numId w:val="21"/>
        </w:numPr>
      </w:pPr>
      <w:r>
        <w:t>To heighten learning capacity</w:t>
      </w:r>
    </w:p>
    <w:p w:rsidR="00025830" w:rsidRDefault="00025830" w:rsidP="00025830">
      <w:pPr>
        <w:pStyle w:val="ListParagraph"/>
        <w:numPr>
          <w:ilvl w:val="1"/>
          <w:numId w:val="21"/>
        </w:numPr>
      </w:pPr>
      <w:r>
        <w:t>As a nerve tonic</w:t>
      </w:r>
    </w:p>
    <w:p w:rsidR="00025830" w:rsidRDefault="00025830" w:rsidP="00025830">
      <w:pPr>
        <w:pStyle w:val="ListParagraph"/>
        <w:numPr>
          <w:ilvl w:val="1"/>
          <w:numId w:val="21"/>
        </w:numPr>
      </w:pPr>
      <w:r>
        <w:t>To support cardiovascular health</w:t>
      </w:r>
    </w:p>
    <w:p w:rsidR="00663CFB" w:rsidRDefault="00663CFB" w:rsidP="00663CFB">
      <w:pPr>
        <w:pStyle w:val="ListParagraph"/>
        <w:ind w:left="1440"/>
      </w:pPr>
    </w:p>
    <w:p w:rsidR="00025830" w:rsidRPr="005644B5" w:rsidRDefault="00025830" w:rsidP="00025830">
      <w:pPr>
        <w:pStyle w:val="ListParagraph"/>
        <w:numPr>
          <w:ilvl w:val="0"/>
          <w:numId w:val="21"/>
        </w:numPr>
      </w:pPr>
      <w:r>
        <w:t xml:space="preserve">Furthermore, there is preclinical evidence to support the following functions of </w:t>
      </w:r>
      <w:r>
        <w:rPr>
          <w:i/>
        </w:rPr>
        <w:t>Bacopa monnieri</w:t>
      </w:r>
    </w:p>
    <w:p w:rsidR="00025830" w:rsidRDefault="00025830" w:rsidP="00025830">
      <w:pPr>
        <w:pStyle w:val="ListParagraph"/>
        <w:numPr>
          <w:ilvl w:val="1"/>
          <w:numId w:val="21"/>
        </w:numPr>
      </w:pPr>
      <w:r>
        <w:t>As a potent anti-oxidant agent</w:t>
      </w:r>
    </w:p>
    <w:p w:rsidR="00025830" w:rsidRDefault="00663CFB" w:rsidP="00663CFB">
      <w:pPr>
        <w:pStyle w:val="ListParagraph"/>
        <w:numPr>
          <w:ilvl w:val="1"/>
          <w:numId w:val="21"/>
        </w:numPr>
      </w:pPr>
      <w:r>
        <w:t>As a neuroprotective agent</w:t>
      </w:r>
    </w:p>
    <w:p w:rsidR="00663CFB" w:rsidRDefault="00663CFB" w:rsidP="00663CFB">
      <w:pPr>
        <w:pStyle w:val="ListParagraph"/>
        <w:ind w:left="1440"/>
      </w:pPr>
    </w:p>
    <w:p w:rsidR="00025830" w:rsidRDefault="00025830" w:rsidP="00025830">
      <w:pPr>
        <w:pStyle w:val="ListParagraph"/>
        <w:numPr>
          <w:ilvl w:val="0"/>
          <w:numId w:val="21"/>
        </w:numPr>
      </w:pPr>
      <w:r>
        <w:t xml:space="preserve">Both the daily dose of 2 x 160 mg CDRI 08 capsules with breakfast for Adults and the daily dose of 1 x 160 mg CDRI 08 capsule for children over 7 years with breakfast (or as advised by your healthcare professional), are well tolerated with only mild adverse events reported, usually involving the gastrointestinal system  </w:t>
      </w:r>
    </w:p>
    <w:p w:rsidR="00025830" w:rsidRDefault="00025830" w:rsidP="00025830">
      <w:r>
        <w:t xml:space="preserve">The overall benefit to risk ratio of CDRI 08 capsules is considered favourable based on the data to support this application. The benefits and potential benefits of the CDRI 08 capsules formulation of </w:t>
      </w:r>
      <w:r>
        <w:rPr>
          <w:i/>
        </w:rPr>
        <w:t xml:space="preserve">Bacopa monnieri </w:t>
      </w:r>
      <w:r>
        <w:t>outweigh the small and uncommon risks associated with its use.</w:t>
      </w:r>
    </w:p>
    <w:p w:rsidR="00025830" w:rsidRDefault="00025830" w:rsidP="00025830">
      <w:pPr>
        <w:pStyle w:val="Heading2"/>
        <w:jc w:val="left"/>
      </w:pPr>
      <w:r>
        <w:br w:type="page"/>
      </w:r>
      <w:bookmarkStart w:id="33" w:name="_Toc475341352"/>
      <w:r>
        <w:t>2.5.7 Literature References</w:t>
      </w:r>
      <w:bookmarkEnd w:id="33"/>
      <w:r>
        <w:t xml:space="preserve"> </w:t>
        <w:br/>
      </w:r>
    </w:p>
    <w:p w:rsidR="00025830" w:rsidRPr="00AD18DE" w:rsidRDefault="00025830" w:rsidP="00025830">
      <w:r>
        <w:t>Abascal K and Yarnell E. 2011. Bacopa for the Brain. Alternative and Complementary Therapies. 17(1):21-25.</w:t>
      </w:r>
      <w:r>
        <w:rPr>
          <w:rFonts w:eastAsia="MyriadPro-BoldCond"/>
        </w:rPr>
        <w:t xml:space="preserve"> [S14-0391]</w:t>
      </w:r>
    </w:p>
    <w:p w:rsidR="00025830" w:rsidRPr="00AD18DE" w:rsidRDefault="00025830" w:rsidP="00025830">
      <w:r>
        <w:t xml:space="preserve">Aguiar S and Borowski T. 2013. Neuropharmacological review of the nootropic herb </w:t>
      </w:r>
      <w:r>
        <w:rPr>
          <w:i/>
        </w:rPr>
        <w:t xml:space="preserve">Bacopa monnieri. </w:t>
      </w:r>
      <w:r>
        <w:t>Rejuvenation Research. 16(4):313-326. [S14-0206]</w:t>
      </w:r>
    </w:p>
    <w:p w:rsidR="00025830" w:rsidRPr="00AD18DE" w:rsidRDefault="00025830" w:rsidP="00025830">
      <w:r>
        <w:t>Anbarasi K., Vani G. Balakrishna K., Devi C.S.S. 2005. Creatine kinase isoenzyme patterns upon chronic exposure to cigarette smoke: protective effect of Bacoside A. Vascular Pharmacology.42: 57-61. [S14-0335]</w:t>
      </w:r>
    </w:p>
    <w:p w:rsidR="00025830" w:rsidRDefault="00025830" w:rsidP="00025830">
      <w:r>
        <w:t>Anabarasi K., Kathirvel G., Vani G., Jayaraman G., and Devi C.S.S.2006. Cigarette smoking induces heat shock protein 70 kDa expression and apoptosis in rat brain: modulation by bacoside A. Neuroscience. 138:1127-1135. [S14-0337]</w:t>
      </w:r>
    </w:p>
    <w:p w:rsidR="00956E3A" w:rsidRPr="00AD18DE" w:rsidRDefault="00956E3A" w:rsidP="00025830">
      <w:r>
        <w:t>Arria , A.M., Wish, E.D., 2006. Non medical use of prescription stimulants among students. Pediatr. Ann. 35(8): 565-571.</w:t>
      </w:r>
    </w:p>
    <w:p w:rsidR="00025830" w:rsidRDefault="00025830" w:rsidP="00025830">
      <w:r>
        <w:t>Asthana OP et al. 1996. Safety and tolerability of bacosides A and B (20-300 mg, single dose and 200 mg per day orally x 4 weeks) in healthy human volunteers. Ind J Pharmacol. 28(1): 37. [S14-0392]</w:t>
      </w:r>
    </w:p>
    <w:p w:rsidR="00025830" w:rsidRPr="00AD18DE" w:rsidRDefault="00025830" w:rsidP="00025830">
      <w:r>
        <w:t xml:space="preserve">M Atkinson, C Hollis. NICE guideline: attention deficit hyperactivity disorder. Arch Dis Child Educ Pract Ed 2010;95:24–27. doi: 10.1136/24 adc.2009.175943 </w:t>
      </w:r>
      <w:r>
        <w:rPr>
          <w:lang w:val="fr-FR"/>
        </w:rPr>
        <w:t xml:space="preserve">Bacopa monniera Monograph. </w:t>
      </w:r>
      <w:r>
        <w:t>2004. Thorne Research Inc. Alternative Medicine Review. 9(1):79-85 [S14-0393]</w:t>
      </w:r>
    </w:p>
    <w:p w:rsidR="00025830" w:rsidRPr="00A11AB7" w:rsidRDefault="00025830" w:rsidP="00025830">
      <w:r>
        <w:t>Barbhaiya H.C., Desai, R.P., Saxena, V.S., Pravina, K., Wasim, P., Geetharami, P., Allan, J.J., Venkateshwarlu, K., Amit, A., 2008. Efficacy and tolerability of BacoMind on memory improvement in elderly participants- A double blind placebo controlled study. J Pharmacol. Toxicol. 3: 425-434. [S14-0394]</w:t>
      </w:r>
    </w:p>
    <w:p w:rsidR="00025830" w:rsidRDefault="00025830" w:rsidP="00025830">
      <w:r>
        <w:t xml:space="preserve">Benson S, Downey L.A., Stough, C., Wetherell M., Zangara A., and Scholey A.2013. An acute, double-blind, placebo-controlled cross-over study of 320 mg and 640 mg doses of </w:t>
      </w:r>
      <w:r>
        <w:rPr>
          <w:i/>
        </w:rPr>
        <w:t xml:space="preserve">Bacopa monnieri </w:t>
      </w:r>
      <w:r>
        <w:t>(CDRI08) on multitasking stress reactivity and mood. Phytother Res 28(4):551-559. [S14-0103].</w:t>
      </w:r>
    </w:p>
    <w:p w:rsidR="00025830" w:rsidRPr="00A11AB7" w:rsidRDefault="00025830" w:rsidP="00025830">
      <w:r>
        <w:t>Bhateria M., Ramakrishna R., Puttrevu, S. K. Singh, R., Bhatta, R.S., 2016. Analysis of bacopaside I in biomatrices using liquid chromatography-tandem mass spectrometry: pharmacokinetics and brain distribution in Swiss-albino mice. J. Pharm. Biomed. Anal. 125: 101-109.</w:t>
      </w:r>
    </w:p>
    <w:p w:rsidR="00025830" w:rsidRPr="00A11AB7" w:rsidRDefault="00025830" w:rsidP="00025830">
      <w:r>
        <w:t xml:space="preserve">Bhattacharya SK and Ghosal S. 1998. Anxiolytic activity of a standardized extract of </w:t>
      </w:r>
      <w:r>
        <w:rPr>
          <w:i/>
        </w:rPr>
        <w:t>Bacopa monniera</w:t>
      </w:r>
      <w:r>
        <w:t xml:space="preserve"> – an experimental study. Phytomedicine 5:77-82. [S14-0193]</w:t>
      </w:r>
    </w:p>
    <w:p w:rsidR="00025830" w:rsidRPr="00A11AB7" w:rsidRDefault="00025830" w:rsidP="00025830">
      <w:r>
        <w:t xml:space="preserve">Bhattacharya S.K., Bhattacharya, A., Kumar, A., Ghosal, S., 2000. Antioxidant activity of </w:t>
      </w:r>
      <w:r>
        <w:rPr>
          <w:i/>
        </w:rPr>
        <w:t xml:space="preserve">Bacopa monniera </w:t>
      </w:r>
      <w:r>
        <w:t>in rat frontal cortex, striatum and hippocampus. Phytother Res 14:174-179. [S14-0339]</w:t>
      </w:r>
    </w:p>
    <w:p w:rsidR="00025830" w:rsidRPr="00A11AB7" w:rsidRDefault="00025830" w:rsidP="00025830">
      <w:r>
        <w:t>Bhishagratna KK. 1998. Susruta Samhita (Text with English translation). Dwivedi L (ed.) Chapter XXVIII, Volume II, p 615. [S14-0395]</w:t>
      </w:r>
    </w:p>
    <w:p w:rsidR="00025830" w:rsidRPr="00A11AB7" w:rsidRDefault="00025830" w:rsidP="00025830">
      <w:r>
        <w:t>Braun L and Cohen MJ, 2010. Herbs and natural supplements: an evidence-based guide, 3</w:t>
      </w:r>
      <w:r>
        <w:rPr>
          <w:vertAlign w:val="superscript"/>
        </w:rPr>
        <w:t>rd</w:t>
      </w:r>
      <w:r>
        <w:t xml:space="preserve"> edition. Elsevier Australia. [S14</w:t>
        <w:noBreakHyphen/>
        <w:t>0395]</w:t>
      </w:r>
    </w:p>
    <w:p w:rsidR="00025830" w:rsidRDefault="00025830" w:rsidP="00025830">
      <w:r>
        <w:t>Calabrese C., Gregory, W.L. Leo, M., Kraemer, D., Bone, K., Oken, B.,2008. Effects of a Standardized Bacopa monnieri Extract on Cognitive Performance, Anxiety, and Depression in the Elderly: A Randomized, Double-Blind, Placebo-Controlled Trial. J Alternative &amp; Complementary Medicine, 14 (6): 707-713. [S14-0179]</w:t>
      </w:r>
    </w:p>
    <w:p w:rsidR="00025830" w:rsidRPr="00A11AB7" w:rsidRDefault="00025830" w:rsidP="00025830">
      <w:r>
        <w:t xml:space="preserve">Chakravarty A.K., Garai, S., Masuda, K., Nakane, T., Kawahara N., 2003 Bacopasides III-V: Three New Triterpenoid Glycosides from </w:t>
      </w:r>
      <w:r>
        <w:rPr>
          <w:i/>
        </w:rPr>
        <w:t>Bacopa monniera</w:t>
      </w:r>
      <w:r>
        <w:t>. Chem. Pharm. Bull. 51(2) 215-217.</w:t>
      </w:r>
    </w:p>
    <w:p w:rsidR="00025830" w:rsidRPr="00A11AB7" w:rsidRDefault="00025830" w:rsidP="00025830">
      <w:r>
        <w:t>Channa, S., Dar, A., Anjum, S., Yaqoob, M., Atta-ur-Rahman, 2006 Anti-inflammatory activity of Bacopa monniera in rodents. Journal of Ethnopharmacology 104 (2006) 286–289 [S14-0154]</w:t>
      </w:r>
    </w:p>
    <w:p w:rsidR="00025830" w:rsidRPr="00073486" w:rsidRDefault="00025830" w:rsidP="00025830">
      <w:r>
        <w:t>Chopra et al. 1956. Glossary of Indian medicinal plants. Council of Scientific and Industrial Research, New Delhi, 32. [S14-0380]</w:t>
      </w:r>
    </w:p>
    <w:p w:rsidR="00025830" w:rsidRPr="008A6512" w:rsidRDefault="00025830" w:rsidP="00025830">
      <w:r>
        <w:t xml:space="preserve">Dar A and Channa S. 1999. Calcium antagonist activity of </w:t>
      </w:r>
      <w:r>
        <w:rPr>
          <w:i/>
        </w:rPr>
        <w:t xml:space="preserve">Bacopa monniera </w:t>
      </w:r>
      <w:r>
        <w:t>on vascular and intestinal smooth muscles of rabbit and guinea pig. J. Ethanopharmacology 66:167-174. [S14-0341]</w:t>
      </w:r>
    </w:p>
    <w:p w:rsidR="00025830" w:rsidRPr="008A6512" w:rsidRDefault="00025830" w:rsidP="00025830">
      <w:r>
        <w:t>Das A., Shanker, G., Nath, C., Pal, R., Singh, S., Singh, H.K,  2002. A comparative study in rodents of standardized extracts of Bacopa monniera and Gingko biloba. Anticholinesterase and cognitive enhancing activities. Pharmacol Biochem Behav 73(4):893-900.[S12-3323]</w:t>
      </w:r>
    </w:p>
    <w:p w:rsidR="00025830" w:rsidRPr="008A6512" w:rsidRDefault="00025830" w:rsidP="00025830">
      <w:r>
        <w:t>Dave U. P., Dingankar, S. R., Saxena, V. S., Joseph, J.A., Bethapudi, B., Agarwal, A., Kudiganti, V.2014. An open-label study to elucidate the effects of standardized Bacopa monnieri extract in the management of symptoms of attention-deficit hyperactivity disorder in children. Adv Mind Body Med 28(2):10-15 [S14-0222]</w:t>
      </w:r>
    </w:p>
    <w:p w:rsidR="00025830" w:rsidRPr="008A6512" w:rsidRDefault="00025830" w:rsidP="00025830">
      <w:r>
        <w:t>Deepak M and Amit A. 2004. The need for establishing identities of ‘bacoside A and B’, the putative major bioactive saponins of Indian Medicinal plant Bacopa monnieri. Phytomedicine. 11:264-268.[S12-3329]</w:t>
      </w:r>
    </w:p>
    <w:p w:rsidR="00025830" w:rsidRPr="008A6512" w:rsidRDefault="00025830" w:rsidP="00025830">
      <w:pPr>
        <w:rPr>
          <w:i/>
        </w:rPr>
      </w:pPr>
      <w:r>
        <w:t>Deepak M., Sangli G.K., Arun, P.C., Amit, A.,. 2005 Quantitative determination of the major saponin mixture bacoside A in Bacopa monnieri by HPLC. Phytochemical Analysis 16:24-26. [S12-3328]</w:t>
      </w:r>
    </w:p>
    <w:p w:rsidR="00025830" w:rsidRDefault="00025830" w:rsidP="00025830">
      <w:r>
        <w:t>Dept of Ayush. The Ayurvedic Pharmacopoeia of India Part 1 Volume II Pg 25 [S14-0397]</w:t>
      </w:r>
    </w:p>
    <w:p w:rsidR="00025830" w:rsidRPr="00B7294D" w:rsidRDefault="00025830" w:rsidP="00025830">
      <w:r>
        <w:t>Dementia: The NICE-SCIE guideline on supporting people with dementia and their carers in health and social care. National Clinical Practice Guideline Number 42. The British Psychological Society&amp; The Royal College of Psychiatrists, 2007.</w:t>
      </w:r>
    </w:p>
    <w:p w:rsidR="00025830" w:rsidRPr="008A6512" w:rsidRDefault="00025830" w:rsidP="00025830">
      <w:r>
        <w:t xml:space="preserve">Dhanasekaran M., Tharakan B., Holcomb, L.A., Hitt, A.R., Young, K.A., Manyam B.V. 2007. Neuroprotective mechanisms of ayurvedic antidementia botanical </w:t>
      </w:r>
      <w:r>
        <w:rPr>
          <w:i/>
        </w:rPr>
        <w:t>Bacopa monniera</w:t>
      </w:r>
      <w:r>
        <w:t>. Phytother Res 21(10):965-969. [S14-0397]</w:t>
      </w:r>
    </w:p>
    <w:p w:rsidR="00025830" w:rsidRDefault="00025830" w:rsidP="00025830">
      <w:r>
        <w:rPr>
          <w:lang w:val="en-AU"/>
        </w:rPr>
        <w:t xml:space="preserve">Dowell A, Davidson G, Ghosh D. 2015 Validation of Quantitative HPLC Method for Bacosides in Mindwise. </w:t>
      </w:r>
      <w:r>
        <w:rPr>
          <w:i/>
          <w:iCs/>
          <w:lang w:val="en-AU"/>
        </w:rPr>
        <w:t>Evidence-based Complementary and Alternative Medicine : eCAM</w:t>
      </w:r>
      <w:r>
        <w:rPr>
          <w:lang w:val="en-AU"/>
        </w:rPr>
        <w:t>;2015:696172</w:t>
      </w:r>
    </w:p>
    <w:p w:rsidR="00025830" w:rsidRPr="008A6512" w:rsidRDefault="00025830" w:rsidP="00025830">
      <w:r>
        <w:t xml:space="preserve">Downey L.A., Kean, J., Nemeh, F., Lau, A., Poll, A., Gregory R., Murray, M., Rourke, J., Patak, B., Pase, M.P., Zangara, A., Lomas, J., Scholey, A., Stough, C.. 2012. An acute, double-blind, placebo-controlled crossover study of 320 mg and 640 mg doses of a special extract of </w:t>
      </w:r>
      <w:r>
        <w:rPr>
          <w:i/>
        </w:rPr>
        <w:t xml:space="preserve">Bacopa monnieri </w:t>
      </w:r>
      <w:r>
        <w:t>(CDRI 08) on sustained cognitive performance. Phytother. Res. 27(9):1407-1413. [S14-0043]</w:t>
      </w:r>
    </w:p>
    <w:p w:rsidR="00025830" w:rsidRDefault="00025830" w:rsidP="00025830">
      <w:r>
        <w:t xml:space="preserve">Dulcy C.P., Singh, H.K., Preethi, J., Rajan, K. E., 2012. Standardized extract of </w:t>
      </w:r>
      <w:r>
        <w:rPr>
          <w:i/>
        </w:rPr>
        <w:t>Bacopa monniera</w:t>
      </w:r>
      <w:r>
        <w:t xml:space="preserve"> (BESEB CDRI-08) attenuates contextual associative learning deficits in the ageing rat’s brain induced by D-galactose. J. Neuroscience Res. 90:2053-2064. [S14-0153]</w:t>
      </w:r>
    </w:p>
    <w:p w:rsidR="00025830" w:rsidRDefault="00025830" w:rsidP="00025830">
      <w:r>
        <w:t>Elwood P., Galante J., Pickering J.,  Palmer S., Bayer A., Ben-Shlomo Y., Longley M., Gallacher J., 2013. Healthy Lifestyles Reduce the Incidence of Chronic Diseases and Dementia: Evidence from the Caerphilly Cohort Study. Volume 8 e81877 PLOS ONE.</w:t>
      </w:r>
    </w:p>
    <w:p w:rsidR="00025830" w:rsidRDefault="005C1AD4" w:rsidP="00025830">
      <w:r>
        <w:t xml:space="preserve">Farhud, D.D., 2015 Impact of Lifestyle on Health. </w:t>
      </w:r>
      <w:hyperlink r:id="rId9" w:history="1">
        <w:r>
          <w:t>Iran J Public Health</w:t>
        </w:r>
      </w:hyperlink>
      <w:r>
        <w:t xml:space="preserve">. 44(11): 1442–1444. </w:t>
      </w:r>
    </w:p>
    <w:p w:rsidR="00663CFB" w:rsidRDefault="00663CFB" w:rsidP="00663CFB">
      <w:pPr>
        <w:autoSpaceDE w:val="0"/>
        <w:autoSpaceDN w:val="0"/>
        <w:adjustRightInd w:val="0"/>
        <w:spacing w:before="0" w:after="0" w:line="240" w:lineRule="auto"/>
        <w:jc w:val="left"/>
      </w:pPr>
      <w:r>
        <w:t>Górnicka, M., Pierzynowska, J., Kaniewska, E., Kossakowska, K., Wo</w:t>
      </w:r>
      <w:r>
        <w:rPr>
          <w:rFonts w:hint="eastAsia"/>
        </w:rPr>
        <w:t>ź</w:t>
      </w:r>
      <w:r>
        <w:t>niak, A., 2014 School pupils and university students surveyed for drinking beverages containing caffeine Rocz Panstw Zakl Hig. 65(2):113-117</w:t>
      </w:r>
    </w:p>
    <w:p w:rsidR="00025830" w:rsidRDefault="00025830" w:rsidP="00663CFB">
      <w:pPr>
        <w:autoSpaceDE w:val="0"/>
        <w:autoSpaceDN w:val="0"/>
        <w:adjustRightInd w:val="0"/>
        <w:spacing w:before="0" w:after="0" w:line="240" w:lineRule="auto"/>
        <w:jc w:val="left"/>
      </w:pPr>
      <w:r>
        <w:t xml:space="preserve">Goswami S., Saoji A., Kumar N., Thawani V., Tiwari M., Thawani M., 2011. Effect of </w:t>
      </w:r>
      <w:r>
        <w:rPr>
          <w:i/>
        </w:rPr>
        <w:t xml:space="preserve">Bacopa monnieri </w:t>
      </w:r>
      <w:r>
        <w:t>on cognitive functions in Alzheimer’s disease patients. Int J Collab Res Intern Med &amp; Pub Heal 3(4): 285-293. [S14-0398]</w:t>
      </w:r>
    </w:p>
    <w:p w:rsidR="00025830" w:rsidRPr="00A40B4D" w:rsidRDefault="00025830" w:rsidP="00025830">
      <w:r>
        <w:t xml:space="preserve">Hosamani R, Krishna G, </w:t>
      </w:r>
      <w:hyperlink r:id="rId10" w:history="1">
        <w:r>
          <w:t>Muralidhara</w:t>
        </w:r>
      </w:hyperlink>
      <w:r>
        <w:t xml:space="preserve"> 2016 Standardized Bacopa monnieri extract ameliorates acute paraquat-induced oxidative stress, and neurotoxicity in prepubertal mice brain. Nutr Neurosci.;19(10):434-446. Epub 2016 Mar 18.</w:t>
      </w:r>
    </w:p>
    <w:p w:rsidR="00025830" w:rsidRPr="008A6512" w:rsidRDefault="00025830" w:rsidP="00025830">
      <w:pPr>
        <w:rPr>
          <w:i/>
        </w:rPr>
      </w:pPr>
      <w:r>
        <w:t xml:space="preserve">Holcomb L.A., Dhanasekaran M., Hitta A.R., Young K.A,,Riggs M., Manyam B.V.,2006. </w:t>
      </w:r>
      <w:r>
        <w:rPr>
          <w:i/>
        </w:rPr>
        <w:t xml:space="preserve">Bacopa monniera </w:t>
      </w:r>
      <w:r>
        <w:t>extract reduces amyloid levels in PSAPP mice. J. Alzheimer’s Dis. 9:243-251. [S14-0195]</w:t>
      </w:r>
      <w:r>
        <w:rPr>
          <w:i/>
        </w:rPr>
        <w:t xml:space="preserve"> </w:t>
      </w:r>
    </w:p>
    <w:p w:rsidR="00025830" w:rsidRDefault="00025830" w:rsidP="00025830">
      <w:r>
        <w:t xml:space="preserve">Hota S.K., Barhwal K., Baitharu I., Prasad D., Singh S.b., Ilavazahan, G., 2009. </w:t>
      </w:r>
      <w:r>
        <w:rPr>
          <w:i/>
        </w:rPr>
        <w:t xml:space="preserve">Bacopa monniera </w:t>
      </w:r>
      <w:r>
        <w:t>leaf extract ameliorates hypobaric hypoxia induced spatial memory impairment. Neurobiology of Disease 34:23-39. [S14-0339]</w:t>
      </w:r>
    </w:p>
    <w:p w:rsidR="00025830" w:rsidRPr="008A6512" w:rsidRDefault="00025830" w:rsidP="00025830">
      <w:r>
        <w:t>Indian Herbal Pharmacopeia; Indian Drug Manufacturers Association (IDMA): Mumbai, India, 2002; p.76</w:t>
      </w:r>
    </w:p>
    <w:p w:rsidR="00025830" w:rsidRDefault="00025830" w:rsidP="00025830">
      <w:r>
        <w:t>Jomova K, Vondrakova D, Lawson M, Valko M. 2010 Metals, oxidative stress and neurodegenerative disorders. Mol Cell Biochem., 345(1-2):91-104</w:t>
      </w:r>
    </w:p>
    <w:p w:rsidR="00025830" w:rsidRPr="008A6512" w:rsidRDefault="00025830" w:rsidP="00025830">
      <w:r>
        <w:t xml:space="preserve">Jorm AF, Rodgers B, Christensen H. 2004. Use of medications to enhance memory in a large community sample of 60-64 year olds. International Psychogeriatrics 16(2):209-217. [S14-0400] </w:t>
      </w:r>
    </w:p>
    <w:p w:rsidR="00025830" w:rsidRPr="008A6512" w:rsidRDefault="00025830" w:rsidP="00025830">
      <w:r>
        <w:t xml:space="preserve">Jyoti A and Sharma D. 2006. Neuroprotective role of </w:t>
      </w:r>
      <w:r>
        <w:rPr>
          <w:i/>
        </w:rPr>
        <w:t xml:space="preserve">Bacopa monniera </w:t>
      </w:r>
      <w:r>
        <w:t>extract against aluminium-induced oxidative stress in the hippocampus of rat brain. Neurotoxicology 27:451-457. [S14-0202]</w:t>
      </w:r>
    </w:p>
    <w:p w:rsidR="00025830" w:rsidRPr="008A6512" w:rsidRDefault="00025830" w:rsidP="00025830">
      <w:r>
        <w:t xml:space="preserve">Kala M., Kumara T., Singh H., Dhuliya V.,2011. Randomized control double-blind study to clinically assess the effect of standardized </w:t>
      </w:r>
      <w:r>
        <w:rPr>
          <w:i/>
        </w:rPr>
        <w:t xml:space="preserve">Bacopa monniera </w:t>
      </w:r>
      <w:r>
        <w:t>extract (BESEB-CDRI-08) on sleep, lethargy and night sweats of postmenopausal women. Journal of Pharmacy Research 4(2):548-550. [S14-0150]</w:t>
      </w:r>
    </w:p>
    <w:p w:rsidR="00025830" w:rsidRDefault="00025830" w:rsidP="00025830">
      <w:r>
        <w:t xml:space="preserve">Kamkaew N, Scholfield, C.N., Inkaninan K., Maneesai, P., Parkington H.C., Tare M., Chootip, K. 2011. </w:t>
      </w:r>
      <w:r>
        <w:rPr>
          <w:i/>
        </w:rPr>
        <w:t xml:space="preserve">Bacopa monnieri </w:t>
      </w:r>
      <w:r>
        <w:t>and its constituents is hypotensive in anaesthetized rats and vasodilator in various artery types. Journal of Ethnopharmacology 137:790-795. [S14-0401]</w:t>
      </w:r>
    </w:p>
    <w:p w:rsidR="003904BB" w:rsidRPr="00F66DB5" w:rsidRDefault="003904BB" w:rsidP="00F66DB5">
      <w:pPr>
        <w:autoSpaceDE w:val="0"/>
        <w:autoSpaceDN w:val="0"/>
        <w:adjustRightInd w:val="0"/>
        <w:spacing w:before="0" w:after="0" w:line="240" w:lineRule="auto"/>
        <w:jc w:val="left"/>
      </w:pPr>
      <w:r>
        <w:t>Kontis V., Bennett, J.E., Mathers, C.D., Li, G., Foreman, K., Ezzati, M. 2017. Future life expectancy in 35 industrialised countries: projections with a Bayesian model ensemble. Lancet http://dx.doi.org/10.1016/S0140-6736(16)32381-9.</w:t>
      </w:r>
    </w:p>
    <w:p w:rsidR="00025830" w:rsidRPr="00A564F5" w:rsidRDefault="00025830" w:rsidP="00025830">
      <w:r>
        <w:t>Kapoor R., Srivastava S., Kakkar P., 2009. Bacopa monnieri modulates antioxidant responses in brain and kidney of diabetic rats. Environmental Toxicology and Pharmacology 27(1):62-69. [S14-0402]</w:t>
      </w:r>
    </w:p>
    <w:p w:rsidR="00025830" w:rsidRDefault="00025830" w:rsidP="00025830">
      <w:r>
        <w:t>Kar A., Panda S., Bharti, S.2002. Relative efficacy of three medicinal plant extracts in the alteration of thyroid hormone concentrations in male mice. J Ethnopharmacol 81(2):281-285.[S14-0438]</w:t>
      </w:r>
    </w:p>
    <w:p w:rsidR="00025830" w:rsidRDefault="00025830" w:rsidP="00025830">
      <w:r>
        <w:t>Kean JD, Downey LA., Stough C. 2016 A systematic review of the Ayurveduc medicinal herb Bacopa monnieri in child and adolescent populations. Compl. Therapies in Med., 29:56-62. [S16-0188]</w:t>
      </w:r>
    </w:p>
    <w:p w:rsidR="00025830" w:rsidRPr="00A564F5" w:rsidRDefault="00025830" w:rsidP="00025830">
      <w:r>
        <w:t>Kean, J.D., Kaufman J., Lomas, J., Goh. A., White, D., Simpson D., Scholey A., Singh H., Sarris J., Zangara A., Stough C., 2015 A randomized controlled trial investigating the effects of a special extract of Bacopa monnieri (CDRI 08) on hyperactivity and inattention in male children and adolescents: BACHI study protocol. Nutrients 7: 9931-9945.</w:t>
      </w:r>
    </w:p>
    <w:p w:rsidR="00025830" w:rsidRDefault="00025830" w:rsidP="00025830">
      <w:r>
        <w:t xml:space="preserve">Kongkeaw C et al. 2014. Meta-analysis of randomized controlled trials of cognitive effects of </w:t>
      </w:r>
      <w:r>
        <w:rPr>
          <w:i/>
        </w:rPr>
        <w:t>Bacopa monnieri</w:t>
      </w:r>
      <w:r>
        <w:t xml:space="preserve"> extract. Journal of Ethnopharmacology 151:528-535. [S14-0141]</w:t>
      </w:r>
    </w:p>
    <w:p w:rsidR="005B4B0C" w:rsidRPr="00A564F5" w:rsidRDefault="005B4B0C" w:rsidP="005B4B0C">
      <w:pPr>
        <w:pStyle w:val="Default"/>
      </w:pPr>
      <w:r>
        <w:t>Kontis, V., Bennett, J.E., Mathers, C.D., Li, G.L., Foreman, K., Ezzati, M., 2017. Future life expectancy in 35 industrialised countries: projections with a Bayesian model ensemble. Lancet  http://dx.doi.org/10.1016/ S0140-6736(16)32381-9</w:t>
      </w:r>
    </w:p>
    <w:p w:rsidR="00025830" w:rsidRPr="00A564F5" w:rsidRDefault="00025830" w:rsidP="00025830">
      <w:r>
        <w:t>Krishnakumar A., Abraham P.M., Paul, J., Paulose C.S.2009. Down-regulation of cerebellar 5-HT</w:t>
      </w:r>
      <w:r>
        <w:rPr>
          <w:vertAlign w:val="subscript"/>
        </w:rPr>
        <w:t>2C</w:t>
      </w:r>
      <w:r>
        <w:t xml:space="preserve"> receptors in pilocarpine-induced epilepsy in rats: therapeutic role of </w:t>
      </w:r>
      <w:r>
        <w:rPr>
          <w:i/>
        </w:rPr>
        <w:t xml:space="preserve">Bacopa monnieri </w:t>
      </w:r>
      <w:r>
        <w:t>extract. Journal of the Neurological Sciences 284:124-128. [S14-0404]</w:t>
      </w:r>
    </w:p>
    <w:p w:rsidR="00025830" w:rsidRDefault="00025830" w:rsidP="00025830">
      <w:r>
        <w:t>Kumar T., Srivastav M., Wahai A.K., Singh H.K., Singh, R. 2011. Randomized control, double blind cross-over study to clinically assess the rasayana effect of a standardized extract of brahmi (bacopa monniera) in adult human volunteers. International Journal of Pharmacy and Pharmaceutical Sciences 3(Suppl 4):263-266. [S14-0405]</w:t>
      </w:r>
    </w:p>
    <w:p w:rsidR="00025830" w:rsidRPr="00A564F5" w:rsidRDefault="00025830" w:rsidP="00025830">
      <w:r>
        <w:t>Kumar, N., Abichandani, L.G., Thawani, V., Gharpure, K.J., Naidu, M.U.R. Ramana, G.V., 2016 Efficacy of standardized Extract of Bacopa monnieri (Bacognize®) on cognitive functions of medical students: a six week, randomized placebo-controlled trial. Evid Based Complem Alt Medicine http://dx.doi.org/10.1155/2016/4103423</w:t>
      </w:r>
    </w:p>
    <w:p w:rsidR="00025830" w:rsidRPr="00A564F5" w:rsidRDefault="00025830" w:rsidP="00025830">
      <w:r>
        <w:t xml:space="preserve">Kunte KB and Kuna Y. 2013. Neuroprotective effect of </w:t>
      </w:r>
      <w:r>
        <w:rPr>
          <w:i/>
        </w:rPr>
        <w:t xml:space="preserve">Bacopa monniera </w:t>
      </w:r>
      <w:r>
        <w:t>on memory deficits and ATPase system in Alzheimer’s disease (AD) induced mice. Journal of Scientific and Innovative Research. 2(4):719-735. [S14-0346]</w:t>
      </w:r>
    </w:p>
    <w:p w:rsidR="00025830" w:rsidRPr="002C1325" w:rsidRDefault="00025830" w:rsidP="00025830">
      <w:r>
        <w:t>Mandal A.K., Hedge, S., Patki, P.S..</w:t>
      </w:r>
      <w:r>
        <w:rPr>
          <w:rFonts w:eastAsiaTheme="minorHAnsi"/>
          <w:lang w:eastAsia="en-US"/>
        </w:rPr>
        <w:t xml:space="preserve"> 2011. </w:t>
      </w:r>
      <w:r>
        <w:t>A clinical study to evaluate the efficacy and safety of Bacopa caplets in memory and learning ability: A double blind placebo controlled study.</w:t>
      </w:r>
      <w:r>
        <w:rPr>
          <w:rFonts w:eastAsiaTheme="minorHAnsi"/>
          <w:lang w:eastAsia="en-US"/>
        </w:rPr>
        <w:t xml:space="preserve"> </w:t>
      </w:r>
      <w:r>
        <w:t>Australian J Medical Herbalism, 23: 122-125.[S14-0357]</w:t>
      </w:r>
    </w:p>
    <w:p w:rsidR="00025830" w:rsidRPr="002C1325" w:rsidRDefault="00025830" w:rsidP="00025830">
      <w:r>
        <w:t>Morgan A. and Stevens J. 2010. Does Bacopa monnieri improve memory performance in older persons? Results of a randomized, placebo-controlled, double blind trial. J Alternative &amp; Complementary Medicine, 16: 753-759. [S14-0204]</w:t>
      </w:r>
    </w:p>
    <w:p w:rsidR="00025830" w:rsidRDefault="00025830" w:rsidP="00025830">
      <w:r>
        <w:t xml:space="preserve">Nathan P.J., Clarke J., Lloyd J., Hutchison C. W., Downey  L., Stough C., 2001. The acute effects of an extract of </w:t>
      </w:r>
      <w:r>
        <w:rPr>
          <w:i/>
        </w:rPr>
        <w:t xml:space="preserve">Bacopa monniera </w:t>
      </w:r>
      <w:r>
        <w:t>(Brahmi) on cognitive function in healthy normal subjects. Hum Psychopharmacol Clin Exp, 16:345-351.[S12-3940]</w:t>
      </w:r>
    </w:p>
    <w:p w:rsidR="00025830" w:rsidRDefault="00025830" w:rsidP="00025830">
      <w:r>
        <w:t xml:space="preserve">Nathan P.J., Tanner S., Lloyd J., Harrison B., Curran L., Oliver C., Stough C.,2004. Effects of a combined extract of </w:t>
      </w:r>
      <w:r>
        <w:rPr>
          <w:i/>
        </w:rPr>
        <w:t xml:space="preserve">Ginkgo biloba </w:t>
      </w:r>
      <w:r>
        <w:t xml:space="preserve">and </w:t>
      </w:r>
      <w:r>
        <w:rPr>
          <w:i/>
        </w:rPr>
        <w:t xml:space="preserve">Bacopa monniera </w:t>
      </w:r>
      <w:r>
        <w:t>on cognitive function in healthy humans. Hum Psychopharmacol Clin Exp. 19:91-96. [S14-0237]</w:t>
      </w:r>
    </w:p>
    <w:p w:rsidR="00025830" w:rsidRPr="003E139D" w:rsidRDefault="00025830" w:rsidP="00025830">
      <w:pPr>
        <w:rPr>
          <w:lang w:val="fr-FR"/>
        </w:rPr>
      </w:pPr>
      <w:r>
        <w:t xml:space="preserve">Neale C., Camfield D., Reay J., Stough C., Scholey A.,2012. Cognitive effects of two nutraceuticals Ginseng and Bacopa benchmarked against modafinil: a review and comparison of effect sizes. </w:t>
      </w:r>
      <w:r>
        <w:rPr>
          <w:lang w:val="fr-FR"/>
        </w:rPr>
        <w:t>Br J. Clin. Pharmacol.</w:t>
      </w:r>
      <w:r>
        <w:rPr>
          <w:rFonts w:ascii="Arial" w:hAnsi="Arial" w:cs="Arial"/>
          <w:sz w:val="20"/>
          <w:szCs w:val="20"/>
          <w:lang w:val="fr-FR"/>
        </w:rPr>
        <w:t xml:space="preserve"> </w:t>
      </w:r>
      <w:r>
        <w:rPr>
          <w:lang w:val="fr-FR"/>
        </w:rPr>
        <w:t>75(3):728-37. doi: 10.1111/bcp.12002 [S13-0135]</w:t>
      </w:r>
    </w:p>
    <w:p w:rsidR="00025830" w:rsidRDefault="00025830" w:rsidP="00025830">
      <w:pPr>
        <w:rPr>
          <w:lang w:val="fr-FR"/>
        </w:rPr>
      </w:pPr>
      <w:r>
        <w:rPr>
          <w:lang w:val="fr-FR"/>
        </w:rPr>
        <w:t>Pandareesh, M.D., Anand, T. 2014. Attenuation of smoke induced neuronal and physiological changes by bacoside rich extract in Wistar rates via down regulation of HO01 and iNOS. Neurotox. 40:33-42</w:t>
      </w:r>
    </w:p>
    <w:p w:rsidR="00025830" w:rsidRPr="00A40B4D" w:rsidRDefault="00025830" w:rsidP="00025830">
      <w:pPr>
        <w:autoSpaceDE w:val="0"/>
        <w:autoSpaceDN w:val="0"/>
        <w:adjustRightInd w:val="0"/>
        <w:spacing w:before="0" w:after="0" w:line="240" w:lineRule="auto"/>
        <w:jc w:val="left"/>
      </w:pPr>
      <w:r>
        <w:t>Pandey, S.P., Singh, H.K., Prasad, S. 2015. Alterations in Hippocampal Oxidative Stress, Expression of AMPA Receptor GluR2 Subunit and Associated Spatial Memory Loss by Bacopa monnieri Extract (CDRI-08) in Streptozotocin-Induced Diabetes Mellitus Type 2 Mice. PLoS ONE 10(7): e0131862. doi:10.1371/journal.pone.0131862</w:t>
      </w:r>
    </w:p>
    <w:p w:rsidR="00025830" w:rsidRDefault="00025830" w:rsidP="00025830">
      <w:r>
        <w:rPr>
          <w:lang w:val="fr-FR"/>
        </w:rPr>
        <w:t xml:space="preserve">Pase M.P., Kean, J., Sarris, J., Neale, C., Scholey, A.B., Stough, C.,. 2012. </w:t>
      </w:r>
      <w:r>
        <w:t>The cognitive enhancing effects of Bacopa monnieri: A systematic review of randomized, controlled human clinical trials. Journal of Alternative and Complementary Medicine  18(7):647-652. [S14-0077]</w:t>
      </w:r>
    </w:p>
    <w:p w:rsidR="00025830" w:rsidRDefault="00D33746" w:rsidP="00025830">
      <w:hyperlink r:id="rId11" w:history="1">
        <w:r>
          <w:t>Patel SK</w:t>
        </w:r>
      </w:hyperlink>
      <w:r>
        <w:t xml:space="preserve">, </w:t>
      </w:r>
      <w:hyperlink r:id="rId12" w:history="1">
        <w:r>
          <w:t>Singh S</w:t>
        </w:r>
      </w:hyperlink>
      <w:r>
        <w:t xml:space="preserve">, </w:t>
      </w:r>
      <w:hyperlink r:id="rId13" w:history="1">
        <w:r>
          <w:t>Singh HK</w:t>
        </w:r>
      </w:hyperlink>
      <w:r>
        <w:t xml:space="preserve">, </w:t>
      </w:r>
      <w:hyperlink r:id="rId14" w:history="1">
        <w:r>
          <w:t>Singh SK</w:t>
        </w:r>
      </w:hyperlink>
      <w:r>
        <w:t xml:space="preserve">. 2016 Effect of standardized extract of </w:t>
      </w:r>
      <w:r>
        <w:rPr>
          <w:i/>
        </w:rPr>
        <w:t>Bacopa monnieri</w:t>
      </w:r>
      <w:r>
        <w:t xml:space="preserve"> (CDRI-08) on testicular functions in adult male mice. </w:t>
      </w:r>
      <w:hyperlink r:id="rId15" w:tooltip="Journal of ethnopharmacology." w:history="1">
        <w:r>
          <w:t>J Ethnopharmacol.</w:t>
        </w:r>
      </w:hyperlink>
      <w:r>
        <w:t xml:space="preserve">. pii: S0378-8741(16)30450-0. doi: 10.1016/j.jep.2016.07.026. </w:t>
      </w:r>
    </w:p>
    <w:p w:rsidR="00025830" w:rsidRPr="002C1325" w:rsidRDefault="00025830" w:rsidP="00025830">
      <w:r>
        <w:t>Patel V, Flisher AJ, Hetrick S, McGorry P: 2007, Mental health of young people: a global public-health challenge. Lancet, 369 (9569): 1302-1313. 10.1016/S0140-6736(07)60368-7.</w:t>
      </w:r>
    </w:p>
    <w:p w:rsidR="00025830" w:rsidRDefault="00025830" w:rsidP="00025830">
      <w:r>
        <w:t>Pawar R., Gopalakrishnan C., Bhutani K.K.,2001. Dammarane triterpene saponin from Bacopa monniera as the superoxide inhibitor in polymorphonuclear cells. Planta Med 67(8):752-754. [S14-0407]</w:t>
      </w:r>
    </w:p>
    <w:p w:rsidR="00025830" w:rsidRPr="00AC0C2F" w:rsidRDefault="00025830" w:rsidP="00025830">
      <w:r>
        <w:t xml:space="preserve">Peth-Nui T., Wattanathorn, J., Muchimapura S., Tong-Un T., Piyavhatkul N., Rangseekajee P., Ingkaninan K., Vittaya-areekul S.,2012. Effects of 12-week </w:t>
      </w:r>
      <w:r>
        <w:rPr>
          <w:i/>
        </w:rPr>
        <w:t xml:space="preserve">Bacopa monnieri </w:t>
      </w:r>
      <w:r>
        <w:t>consumption on attention, cognitive processing, working memory, and functions of both cholinergic and monoaminergic systems in healthy elderly volunteers. Evidence-based Complementary and Alternative Medicine. doi:10.1155/2012/606424. [S14-0042]</w:t>
      </w:r>
    </w:p>
    <w:p w:rsidR="00025830" w:rsidRPr="002C1325" w:rsidRDefault="00025830" w:rsidP="00025830">
      <w:r>
        <w:t>Pravina, K., Ravindra, K.R., Goudar, K.S., Vinod, D.R., Joshua, A.J. Wasim, P., Venkateshwarlu K., Saxena, V.S., Amit, A. 2007. Safety evaluation of BacoMind</w:t>
      </w:r>
      <w:r>
        <w:rPr>
          <w:vertAlign w:val="superscript"/>
        </w:rPr>
        <w:t>TM</w:t>
      </w:r>
      <w:r>
        <w:t xml:space="preserve"> in healthy volunteers: A phase I study. Phytomed. 14: 301-308.</w:t>
      </w:r>
      <w:r>
        <w:rPr>
          <w:rFonts w:eastAsia="AdvTimes-b" w:cs="AdvTimes-b"/>
        </w:rPr>
        <w:t xml:space="preserve"> [S12-3072]</w:t>
      </w:r>
    </w:p>
    <w:p w:rsidR="00025830" w:rsidRPr="00762A1C" w:rsidRDefault="00025830" w:rsidP="00025830">
      <w:r>
        <w:t xml:space="preserve">Raghav S., Singh H., Dalal P.K., Srivastava J.S. Asthana O. P., 2006. Randomized controlled trial of standardized </w:t>
      </w:r>
      <w:r>
        <w:rPr>
          <w:i/>
        </w:rPr>
        <w:t xml:space="preserve">Bacopa monniera </w:t>
      </w:r>
      <w:r>
        <w:t>extract in age-associated memory impairment. 48(4): 238-242. [S14-0140]</w:t>
      </w:r>
    </w:p>
    <w:p w:rsidR="00025830" w:rsidRDefault="00025830" w:rsidP="00025830">
      <w:r>
        <w:t>Rai D, Bhatia G, Palit G., Pal R., Singh S., Singh H.K., 2003. Adaptogenic effect of Bacopa monnieri (Brahmi). Pharmacol Biochem Behav 75(4):823-830. [S14-0164]</w:t>
      </w:r>
    </w:p>
    <w:p w:rsidR="00025830" w:rsidRDefault="00025830" w:rsidP="00025830">
      <w:pPr>
        <w:autoSpaceDE w:val="0"/>
        <w:autoSpaceDN w:val="0"/>
        <w:adjustRightInd w:val="0"/>
        <w:spacing w:before="0" w:after="0" w:line="240" w:lineRule="auto"/>
        <w:jc w:val="left"/>
      </w:pPr>
      <w:r>
        <w:t xml:space="preserve">Ramasamy, S., Chin, S.P., Sukumaran, S.D., James, M., Buckle, C., Kiew, L.V., Chung, L.Y., 2015. In silico and in vitro analysis of Bacoside A aglycones and its derivatives as the constituents responsible for the cognitive effects of </w:t>
      </w:r>
      <w:r>
        <w:rPr>
          <w:i/>
        </w:rPr>
        <w:t>Bacopa monnieri</w:t>
      </w:r>
      <w:r>
        <w:t xml:space="preserve"> PLoS ONE 10(5): e0126565. doi:10.1371/journal.pone.0126565</w:t>
      </w:r>
    </w:p>
    <w:p w:rsidR="00025830" w:rsidRPr="006E1619" w:rsidRDefault="00025830" w:rsidP="00025830">
      <w:r>
        <w:t>Rani A., and Prasad S., 2015 A Special Extract of Bacopa monnieri (CDRI-08)-Restored Memory in CoCl2-Hypoxia Mimetic Mice Is Associated with Upregulation of Fmr-1 Gene Expression in Hippocampus Evid-Based Compl Altern Med Volume 2015, Article ID 347978,</w:t>
      </w:r>
    </w:p>
    <w:p w:rsidR="00025830" w:rsidRPr="00765401" w:rsidRDefault="00025830" w:rsidP="00025830">
      <w:pPr>
        <w:rPr>
          <w:i/>
        </w:rPr>
      </w:pPr>
      <w:r>
        <w:t xml:space="preserve">Rashid S et al. 1990. Cardiovascular effects of </w:t>
      </w:r>
      <w:r>
        <w:rPr>
          <w:i/>
        </w:rPr>
        <w:t xml:space="preserve">Bacopa monnieri (L.) </w:t>
      </w:r>
      <w:r>
        <w:t>pennel extract in rabbits. Pak J Pharm Sci 3(2):57-62. [S14-0345]</w:t>
      </w:r>
    </w:p>
    <w:p w:rsidR="00025830" w:rsidRPr="002C1325" w:rsidRDefault="00025830" w:rsidP="00025830">
      <w:r>
        <w:t xml:space="preserve">Roodenrys S., Booth D., Bulzomi S., Phipps A., Micallef C., Smoker J., </w:t>
      </w:r>
      <w:r>
        <w:rPr>
          <w:rFonts w:eastAsiaTheme="minorHAnsi"/>
          <w:spacing w:val="-5"/>
          <w:lang w:eastAsia="en-US"/>
        </w:rPr>
        <w:t xml:space="preserve">2002. </w:t>
      </w:r>
      <w:r>
        <w:t>Chronic Effects of Brahmi (Bacopa monnieri) on Human Memory. Neuropsychopharmacology, 27: 279–281.[S14-0141]</w:t>
      </w:r>
    </w:p>
    <w:p w:rsidR="00025830" w:rsidRPr="00765401" w:rsidRDefault="00025830" w:rsidP="00025830">
      <w:r>
        <w:t xml:space="preserve">Russo A., Izzo, A.A., Borrelli, F., Renis, M., Vanella A., 2003a. Free radical scavenging capacity and protective effect of </w:t>
      </w:r>
      <w:r>
        <w:rPr>
          <w:i/>
        </w:rPr>
        <w:t xml:space="preserve">Bacopa monniera </w:t>
      </w:r>
      <w:r>
        <w:t>L. on DNA damage. Phytother Res 17:870-875.[S14-0408]</w:t>
      </w:r>
    </w:p>
    <w:p w:rsidR="00025830" w:rsidRPr="00116DAE" w:rsidRDefault="00025830" w:rsidP="00025830">
      <w:r>
        <w:t xml:space="preserve">Russo A., Borrellib, F., Campisi, A., Acquaviva, R., Raciti G., Vanella, A.,2003b. Nitric oxide-related toxicity in cultured astrocytes: effect of </w:t>
      </w:r>
      <w:r>
        <w:rPr>
          <w:i/>
        </w:rPr>
        <w:t>Bacopa monniera</w:t>
      </w:r>
      <w:r>
        <w:t>. Life Sciences 73:1517-1526. [S14-0409]</w:t>
      </w:r>
    </w:p>
    <w:p w:rsidR="00025830" w:rsidRPr="00B215C5" w:rsidRDefault="00025830" w:rsidP="00025830">
      <w:r>
        <w:t xml:space="preserve">Russo A and Borrelli F. 2005. </w:t>
      </w:r>
      <w:r>
        <w:rPr>
          <w:i/>
        </w:rPr>
        <w:t>Bacopa monniera</w:t>
      </w:r>
      <w:r>
        <w:t>, a reputed nootropic plant: an overview. Phytomedicine, 12: 305-317.[S12-1160]</w:t>
      </w:r>
    </w:p>
    <w:p w:rsidR="00025830" w:rsidRPr="00765401" w:rsidRDefault="00025830" w:rsidP="00025830">
      <w:pPr>
        <w:rPr>
          <w:i/>
        </w:rPr>
      </w:pPr>
      <w:r>
        <w:t xml:space="preserve">Saini N., Singh, D., Sandhir R., 2012. Neuroprotective effects of </w:t>
      </w:r>
      <w:r>
        <w:rPr>
          <w:i/>
        </w:rPr>
        <w:t xml:space="preserve">Bacopa monnieri </w:t>
      </w:r>
      <w:r>
        <w:t>in experimental model of dementia. Neurochem Res 37(9):1928-1937. [S14-0072]</w:t>
      </w:r>
      <w:r>
        <w:rPr>
          <w:i/>
        </w:rPr>
        <w:t xml:space="preserve"> </w:t>
      </w:r>
    </w:p>
    <w:p w:rsidR="00025830" w:rsidRDefault="00025830" w:rsidP="00025830">
      <w:r>
        <w:t>Sairam K., Dorababu, M., Goel, R. K., Bhattacharya S. K.,2002. Antidepressant activity of standardized extract of Bacopa monniera in experimental models of depression in rats. Phytomedicine. 9(3):207-211. [S14-0161]</w:t>
      </w:r>
    </w:p>
    <w:p w:rsidR="00025830" w:rsidRPr="00AC0C2F" w:rsidRDefault="00025830" w:rsidP="00025830">
      <w:r>
        <w:t>Sathyanarayanan V., Thomas, T., Einöther, S.J.L., Dobriyal R., Joshi M. K., Krishnamachari, S.,2013. Brahmi for the better? New findings challenging cognition and anti-anxiety effects of Brahmi (</w:t>
      </w:r>
      <w:r>
        <w:rPr>
          <w:i/>
        </w:rPr>
        <w:t xml:space="preserve">Bacopa monniera) </w:t>
      </w:r>
      <w:r>
        <w:t>in healthy adults. Psychopharmacology. 222(2): 299-306. [S14-0213]</w:t>
      </w:r>
    </w:p>
    <w:p w:rsidR="00025830" w:rsidRDefault="00025830" w:rsidP="00025830">
      <w:r>
        <w:t>Sharma R, Chaturvedi C, Tewari PV. 1987. Efficacy of Bacopa monnieri in revitalizing intellectual functions in children. Jour Res Edu Ind Med. 1 1-12 [S14-0142]</w:t>
      </w:r>
    </w:p>
    <w:p w:rsidR="00025830" w:rsidRDefault="00025830" w:rsidP="00025830">
      <w:r>
        <w:t>Sheikh N., Ahmada, A., Siripurapu, K.B., Kuchibhotla, V.K., Singh S., Palit G., 2007. Effect of Bacopa monniera on stress induced changes in plasma corticosterone and brain monoamines in rats. Journal of Ethnopharmacology 111:671-676.[S14-0167]</w:t>
      </w:r>
    </w:p>
    <w:p w:rsidR="00025830" w:rsidRPr="007562EF" w:rsidRDefault="00D33746" w:rsidP="00025830">
      <w:hyperlink r:id="rId16" w:history="1">
        <w:r>
          <w:t>Schofield D</w:t>
        </w:r>
      </w:hyperlink>
      <w:r>
        <w:t xml:space="preserve">, </w:t>
      </w:r>
      <w:hyperlink r:id="rId17" w:history="1">
        <w:r>
          <w:t>Shrestha RN</w:t>
        </w:r>
      </w:hyperlink>
      <w:r>
        <w:t xml:space="preserve">, </w:t>
      </w:r>
      <w:hyperlink r:id="rId18" w:history="1">
        <w:r>
          <w:t>Cunich MM</w:t>
        </w:r>
      </w:hyperlink>
      <w:r>
        <w:t xml:space="preserve">, </w:t>
      </w:r>
      <w:hyperlink r:id="rId19" w:history="1">
        <w:r>
          <w:t>Tanton R</w:t>
        </w:r>
      </w:hyperlink>
      <w:r>
        <w:t xml:space="preserve">, </w:t>
      </w:r>
      <w:hyperlink r:id="rId20" w:history="1">
        <w:r>
          <w:t>Veerman L</w:t>
        </w:r>
      </w:hyperlink>
      <w:r>
        <w:t xml:space="preserve">, </w:t>
      </w:r>
      <w:hyperlink r:id="rId21" w:history="1">
        <w:r>
          <w:t>Kelly SJ</w:t>
        </w:r>
      </w:hyperlink>
      <w:r>
        <w:t xml:space="preserve">, </w:t>
      </w:r>
      <w:hyperlink r:id="rId22" w:history="1">
        <w:r>
          <w:t>Passey ME</w:t>
        </w:r>
      </w:hyperlink>
      <w:r>
        <w:t xml:space="preserve">. Economic costs of chronic disease through lost productive life years (PLYs) among Australians aged 45-64 years from 2015 to 2030: results from a microsimulation model. </w:t>
      </w:r>
      <w:hyperlink r:id="rId23" w:tooltip="BMJ open." w:history="1">
        <w:r>
          <w:t>BMJ Open.</w:t>
        </w:r>
      </w:hyperlink>
      <w:r>
        <w:t xml:space="preserve"> 2016 Sep 22;6(9):e011151. doi: 10.1136/bmjopen-2016-011151.</w:t>
      </w:r>
    </w:p>
    <w:p w:rsidR="00025830" w:rsidRDefault="00025830" w:rsidP="00025830">
      <w:r>
        <w:t>Singh HK. 2013. Brain enhancing ingredients from Ayurvedic Medicine: Quintessential example of Bacopa monniera, a narrative review. 5: 478-497.[S13-3051]</w:t>
      </w:r>
    </w:p>
    <w:p w:rsidR="00025830" w:rsidRPr="002C1325" w:rsidRDefault="00025830" w:rsidP="00025830">
      <w:r>
        <w:t>Singh, HK and Dhawan, BN. 1997. Neuropsychopharmacological effects of the Ayurvedic nootropic Bacopa monniera Linn. (Brahmi). Indian J Pharmacology, 29: 359-365. [S14-0142]</w:t>
      </w:r>
    </w:p>
    <w:p w:rsidR="00025830" w:rsidRPr="003E139D" w:rsidRDefault="00025830" w:rsidP="00025830">
      <w:r>
        <w:t>Singh RH, and Singh L. 1980. Studies on the anti-anxiety effect of the Medhya Rasayana drug, Brahmi (Bacopa monniera Wettst.)- Part I. J Res Ayurveda Siddha, 1(1): 133-148.[S14-0390]</w:t>
      </w:r>
      <w:r>
        <w:rPr>
          <w:rFonts w:ascii="Arial" w:hAnsi="Arial" w:cs="Arial"/>
          <w:sz w:val="20"/>
          <w:szCs w:val="20"/>
        </w:rPr>
        <w:t xml:space="preserve"> </w:t>
      </w:r>
    </w:p>
    <w:p w:rsidR="00025830" w:rsidRPr="006E4C8E" w:rsidRDefault="00D33746" w:rsidP="00025830">
      <w:hyperlink r:id="rId24" w:history="1">
        <w:r>
          <w:t>Singh A</w:t>
        </w:r>
      </w:hyperlink>
      <w:r>
        <w:t xml:space="preserve">, </w:t>
      </w:r>
      <w:hyperlink r:id="rId25" w:history="1">
        <w:r>
          <w:t>Singh SK</w:t>
        </w:r>
      </w:hyperlink>
      <w:r>
        <w:t xml:space="preserve">. 2009 Evaluation of antifertility potential of Brahmi in male mouse </w:t>
      </w:r>
      <w:hyperlink r:id="rId26" w:tooltip="Contraception." w:history="1">
        <w:r>
          <w:t>Contraception.</w:t>
        </w:r>
      </w:hyperlink>
      <w:r>
        <w:t xml:space="preserve"> 79(1):71-9. doi: 10.1016/j.contraception.2008.07.023. Epub 2008 Sep 18.</w:t>
      </w:r>
    </w:p>
    <w:p w:rsidR="00025830" w:rsidRDefault="00025830" w:rsidP="00025830">
      <w:r>
        <w:rPr>
          <w:lang w:val="it-CH"/>
        </w:rPr>
        <w:t xml:space="preserve">Sivaramakrishna C, et al. 2005 Triterpenoid glycosides from Bacopa monnieri. </w:t>
      </w:r>
      <w:r>
        <w:t>Phytochemistry 66: 2719-2728.[S14-0389]</w:t>
      </w:r>
    </w:p>
    <w:p w:rsidR="00A25BB8" w:rsidRDefault="00D33746" w:rsidP="00025830">
      <w:hyperlink r:id="rId27" w:history="1">
        <w:r>
          <w:t>Sireeratawong S</w:t>
        </w:r>
      </w:hyperlink>
      <w:r>
        <w:t xml:space="preserve">, </w:t>
      </w:r>
      <w:hyperlink r:id="rId28" w:history="1">
        <w:r>
          <w:t>Jaijoy K</w:t>
        </w:r>
      </w:hyperlink>
      <w:r>
        <w:t xml:space="preserve">, </w:t>
      </w:r>
      <w:hyperlink r:id="rId29" w:history="1">
        <w:r>
          <w:t>Khonsung P</w:t>
        </w:r>
      </w:hyperlink>
      <w:r>
        <w:t xml:space="preserve">, </w:t>
      </w:r>
      <w:hyperlink r:id="rId30" w:history="1">
        <w:r>
          <w:t>Lertprasertsuk N</w:t>
        </w:r>
      </w:hyperlink>
      <w:r>
        <w:t xml:space="preserve">, </w:t>
      </w:r>
      <w:hyperlink r:id="rId31" w:history="1">
        <w:r>
          <w:t>Ingkaninan K</w:t>
        </w:r>
      </w:hyperlink>
      <w:r>
        <w:t xml:space="preserve">. Acute and chronic toxicities of Bacopa monnieri extract in Sprague-Dawley rats. </w:t>
      </w:r>
      <w:hyperlink r:id="rId32" w:tooltip="BMC complementary and alternative medicine." w:history="1">
        <w:r>
          <w:t>BMC Complement Altern Med.</w:t>
        </w:r>
      </w:hyperlink>
      <w:r>
        <w:t xml:space="preserve"> 2016 Jul 27;16:249. doi: 10.1186/s12906-016-1236-4. </w:t>
      </w:r>
    </w:p>
    <w:p w:rsidR="00025830" w:rsidRDefault="00A25BB8" w:rsidP="00025830">
      <w:r>
        <w:t>Small GW, Siddarth P, Ercoli LM, Chen ST, Merrill DA, Torres-Gil F. 2013 Healthy behavior and memory self-reports in young, middle-aged, and older adults. Int Psychogeriatr. 25(6):981-9. doi: 10.1017/S1041610213000082.</w:t>
      </w:r>
    </w:p>
    <w:p w:rsidR="00025830" w:rsidRDefault="00025830" w:rsidP="00025830">
      <w:r>
        <w:t>Small, G.W. 2002. What we need to know about age related memory loss. BMJ, 324:1502-5</w:t>
      </w:r>
    </w:p>
    <w:p w:rsidR="00025830" w:rsidRDefault="00025830" w:rsidP="00025830">
      <w:pPr>
        <w:rPr>
          <w:lang w:val="fr-FR"/>
        </w:rPr>
      </w:pPr>
      <w:r>
        <w:t xml:space="preserve">Starkstein.SE and Kremer JL. 2001 Cerebral aging: neuropsychological, neuroradiological, and neurometabolic correlates. </w:t>
      </w:r>
      <w:r>
        <w:rPr>
          <w:lang w:val="fr-FR"/>
        </w:rPr>
        <w:t>Dialogues in Clinical Neuroscience - Vol 3 217-228 [S15-0017].</w:t>
      </w:r>
    </w:p>
    <w:p w:rsidR="005B4B0C" w:rsidRPr="005B4B0C" w:rsidRDefault="005B4B0C" w:rsidP="005B4B0C">
      <w:pPr>
        <w:shd w:val="clear" w:color="auto" w:fill="FFFFFF"/>
        <w:spacing w:line="288" w:lineRule="atLeast"/>
        <w:rPr>
          <w:lang w:val="fr-FR"/>
        </w:rPr>
      </w:pPr>
      <w:r>
        <w:rPr>
          <w:lang w:val="fr-FR"/>
        </w:rPr>
        <w:t xml:space="preserve">Steptoe A., Deaton, A., Stone, A.A., 2015 Subjective well being , health and ageing. Lancet 385: 640-648. </w:t>
      </w:r>
      <w:hyperlink r:id="rId33" w:history="1">
        <w:r>
          <w:rPr>
            <w:lang w:val="fr-FR"/>
          </w:rPr>
          <w:t>dx.doi.org/10.1016/S0140-6736(13)61489-0</w:t>
        </w:r>
      </w:hyperlink>
    </w:p>
    <w:p w:rsidR="00025830" w:rsidRPr="006864E2" w:rsidRDefault="00025830" w:rsidP="00025830">
      <w:r>
        <w:rPr>
          <w:lang w:val="fr-FR"/>
        </w:rPr>
        <w:t xml:space="preserve">Stough C., Lloyd J., Clarke J., Downey L.A., Hutchison C.W.,  Rodgers T., Nathan P.J., 2001. </w:t>
      </w:r>
      <w:r>
        <w:t>The chronic effects of an extract of Bacopa monniera (Brahmi) on cognitive function in healthy human subjects. Psychopharmacology 156(4):481-484.[S12-1309]</w:t>
      </w:r>
    </w:p>
    <w:p w:rsidR="00025830" w:rsidRDefault="00025830" w:rsidP="00025830">
      <w:r>
        <w:t>Stough, C., Downey L. A., Lloyd J., Silber B., Redman S., Hutchison C., Wesnes K., Nathan P.J., 2008. Examining the nootropic effects of a special extract of Bacopa monniera on human cognitive functioning: 90 Day double-blind placebo-controlled randomized trial. Phytotherapy Research 22(12):1629-1634.[ S14-0139]</w:t>
      </w:r>
    </w:p>
    <w:p w:rsidR="00025830" w:rsidRPr="002C1325" w:rsidRDefault="00025830" w:rsidP="00025830">
      <w:r>
        <w:t>Stough C.K., Pase M.P., Cropley V., Myers S., Nolidin K., King R., Camfield D., Wesnes K., Pipingas A., Croft K., Chang D. Scholey A.B., 2012 A randomized controlled trial investigating the effect of Pycnogenol and Bacopa CDRI08 herbal medicines on cognitive, cardiovascular, and biochemical functioning in cognitively healthy elderly people: the Australian Research Council Longevity Intervention (ARCLI) study protocol (ANZCTR12611000487910) Nutrition Journal 2012, 11:11 [S14-0063]</w:t>
      </w:r>
    </w:p>
    <w:p w:rsidR="00025830" w:rsidRPr="007E0B1B" w:rsidRDefault="00025830" w:rsidP="00025830">
      <w:r>
        <w:rPr>
          <w:highlight w:val="yellow"/>
        </w:rPr>
        <w:t>Stough C and Downey L. 2014. An acute, double-blind, placebo-controlled crossover study of 320mg, 640mg and 960mg doses of a special extract of Bacopa monnieri (CDRI08) on sustained cognitive performance and mood. Interim study results.</w:t>
      </w:r>
    </w:p>
    <w:p w:rsidR="00025830" w:rsidRPr="006864E2" w:rsidRDefault="00025830" w:rsidP="00025830">
      <w:r>
        <w:t xml:space="preserve">Sumathy, T., Subramanian, S., Govindasamy S., Balakrishna K., Veluchamy G., 2001. Protective role of </w:t>
      </w:r>
      <w:r>
        <w:rPr>
          <w:i/>
        </w:rPr>
        <w:t xml:space="preserve">Bacopa monniera </w:t>
      </w:r>
      <w:r>
        <w:t>on morphine induced hepatotoxicity in rats. Phytotherapy research 15:643-645. [S14-0388]</w:t>
      </w:r>
    </w:p>
    <w:p w:rsidR="00025830" w:rsidRDefault="00025830" w:rsidP="00025830">
      <w:r>
        <w:rPr>
          <w:lang w:eastAsia="en-US"/>
        </w:rPr>
        <w:t xml:space="preserve">Traditional Knowledge Digital Library: </w:t>
      </w:r>
      <w:r>
        <w:rPr>
          <w:i/>
          <w:lang w:eastAsia="en-US"/>
        </w:rPr>
        <w:t xml:space="preserve">Bacopa </w:t>
      </w:r>
      <w:r>
        <w:rPr>
          <w:lang w:eastAsia="en-US"/>
        </w:rPr>
        <w:t>search for formulations used for over 500 years.[S14-0387]</w:t>
      </w:r>
    </w:p>
    <w:p w:rsidR="00025830" w:rsidRPr="006864E2" w:rsidRDefault="00025830" w:rsidP="00025830">
      <w:r>
        <w:rPr>
          <w:lang w:val="it-CH"/>
        </w:rPr>
        <w:t xml:space="preserve">Tripathi Y.B., Chaurasia S., Tripathi E., Upadhyay A., Dubey G.P.,. 1996. </w:t>
      </w:r>
      <w:r>
        <w:rPr>
          <w:i/>
          <w:lang w:val="it-CH"/>
        </w:rPr>
        <w:t>Bacopa monniera</w:t>
      </w:r>
      <w:r>
        <w:rPr>
          <w:lang w:val="it-CH"/>
        </w:rPr>
        <w:t xml:space="preserve"> Linn. </w:t>
      </w:r>
      <w:r>
        <w:t>As an antioxidant: mechanism of action. Indian J Exp Biol.  34:523-526.[S14-0197]</w:t>
      </w:r>
    </w:p>
    <w:p w:rsidR="00025830" w:rsidRDefault="00025830" w:rsidP="00025830">
      <w:r>
        <w:t>Tunaligil V., Giese N., Tanguay-Colucci, S., Ulbricht, C., Weissner W.  2013. Natural Standard Monograph for Bacopa (</w:t>
      </w:r>
      <w:r>
        <w:rPr>
          <w:i/>
        </w:rPr>
        <w:t xml:space="preserve">Bacopa monnieri) </w:t>
      </w:r>
      <w:r>
        <w:t xml:space="preserve">prepared for </w:t>
      </w:r>
      <w:hyperlink r:id="rId34" w:history="1">
        <w:r>
          <w:rPr>
            <w:rStyle w:val="Hyperlink"/>
            <w:rFonts w:asciiTheme="majorHAnsi" w:hAnsiTheme="majorHAnsi"/>
          </w:rPr>
          <w:t>www.naturalstandard.com</w:t>
        </w:r>
      </w:hyperlink>
      <w:r>
        <w:t>. Accessed 26/03/2014. [S14-0386]</w:t>
      </w:r>
    </w:p>
    <w:p w:rsidR="00025830" w:rsidRPr="008A468A" w:rsidRDefault="00025830" w:rsidP="00025830">
      <w:r>
        <w:t xml:space="preserve">Uabundit N., Wattanathornb J., Mucimapurab, S., Ingkaninan K. 2010. Cognitive enhancement and neuroprotective effects of </w:t>
      </w:r>
      <w:r>
        <w:rPr>
          <w:i/>
        </w:rPr>
        <w:t xml:space="preserve">Bacopa monnieri </w:t>
      </w:r>
      <w:r>
        <w:t>in Alzheimer’s disease model. Journal of Ethnopharmacology 127:26-31.[S14-0205]</w:t>
      </w:r>
    </w:p>
    <w:p w:rsidR="00025830" w:rsidRPr="00A10063" w:rsidRDefault="00025830" w:rsidP="00025830">
      <w:r>
        <w:t>Usha P.D., Wasim P., Joshua J.A., Geetharani P., Murali B., Mayachari A.S., Venkateshwarlu K., Saxena V.S., Deepak M. Amit A., 2008. BacoMind®: A cognitive enhancer in children requiring individual education programme. J Pharmacol Toxicol 3(4): 302-310.</w:t>
      </w:r>
      <w:r>
        <w:rPr>
          <w:bCs/>
        </w:rPr>
        <w:t xml:space="preserve"> [S14-0385]</w:t>
      </w:r>
    </w:p>
    <w:p w:rsidR="00025830" w:rsidRDefault="00025830" w:rsidP="00025830">
      <w:r>
        <w:t>USP safety review of Bacopa [S14-0384]</w:t>
      </w:r>
    </w:p>
    <w:p w:rsidR="00025830" w:rsidRDefault="00025830" w:rsidP="00025830">
      <w:r>
        <w:t>Van Loon G. 2003: Charaka Samhita Handbook on Ayurveda Vol II: 1128.[S14-0383]</w:t>
      </w:r>
    </w:p>
    <w:p w:rsidR="00025830" w:rsidRPr="00A40B4D" w:rsidRDefault="00025830" w:rsidP="00025830">
      <w:pPr>
        <w:pStyle w:val="Default"/>
        <w:rPr>
          <w:rFonts w:ascii="Cambria Math" w:hAnsi="Cambria Math" w:cs="Cambria Math"/>
          <w:lang w:val="en-AU"/>
        </w:rPr>
      </w:pPr>
      <w:r>
        <w:t xml:space="preserve">Verma, P., Singh, P., Gandhi, B.S., 2014. </w:t>
      </w:r>
      <w:r>
        <w:rPr>
          <w:rFonts w:ascii="Times New Roman" w:hAnsi="Times New Roman" w:cs="Times New Roman"/>
          <w:color w:val="auto"/>
          <w:lang w:val="en-US"/>
        </w:rPr>
        <w:t>Neuromodulatory role of Bacopa monnieri on oxidative stress induced by postnatal exposure to decabromodiphenyl ether (PBDE -209) in neonate and young female mice Iran J Basic Med Sci 2014; 17:307-311.</w:t>
      </w:r>
    </w:p>
    <w:p w:rsidR="00025830" w:rsidRDefault="00025830" w:rsidP="00025830">
      <w:r>
        <w:t xml:space="preserve">Vohora S.B. Pal, S.N., Pillai, K.K.2000. Protection from phenytoin-induced cognitive deficit by </w:t>
      </w:r>
      <w:r>
        <w:rPr>
          <w:i/>
        </w:rPr>
        <w:t>Bacopa monniera</w:t>
      </w:r>
      <w:r>
        <w:t>, a reputed Indian nootropic plant. J Ethnopharmacol. 71(3): 383-390. [S14-0382]</w:t>
      </w:r>
    </w:p>
    <w:p w:rsidR="00025830" w:rsidRDefault="00025830" w:rsidP="00025830">
      <w:r>
        <w:t xml:space="preserve">Vollala V.R., Upadhya, S., Nayak, S.,2011. Enhancement of basolateral amygdaloid neuronal dendritic arborization following </w:t>
      </w:r>
      <w:r>
        <w:rPr>
          <w:i/>
        </w:rPr>
        <w:t xml:space="preserve">Bacopa monniera </w:t>
      </w:r>
      <w:r>
        <w:t>extract treatment in adult rats. Clinics 66(4):663-671. [S14-0207]</w:t>
      </w:r>
    </w:p>
    <w:p w:rsidR="00F66DB5" w:rsidRDefault="00F66DB5" w:rsidP="00025830">
      <w:r>
        <w:t>WHO Int. 2016a Fact Sheet: Mental health and older adults. WHO Media Center fs 381</w:t>
      </w:r>
    </w:p>
    <w:p w:rsidR="00F66DB5" w:rsidRDefault="00F66DB5" w:rsidP="00025830">
      <w:r>
        <w:t>WHO Int 2016b Multisectoral action for a life course approach to healthy ageing: draft global strategy and plan of action on ageing and health. 69</w:t>
      </w:r>
      <w:r>
        <w:rPr>
          <w:vertAlign w:val="superscript"/>
        </w:rPr>
        <w:t>th</w:t>
      </w:r>
      <w:r>
        <w:t xml:space="preserve"> World Health Assembly A69/17</w:t>
      </w:r>
    </w:p>
    <w:p w:rsidR="00025830" w:rsidRDefault="00D33746" w:rsidP="00025830">
      <w:hyperlink r:id="rId35" w:history="1">
        <w:r>
          <w:t>Wimo A</w:t>
        </w:r>
      </w:hyperlink>
      <w:r>
        <w:t xml:space="preserve">, </w:t>
      </w:r>
      <w:hyperlink r:id="rId36" w:history="1">
        <w:r>
          <w:t>Guerchet M</w:t>
        </w:r>
      </w:hyperlink>
      <w:r>
        <w:t xml:space="preserve">, </w:t>
      </w:r>
      <w:hyperlink r:id="rId37" w:history="1">
        <w:r>
          <w:t>Ali GC</w:t>
        </w:r>
      </w:hyperlink>
      <w:r>
        <w:t xml:space="preserve">, </w:t>
      </w:r>
      <w:hyperlink r:id="rId38" w:history="1">
        <w:r>
          <w:t>Wu YT</w:t>
        </w:r>
      </w:hyperlink>
      <w:r>
        <w:t xml:space="preserve">, </w:t>
      </w:r>
      <w:hyperlink r:id="rId39" w:history="1">
        <w:r>
          <w:t>Prina AM</w:t>
        </w:r>
      </w:hyperlink>
      <w:r>
        <w:t xml:space="preserve">, </w:t>
      </w:r>
      <w:hyperlink r:id="rId40" w:history="1">
        <w:r>
          <w:t>Winblad B</w:t>
        </w:r>
      </w:hyperlink>
      <w:r>
        <w:t xml:space="preserve">, </w:t>
      </w:r>
      <w:hyperlink r:id="rId41" w:history="1">
        <w:r>
          <w:t>Jönsson L</w:t>
        </w:r>
      </w:hyperlink>
      <w:r>
        <w:t xml:space="preserve">, </w:t>
      </w:r>
      <w:hyperlink r:id="rId42" w:history="1">
        <w:r>
          <w:t>Liu Z</w:t>
        </w:r>
      </w:hyperlink>
      <w:r>
        <w:t xml:space="preserve">, </w:t>
      </w:r>
      <w:hyperlink r:id="rId43" w:history="1">
        <w:r>
          <w:t>Prince M</w:t>
        </w:r>
      </w:hyperlink>
      <w:r>
        <w:t xml:space="preserve">. 2017 The worldwide costs of dementia 2015 and comparisons with 2010. </w:t>
      </w:r>
      <w:hyperlink r:id="rId44" w:tooltip="Alzheimer's &amp; dementia : the journal of the Alzheimer's Association." w:history="1">
        <w:r>
          <w:t>Alzheimers Dement.</w:t>
        </w:r>
      </w:hyperlink>
      <w:r>
        <w:t xml:space="preserve"> 13:1 </w:t>
      </w:r>
    </w:p>
    <w:p w:rsidR="00025830" w:rsidRDefault="00025830" w:rsidP="00025830">
      <w:r>
        <w:t xml:space="preserve">Wohlmuth H. 2000. </w:t>
      </w:r>
      <w:r>
        <w:rPr>
          <w:i/>
        </w:rPr>
        <w:t>Bacopa monniera</w:t>
      </w:r>
      <w:r>
        <w:t xml:space="preserve"> – a short review. Botanical Pathways. 8:2-3. [S14-0348]</w:t>
      </w:r>
    </w:p>
    <w:p w:rsidR="00025830" w:rsidRDefault="00025830" w:rsidP="00025830">
      <w:r>
        <w:t>Yamada K, Hung P, Park TK, Park PJ, Lim BO. 2011. A comparison of the immunostimulatory effects of the medicinal herbs Echinacea, Ashwagandha and Brahmi. J. Ethnopharmacol. 137(1):231-5.</w:t>
      </w:r>
    </w:p>
    <w:p w:rsidR="00025830" w:rsidRPr="00AC3176" w:rsidRDefault="00025830" w:rsidP="00025830">
      <w:r>
        <w:t>Yin, R-Y., Xiong, K., Wen S-M., Song, Z-M., Xu, F., 2016. A simple LC-ESI-MS/MS method for quanticiation of bacopaside I in rat plasma and its application to a pharmacokinetic study. J. Chrom.B. 1027: 103-109.</w:t>
      </w:r>
    </w:p>
    <w:p w:rsidR="00025830" w:rsidRPr="00B7294D" w:rsidRDefault="00025830" w:rsidP="00025830">
      <w:r>
        <w:t xml:space="preserve">Zhou Y., Shen, Y.H., Zhang C., Su J., Liu R.H., Zhang W.D., 2007, Triterpene saponins from Bacopa monnieri and their antidepressant effects in two mice models. J Nat Prod. 70(4):652-655.[S14-0381] </w:t>
      </w:r>
    </w:p>
    <w:p w:rsidR="00B9553B" w:rsidRPr="00025830" w:rsidRDefault="00B9553B" w:rsidP="00025830"/>
    <w:sectPr w:rsidR="00B9553B" w:rsidRPr="00025830" w:rsidSect="000B5E43">
      <w:headerReference w:type="default" r:id="rId45"/>
      <w:footerReference w:type="default" r:id="rId46"/>
      <w:pgSz w:w="11906" w:h="16838" w:code="9"/>
      <w:pgMar w:top="1644" w:right="1134" w:bottom="1276" w:left="1134" w:header="454" w:footer="31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78F9" w:rsidRDefault="00CF78F9">
      <w:r>
        <w:separator/>
      </w:r>
    </w:p>
  </w:endnote>
  <w:endnote w:type="continuationSeparator" w:id="0">
    <w:p w:rsidR="00CF78F9" w:rsidRDefault="00CF7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embedRegular r:id="rId1" w:subsetted="1" w:fontKey="{F693C46B-B2AE-4EAA-8252-7930BF5BB5EA}"/>
  </w:font>
  <w:font w:name="Calibri">
    <w:panose1 w:val="020F0502020204030204"/>
    <w:charset w:val="00"/>
    <w:family w:val="swiss"/>
    <w:pitch w:val="variable"/>
    <w:sig w:usb0="E00002FF" w:usb1="4000ACFF" w:usb2="00000001" w:usb3="00000000" w:csb0="0000019F" w:csb1="00000000"/>
    <w:embedRegular r:id="rId2" w:fontKey="{63F89F40-EB49-473F-96D0-D0F5ABF2F74C}"/>
    <w:embedBold r:id="rId3" w:fontKey="{33A3175E-FED0-40DB-B25F-D6B69BC39338}"/>
  </w:font>
  <w:font w:name="MS Mincho">
    <w:altName w:val="ＭＳ 明朝"/>
    <w:panose1 w:val="02020609040205080304"/>
    <w:charset w:val="80"/>
    <w:family w:val="modern"/>
    <w:pitch w:val="fixed"/>
    <w:sig w:usb0="E00002FF" w:usb1="6AC7FDFB" w:usb2="00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Consolas">
    <w:panose1 w:val="020B0609020204030204"/>
    <w:charset w:val="00"/>
    <w:family w:val="modern"/>
    <w:pitch w:val="fixed"/>
    <w:sig w:usb0="E10002FF" w:usb1="4000FCFF" w:usb2="00000009" w:usb3="00000000" w:csb0="0000019F" w:csb1="00000000"/>
    <w:embedRegular r:id="rId4" w:fontKey="{31F6E8B9-1C1A-4067-8EF3-BD18FDE5BA0E}"/>
  </w:font>
  <w:font w:name="Cambria">
    <w:panose1 w:val="02040503050406030204"/>
    <w:charset w:val="00"/>
    <w:family w:val="roman"/>
    <w:pitch w:val="variable"/>
    <w:sig w:usb0="E00002FF" w:usb1="400004FF" w:usb2="00000000" w:usb3="00000000" w:csb0="0000019F" w:csb1="00000000"/>
    <w:embedRegular r:id="rId5" w:fontKey="{A5070A0E-BE07-46E0-B5DD-2713316C58E5}"/>
  </w:font>
  <w:font w:name="Flordian Regular">
    <w:altName w:val="MV Boli"/>
    <w:panose1 w:val="020B0603030203010103"/>
    <w:charset w:val="00"/>
    <w:family w:val="swiss"/>
    <w:pitch w:val="variable"/>
    <w:sig w:usb0="00000003" w:usb1="4000004A" w:usb2="00000000" w:usb3="00000000" w:csb0="00000001" w:csb1="00000000"/>
  </w:font>
  <w:font w:name="BISans">
    <w:altName w:val="Courier New"/>
    <w:charset w:val="00"/>
    <w:family w:val="auto"/>
    <w:pitch w:val="variable"/>
    <w:sig w:usb0="00000083" w:usb1="00000000" w:usb2="00000000" w:usb3="00000000" w:csb0="00000009" w:csb1="00000000"/>
  </w:font>
  <w:font w:name="Cambria Math">
    <w:panose1 w:val="02040503050406030204"/>
    <w:charset w:val="00"/>
    <w:family w:val="roman"/>
    <w:pitch w:val="variable"/>
    <w:sig w:usb0="E00002FF" w:usb1="420024FF" w:usb2="00000000" w:usb3="00000000" w:csb0="0000019F" w:csb1="00000000"/>
    <w:embedRegular r:id="rId6" w:fontKey="{D89FF74A-1FC0-40AB-BEA6-DA7D0CF06231}"/>
    <w:embedItalic r:id="rId7" w:fontKey="{97E4F2A7-DE52-4570-BB7F-AE4872DC26DD}"/>
  </w:font>
  <w:font w:name="Trebuchet MS">
    <w:panose1 w:val="020B0603020202020204"/>
    <w:charset w:val="00"/>
    <w:family w:val="swiss"/>
    <w:pitch w:val="variable"/>
    <w:sig w:usb0="00000287" w:usb1="00000000" w:usb2="00000000" w:usb3="00000000" w:csb0="0000009F" w:csb1="00000000"/>
    <w:embedRegular r:id="rId8" w:fontKey="{F51647B6-5DEF-47C2-8796-33FCBEE5078E}"/>
  </w:font>
  <w:font w:name="Minion-Regular">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9" w:fontKey="{7A45A7A3-5AAC-4EF2-8303-CD834720D155}"/>
  </w:font>
  <w:font w:name="MyriadPro-BoldCond">
    <w:altName w:val="Arial Unicode MS"/>
    <w:panose1 w:val="00000000000000000000"/>
    <w:charset w:val="86"/>
    <w:family w:val="swiss"/>
    <w:notTrueType/>
    <w:pitch w:val="default"/>
    <w:sig w:usb0="00000001" w:usb1="080E0000" w:usb2="00000010" w:usb3="00000000" w:csb0="00040000" w:csb1="00000000"/>
  </w:font>
  <w:font w:name="AdvTimes-b">
    <w:altName w:val="宋体"/>
    <w:panose1 w:val="00000000000000000000"/>
    <w:charset w:val="86"/>
    <w:family w:val="auto"/>
    <w:notTrueType/>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LayoutGrid"/>
      <w:tblW w:w="5000" w:type="pct"/>
      <w:tblBorders>
        <w:top w:val="single" w:sz="6" w:space="0" w:color="004E5C" w:themeColor="text2"/>
      </w:tblBorders>
      <w:tblLayout w:type="fixed"/>
      <w:tblLook w:val="01E0" w:firstRow="1" w:lastRow="1" w:firstColumn="1" w:lastColumn="1" w:noHBand="0" w:noVBand="0"/>
    </w:tblPr>
    <w:tblGrid>
      <w:gridCol w:w="9381"/>
      <w:gridCol w:w="257"/>
    </w:tblGrid>
    <w:tr w:rsidR="00D33746" w:rsidTr="00B17611">
      <w:trPr>
        <w:trHeight w:hRule="exact" w:val="397"/>
      </w:trPr>
      <w:tc>
        <w:tcPr>
          <w:tcW w:w="10433" w:type="dxa"/>
          <w:vAlign w:val="bottom"/>
        </w:tcPr>
        <w:p w:rsidR="00D33746" w:rsidRPr="003767C4" w:rsidRDefault="00D33746" w:rsidP="00B63FB4">
          <w:pPr>
            <w:pStyle w:val="FooterInfo"/>
          </w:pPr>
          <w:r w:rsidRPr="00B63FB4">
            <w:t>Commercial in confidence</w:t>
          </w:r>
        </w:p>
      </w:tc>
      <w:tc>
        <w:tcPr>
          <w:tcW w:w="284" w:type="dxa"/>
          <w:vAlign w:val="bottom"/>
        </w:tcPr>
        <w:p w:rsidR="00D33746" w:rsidRPr="00B63FB4" w:rsidRDefault="00D33746" w:rsidP="00295100">
          <w:pPr>
            <w:pStyle w:val="Footer"/>
            <w:jc w:val="right"/>
            <w:rPr>
              <w:rStyle w:val="PageNumber"/>
            </w:rPr>
          </w:pPr>
          <w:r w:rsidRPr="00B63FB4">
            <w:rPr>
              <w:rStyle w:val="PageNumber"/>
            </w:rPr>
            <w:fldChar w:fldCharType="begin"/>
          </w:r>
          <w:r w:rsidRPr="00B63FB4">
            <w:rPr>
              <w:rStyle w:val="PageNumber"/>
            </w:rPr>
            <w:instrText xml:space="preserve"> PAGE  \* Arabic  \* MERGEFORMAT </w:instrText>
          </w:r>
          <w:r w:rsidRPr="00B63FB4">
            <w:rPr>
              <w:rStyle w:val="PageNumber"/>
            </w:rPr>
            <w:fldChar w:fldCharType="separate"/>
          </w:r>
          <w:r w:rsidR="0059463F">
            <w:rPr>
              <w:rStyle w:val="PageNumber"/>
              <w:noProof/>
            </w:rPr>
            <w:t>6</w:t>
          </w:r>
          <w:r w:rsidRPr="00B63FB4">
            <w:rPr>
              <w:rStyle w:val="PageNumber"/>
            </w:rPr>
            <w:fldChar w:fldCharType="end"/>
          </w:r>
        </w:p>
      </w:tc>
    </w:tr>
  </w:tbl>
  <w:p w:rsidR="00D33746" w:rsidRDefault="00D33746" w:rsidP="00237E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78F9" w:rsidRDefault="00CF78F9">
      <w:r>
        <w:separator/>
      </w:r>
    </w:p>
  </w:footnote>
  <w:footnote w:type="continuationSeparator" w:id="0">
    <w:p w:rsidR="00CF78F9" w:rsidRDefault="00CF78F9">
      <w:r>
        <w:continuationSeparator/>
      </w:r>
    </w:p>
  </w:footnote>
  <w:footnote w:id="1">
    <w:p w:rsidR="00D33746" w:rsidRPr="00AE4B74" w:rsidRDefault="00D33746" w:rsidP="00025830">
      <w:pPr>
        <w:pStyle w:val="FootnoteText"/>
        <w:rPr>
          <w:sz w:val="18"/>
        </w:rPr>
      </w:pPr>
      <w:r w:rsidRPr="00AE4B74">
        <w:rPr>
          <w:rStyle w:val="FootnoteReference"/>
          <w:sz w:val="18"/>
        </w:rPr>
        <w:footnoteRef/>
      </w:r>
      <w:hyperlink r:id="rId1" w:history="1">
        <w:r w:rsidRPr="00AE4B74">
          <w:rPr>
            <w:rStyle w:val="Hyperlink"/>
            <w:sz w:val="18"/>
          </w:rPr>
          <w:t>http://www.ich.org/fileadmin/Public_Web_Site/ICH_Products/GCP_Renovation/ICH_Reflection_paper_GCP_Renovation_Jan_2017_Final.pdf</w:t>
        </w:r>
      </w:hyperlink>
    </w:p>
    <w:p w:rsidR="00D33746" w:rsidRPr="00AE4B74" w:rsidRDefault="00D33746" w:rsidP="00025830">
      <w:pPr>
        <w:pStyle w:val="FootnoteText"/>
        <w:rPr>
          <w:lang w:val="en-AU"/>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838" w:type="dxa"/>
      <w:tblLook w:val="04A0" w:firstRow="1" w:lastRow="0" w:firstColumn="1" w:lastColumn="0" w:noHBand="0" w:noVBand="1"/>
    </w:tblPr>
    <w:tblGrid>
      <w:gridCol w:w="4867"/>
      <w:gridCol w:w="4971"/>
    </w:tblGrid>
    <w:tr w:rsidR="00D33746" w:rsidTr="00C22607">
      <w:trPr>
        <w:cnfStyle w:val="100000000000" w:firstRow="1" w:lastRow="0" w:firstColumn="0" w:lastColumn="0" w:oddVBand="0" w:evenVBand="0" w:oddHBand="0" w:evenHBand="0" w:firstRowFirstColumn="0" w:firstRowLastColumn="0" w:lastRowFirstColumn="0" w:lastRowLastColumn="0"/>
      </w:trPr>
      <w:tc>
        <w:tcPr>
          <w:tcW w:w="4867" w:type="dxa"/>
        </w:tcPr>
        <w:p w:rsidR="00D33746" w:rsidRPr="00025830" w:rsidRDefault="00D33746" w:rsidP="00025830">
          <w:pPr>
            <w:pStyle w:val="Header"/>
            <w:rPr>
              <w:sz w:val="20"/>
              <w:szCs w:val="20"/>
            </w:rPr>
          </w:pPr>
          <w:r w:rsidRPr="00025830">
            <w:rPr>
              <w:i/>
              <w:sz w:val="20"/>
              <w:szCs w:val="20"/>
            </w:rPr>
            <w:t>Bacopa monnieri</w:t>
          </w:r>
          <w:r w:rsidRPr="00025830">
            <w:rPr>
              <w:sz w:val="20"/>
              <w:szCs w:val="20"/>
            </w:rPr>
            <w:t xml:space="preserve"> CDRI 08 </w:t>
          </w:r>
        </w:p>
        <w:p w:rsidR="00D33746" w:rsidRPr="00025830" w:rsidRDefault="00D33746" w:rsidP="00025830">
          <w:pPr>
            <w:pStyle w:val="Header"/>
            <w:rPr>
              <w:sz w:val="20"/>
              <w:szCs w:val="20"/>
            </w:rPr>
          </w:pPr>
          <w:r w:rsidRPr="00025830">
            <w:rPr>
              <w:sz w:val="20"/>
              <w:szCs w:val="20"/>
            </w:rPr>
            <w:t>2</w:t>
          </w:r>
          <w:r>
            <w:rPr>
              <w:sz w:val="20"/>
              <w:szCs w:val="20"/>
            </w:rPr>
            <w:t>.5</w:t>
          </w:r>
          <w:r w:rsidRPr="00025830">
            <w:rPr>
              <w:sz w:val="20"/>
              <w:szCs w:val="20"/>
            </w:rPr>
            <w:t xml:space="preserve"> Clinical </w:t>
          </w:r>
          <w:r>
            <w:rPr>
              <w:sz w:val="20"/>
              <w:szCs w:val="20"/>
            </w:rPr>
            <w:t>Overview</w:t>
          </w:r>
          <w:r w:rsidRPr="00025830">
            <w:rPr>
              <w:sz w:val="20"/>
              <w:szCs w:val="20"/>
            </w:rPr>
            <w:t xml:space="preserve"> </w:t>
          </w:r>
        </w:p>
        <w:p w:rsidR="00D33746" w:rsidRDefault="00D33746">
          <w:pPr>
            <w:pStyle w:val="Header"/>
          </w:pPr>
        </w:p>
      </w:tc>
      <w:tc>
        <w:tcPr>
          <w:tcW w:w="4971" w:type="dxa"/>
        </w:tcPr>
        <w:p w:rsidR="00D33746" w:rsidRDefault="00D33746" w:rsidP="00C22607">
          <w:pPr>
            <w:pStyle w:val="Header"/>
            <w:jc w:val="right"/>
          </w:pPr>
        </w:p>
      </w:tc>
    </w:tr>
  </w:tbl>
  <w:p w:rsidR="00D33746" w:rsidRPr="00C22607" w:rsidRDefault="00D33746">
    <w:pPr>
      <w:pStyle w:val="Header"/>
      <w:rPr>
        <w:sz w:val="1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6pt;height:12.55pt" o:bullet="t">
        <v:imagedata r:id="rId1" o:title="bullet"/>
      </v:shape>
    </w:pict>
  </w:numPicBullet>
  <w:abstractNum w:abstractNumId="0">
    <w:nsid w:val="FFFFFF7C"/>
    <w:multiLevelType w:val="singleLevel"/>
    <w:tmpl w:val="33824CA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F006C9AA"/>
    <w:lvl w:ilvl="0">
      <w:start w:val="1"/>
      <w:numFmt w:val="decimal"/>
      <w:pStyle w:val="ListNumber4"/>
      <w:lvlText w:val="%1."/>
      <w:lvlJc w:val="left"/>
      <w:pPr>
        <w:tabs>
          <w:tab w:val="num" w:pos="1209"/>
        </w:tabs>
        <w:ind w:left="1209" w:hanging="360"/>
      </w:pPr>
    </w:lvl>
  </w:abstractNum>
  <w:abstractNum w:abstractNumId="2">
    <w:nsid w:val="FFFFFF80"/>
    <w:multiLevelType w:val="singleLevel"/>
    <w:tmpl w:val="5360F37E"/>
    <w:lvl w:ilvl="0">
      <w:start w:val="1"/>
      <w:numFmt w:val="bullet"/>
      <w:pStyle w:val="ListBullet5"/>
      <w:lvlText w:val=""/>
      <w:lvlJc w:val="left"/>
      <w:pPr>
        <w:tabs>
          <w:tab w:val="num" w:pos="1492"/>
        </w:tabs>
        <w:ind w:left="1492" w:hanging="360"/>
      </w:pPr>
      <w:rPr>
        <w:rFonts w:ascii="Symbol" w:hAnsi="Symbol" w:hint="default"/>
      </w:rPr>
    </w:lvl>
  </w:abstractNum>
  <w:abstractNum w:abstractNumId="3">
    <w:nsid w:val="FFFFFF81"/>
    <w:multiLevelType w:val="singleLevel"/>
    <w:tmpl w:val="BC44EE30"/>
    <w:lvl w:ilvl="0">
      <w:start w:val="1"/>
      <w:numFmt w:val="bullet"/>
      <w:pStyle w:val="ListBullet4"/>
      <w:lvlText w:val=""/>
      <w:lvlJc w:val="left"/>
      <w:pPr>
        <w:tabs>
          <w:tab w:val="num" w:pos="1209"/>
        </w:tabs>
        <w:ind w:left="1209" w:hanging="360"/>
      </w:pPr>
      <w:rPr>
        <w:rFonts w:ascii="Symbol" w:hAnsi="Symbol" w:hint="default"/>
      </w:rPr>
    </w:lvl>
  </w:abstractNum>
  <w:abstractNum w:abstractNumId="4">
    <w:nsid w:val="05A52EF7"/>
    <w:multiLevelType w:val="multilevel"/>
    <w:tmpl w:val="B7ACC106"/>
    <w:styleLink w:val="NubmeredHeadings"/>
    <w:lvl w:ilvl="0">
      <w:start w:val="1"/>
      <w:numFmt w:val="decimal"/>
      <w:lvlText w:val="%1."/>
      <w:lvlJc w:val="left"/>
      <w:pPr>
        <w:ind w:left="539" w:hanging="539"/>
      </w:pPr>
      <w:rPr>
        <w:rFonts w:hint="default"/>
      </w:rPr>
    </w:lvl>
    <w:lvl w:ilvl="1">
      <w:start w:val="1"/>
      <w:numFmt w:val="decimal"/>
      <w:lvlText w:val="%1.%2"/>
      <w:lvlJc w:val="left"/>
      <w:pPr>
        <w:ind w:left="539" w:hanging="539"/>
      </w:pPr>
      <w:rPr>
        <w:rFonts w:hint="default"/>
      </w:rPr>
    </w:lvl>
    <w:lvl w:ilvl="2">
      <w:start w:val="1"/>
      <w:numFmt w:val="decimal"/>
      <w:lvlText w:val="%1.%2.%3"/>
      <w:lvlJc w:val="left"/>
      <w:pPr>
        <w:ind w:left="539" w:hanging="539"/>
      </w:pPr>
      <w:rPr>
        <w:rFonts w:hint="default"/>
      </w:rPr>
    </w:lvl>
    <w:lvl w:ilvl="3">
      <w:start w:val="1"/>
      <w:numFmt w:val="none"/>
      <w:lvlText w:val=""/>
      <w:lvlJc w:val="left"/>
      <w:pPr>
        <w:ind w:left="539" w:hanging="539"/>
      </w:pPr>
      <w:rPr>
        <w:rFonts w:hint="default"/>
      </w:rPr>
    </w:lvl>
    <w:lvl w:ilvl="4">
      <w:start w:val="1"/>
      <w:numFmt w:val="none"/>
      <w:lvlText w:val=""/>
      <w:lvlJc w:val="left"/>
      <w:pPr>
        <w:ind w:left="539" w:hanging="539"/>
      </w:pPr>
      <w:rPr>
        <w:rFonts w:hint="default"/>
      </w:rPr>
    </w:lvl>
    <w:lvl w:ilvl="5">
      <w:start w:val="1"/>
      <w:numFmt w:val="none"/>
      <w:lvlText w:val=""/>
      <w:lvlJc w:val="left"/>
      <w:pPr>
        <w:ind w:left="539" w:hanging="539"/>
      </w:pPr>
      <w:rPr>
        <w:rFonts w:hint="default"/>
      </w:rPr>
    </w:lvl>
    <w:lvl w:ilvl="6">
      <w:start w:val="1"/>
      <w:numFmt w:val="none"/>
      <w:lvlText w:val=""/>
      <w:lvlJc w:val="left"/>
      <w:pPr>
        <w:ind w:left="539" w:hanging="539"/>
      </w:pPr>
      <w:rPr>
        <w:rFonts w:hint="default"/>
      </w:rPr>
    </w:lvl>
    <w:lvl w:ilvl="7">
      <w:start w:val="1"/>
      <w:numFmt w:val="none"/>
      <w:lvlText w:val=""/>
      <w:lvlJc w:val="left"/>
      <w:pPr>
        <w:ind w:left="539" w:hanging="539"/>
      </w:pPr>
      <w:rPr>
        <w:rFonts w:hint="default"/>
      </w:rPr>
    </w:lvl>
    <w:lvl w:ilvl="8">
      <w:start w:val="1"/>
      <w:numFmt w:val="none"/>
      <w:lvlText w:val=""/>
      <w:lvlJc w:val="left"/>
      <w:pPr>
        <w:ind w:left="539" w:hanging="539"/>
      </w:pPr>
      <w:rPr>
        <w:rFonts w:hint="default"/>
      </w:rPr>
    </w:lvl>
  </w:abstractNum>
  <w:abstractNum w:abstractNumId="5">
    <w:nsid w:val="0B4471B6"/>
    <w:multiLevelType w:val="multilevel"/>
    <w:tmpl w:val="BA6AF892"/>
    <w:lvl w:ilvl="0">
      <w:start w:val="1"/>
      <w:numFmt w:val="none"/>
      <w:pStyle w:val="Source"/>
      <w:lvlText w:val="Source:"/>
      <w:lvlJc w:val="left"/>
      <w:pPr>
        <w:tabs>
          <w:tab w:val="num" w:pos="567"/>
        </w:tabs>
        <w:ind w:left="567" w:hanging="567"/>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6">
    <w:nsid w:val="0DA773A0"/>
    <w:multiLevelType w:val="multilevel"/>
    <w:tmpl w:val="0C09001D"/>
    <w:styleLink w:val="1ai"/>
    <w:lvl w:ilvl="0">
      <w:start w:val="1"/>
      <w:numFmt w:val="decimal"/>
      <w:lvlText w:val="%1)"/>
      <w:lvlJc w:val="left"/>
      <w:pPr>
        <w:ind w:left="360" w:hanging="360"/>
      </w:pPr>
      <w:rPr>
        <w:rFonts w:asciiTheme="minorHAnsi" w:hAnsiTheme="minorHAnsi" w:cs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10FF39A1"/>
    <w:multiLevelType w:val="multilevel"/>
    <w:tmpl w:val="341C6384"/>
    <w:numStyleLink w:val="BulletedList"/>
  </w:abstractNum>
  <w:abstractNum w:abstractNumId="8">
    <w:nsid w:val="11785352"/>
    <w:multiLevelType w:val="multilevel"/>
    <w:tmpl w:val="566E50B8"/>
    <w:styleLink w:val="TicksList"/>
    <w:lvl w:ilvl="0">
      <w:start w:val="1"/>
      <w:numFmt w:val="bullet"/>
      <w:lvlText w:val=""/>
      <w:lvlJc w:val="left"/>
      <w:pPr>
        <w:ind w:left="737" w:hanging="624"/>
      </w:pPr>
      <w:rPr>
        <w:rFonts w:ascii="Wingdings" w:hAnsi="Wingdings" w:hint="default"/>
        <w:b/>
        <w:i w:val="0"/>
        <w:color w:val="D1BEBA" w:themeColor="accent4"/>
        <w:sz w:val="24"/>
      </w:rPr>
    </w:lvl>
    <w:lvl w:ilvl="1">
      <w:start w:val="1"/>
      <w:numFmt w:val="none"/>
      <w:lvlText w:val=""/>
      <w:lvlJc w:val="left"/>
      <w:pPr>
        <w:ind w:left="794" w:hanging="341"/>
      </w:pPr>
      <w:rPr>
        <w:rFonts w:hint="default"/>
      </w:rPr>
    </w:lvl>
    <w:lvl w:ilvl="2">
      <w:start w:val="1"/>
      <w:numFmt w:val="none"/>
      <w:lvlText w:val=""/>
      <w:lvlJc w:val="left"/>
      <w:pPr>
        <w:ind w:left="1134" w:hanging="341"/>
      </w:pPr>
      <w:rPr>
        <w:rFonts w:hint="default"/>
      </w:rPr>
    </w:lvl>
    <w:lvl w:ilvl="3">
      <w:start w:val="1"/>
      <w:numFmt w:val="none"/>
      <w:lvlText w:val=""/>
      <w:lvlJc w:val="left"/>
      <w:pPr>
        <w:ind w:left="1474" w:hanging="341"/>
      </w:pPr>
      <w:rPr>
        <w:rFonts w:hint="default"/>
      </w:rPr>
    </w:lvl>
    <w:lvl w:ilvl="4">
      <w:start w:val="1"/>
      <w:numFmt w:val="none"/>
      <w:lvlText w:val=""/>
      <w:lvlJc w:val="left"/>
      <w:pPr>
        <w:ind w:left="1814" w:hanging="341"/>
      </w:pPr>
      <w:rPr>
        <w:rFonts w:hint="default"/>
      </w:rPr>
    </w:lvl>
    <w:lvl w:ilvl="5">
      <w:start w:val="1"/>
      <w:numFmt w:val="none"/>
      <w:lvlText w:val=""/>
      <w:lvlJc w:val="left"/>
      <w:pPr>
        <w:ind w:left="2154" w:hanging="341"/>
      </w:pPr>
      <w:rPr>
        <w:rFonts w:hint="default"/>
      </w:rPr>
    </w:lvl>
    <w:lvl w:ilvl="6">
      <w:start w:val="1"/>
      <w:numFmt w:val="none"/>
      <w:lvlText w:val=""/>
      <w:lvlJc w:val="left"/>
      <w:pPr>
        <w:ind w:left="2494" w:hanging="341"/>
      </w:pPr>
      <w:rPr>
        <w:rFonts w:hint="default"/>
      </w:rPr>
    </w:lvl>
    <w:lvl w:ilvl="7">
      <w:start w:val="1"/>
      <w:numFmt w:val="none"/>
      <w:lvlText w:val=""/>
      <w:lvlJc w:val="left"/>
      <w:pPr>
        <w:ind w:left="2834" w:hanging="341"/>
      </w:pPr>
      <w:rPr>
        <w:rFonts w:hint="default"/>
      </w:rPr>
    </w:lvl>
    <w:lvl w:ilvl="8">
      <w:start w:val="1"/>
      <w:numFmt w:val="none"/>
      <w:lvlText w:val=""/>
      <w:lvlJc w:val="left"/>
      <w:pPr>
        <w:ind w:left="3174" w:hanging="341"/>
      </w:pPr>
      <w:rPr>
        <w:rFonts w:hint="default"/>
      </w:rPr>
    </w:lvl>
  </w:abstractNum>
  <w:abstractNum w:abstractNumId="9">
    <w:nsid w:val="1C1807B3"/>
    <w:multiLevelType w:val="multilevel"/>
    <w:tmpl w:val="0C090023"/>
    <w:styleLink w:val="ArticleSection"/>
    <w:lvl w:ilvl="0">
      <w:start w:val="1"/>
      <w:numFmt w:val="upperRoman"/>
      <w:lvlText w:val="Article %1."/>
      <w:lvlJc w:val="left"/>
      <w:pPr>
        <w:ind w:left="0" w:firstLine="0"/>
      </w:pPr>
      <w:rPr>
        <w:rFonts w:asciiTheme="minorHAnsi" w:hAnsiTheme="minorHAnsi" w:cs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2215379E"/>
    <w:multiLevelType w:val="multilevel"/>
    <w:tmpl w:val="331C147E"/>
    <w:styleLink w:val="ListNumbers"/>
    <w:lvl w:ilvl="0">
      <w:start w:val="1"/>
      <w:numFmt w:val="decimal"/>
      <w:lvlText w:val="%1."/>
      <w:lvlJc w:val="left"/>
      <w:pPr>
        <w:ind w:left="454" w:hanging="341"/>
      </w:pPr>
      <w:rPr>
        <w:rFonts w:hint="default"/>
        <w:color w:val="FFFFFF" w:themeColor="background2"/>
      </w:rPr>
    </w:lvl>
    <w:lvl w:ilvl="1">
      <w:start w:val="1"/>
      <w:numFmt w:val="lowerLetter"/>
      <w:lvlText w:val="%2."/>
      <w:lvlJc w:val="left"/>
      <w:pPr>
        <w:ind w:left="738" w:hanging="341"/>
      </w:pPr>
      <w:rPr>
        <w:rFonts w:hint="default"/>
      </w:rPr>
    </w:lvl>
    <w:lvl w:ilvl="2">
      <w:start w:val="1"/>
      <w:numFmt w:val="lowerRoman"/>
      <w:lvlText w:val="%3."/>
      <w:lvlJc w:val="left"/>
      <w:pPr>
        <w:ind w:left="1022" w:hanging="341"/>
      </w:pPr>
      <w:rPr>
        <w:rFonts w:hint="default"/>
      </w:rPr>
    </w:lvl>
    <w:lvl w:ilvl="3">
      <w:start w:val="1"/>
      <w:numFmt w:val="none"/>
      <w:lvlText w:val=""/>
      <w:lvlJc w:val="left"/>
      <w:pPr>
        <w:ind w:left="1306" w:hanging="341"/>
      </w:pPr>
      <w:rPr>
        <w:rFonts w:hint="default"/>
      </w:rPr>
    </w:lvl>
    <w:lvl w:ilvl="4">
      <w:start w:val="1"/>
      <w:numFmt w:val="none"/>
      <w:lvlText w:val=""/>
      <w:lvlJc w:val="left"/>
      <w:pPr>
        <w:ind w:left="1590" w:hanging="341"/>
      </w:pPr>
      <w:rPr>
        <w:rFonts w:hint="default"/>
      </w:rPr>
    </w:lvl>
    <w:lvl w:ilvl="5">
      <w:start w:val="1"/>
      <w:numFmt w:val="none"/>
      <w:lvlText w:val=""/>
      <w:lvlJc w:val="left"/>
      <w:pPr>
        <w:ind w:left="1874" w:hanging="341"/>
      </w:pPr>
      <w:rPr>
        <w:rFonts w:hint="default"/>
      </w:rPr>
    </w:lvl>
    <w:lvl w:ilvl="6">
      <w:start w:val="1"/>
      <w:numFmt w:val="none"/>
      <w:lvlText w:val=""/>
      <w:lvlJc w:val="left"/>
      <w:pPr>
        <w:ind w:left="2158" w:hanging="341"/>
      </w:pPr>
      <w:rPr>
        <w:rFonts w:hint="default"/>
      </w:rPr>
    </w:lvl>
    <w:lvl w:ilvl="7">
      <w:start w:val="1"/>
      <w:numFmt w:val="none"/>
      <w:lvlText w:val=""/>
      <w:lvlJc w:val="left"/>
      <w:pPr>
        <w:ind w:left="2442" w:hanging="341"/>
      </w:pPr>
      <w:rPr>
        <w:rFonts w:hint="default"/>
      </w:rPr>
    </w:lvl>
    <w:lvl w:ilvl="8">
      <w:start w:val="1"/>
      <w:numFmt w:val="none"/>
      <w:lvlText w:val=""/>
      <w:lvlJc w:val="left"/>
      <w:pPr>
        <w:ind w:left="2726" w:hanging="341"/>
      </w:pPr>
      <w:rPr>
        <w:rFonts w:hint="default"/>
      </w:rPr>
    </w:lvl>
  </w:abstractNum>
  <w:abstractNum w:abstractNumId="11">
    <w:nsid w:val="24F572EC"/>
    <w:multiLevelType w:val="multilevel"/>
    <w:tmpl w:val="34B8CE0C"/>
    <w:styleLink w:val="NumberList"/>
    <w:lvl w:ilvl="0">
      <w:start w:val="1"/>
      <w:numFmt w:val="decimal"/>
      <w:pStyle w:val="ListNumber"/>
      <w:lvlText w:val="%1."/>
      <w:lvlJc w:val="left"/>
      <w:pPr>
        <w:ind w:left="357" w:hanging="357"/>
      </w:pPr>
      <w:rPr>
        <w:rFonts w:hint="default"/>
        <w:color w:val="004E5C" w:themeColor="text2"/>
      </w:rPr>
    </w:lvl>
    <w:lvl w:ilvl="1">
      <w:start w:val="1"/>
      <w:numFmt w:val="lowerLetter"/>
      <w:pStyle w:val="ListNumber2"/>
      <w:lvlText w:val="%2."/>
      <w:lvlJc w:val="left"/>
      <w:pPr>
        <w:ind w:left="714" w:hanging="357"/>
      </w:pPr>
      <w:rPr>
        <w:rFonts w:hint="default"/>
        <w:color w:val="004E5C" w:themeColor="text2"/>
      </w:rPr>
    </w:lvl>
    <w:lvl w:ilvl="2">
      <w:start w:val="1"/>
      <w:numFmt w:val="lowerLetter"/>
      <w:pStyle w:val="ListNumber3"/>
      <w:lvlText w:val="%3."/>
      <w:lvlJc w:val="left"/>
      <w:pPr>
        <w:ind w:left="1071" w:hanging="357"/>
      </w:pPr>
      <w:rPr>
        <w:rFonts w:hint="default"/>
        <w:color w:val="004E5C" w:themeColor="text2"/>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12">
    <w:nsid w:val="26A014D5"/>
    <w:multiLevelType w:val="multilevel"/>
    <w:tmpl w:val="0C09001F"/>
    <w:styleLink w:val="111111"/>
    <w:lvl w:ilvl="0">
      <w:start w:val="1"/>
      <w:numFmt w:val="decimal"/>
      <w:lvlText w:val="%1."/>
      <w:lvlJc w:val="left"/>
      <w:pPr>
        <w:ind w:left="360" w:hanging="360"/>
      </w:pPr>
      <w:rPr>
        <w:rFonts w:asciiTheme="minorHAnsi" w:hAnsiTheme="minorHAnsi" w:cs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9BC55C0"/>
    <w:multiLevelType w:val="hybridMultilevel"/>
    <w:tmpl w:val="E7ECCD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0C000D5"/>
    <w:multiLevelType w:val="hybridMultilevel"/>
    <w:tmpl w:val="D228D54E"/>
    <w:lvl w:ilvl="0" w:tplc="C5CEEF0C">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5">
    <w:nsid w:val="38FB35FA"/>
    <w:multiLevelType w:val="multilevel"/>
    <w:tmpl w:val="135051B6"/>
    <w:styleLink w:val="ListBullets"/>
    <w:lvl w:ilvl="0">
      <w:start w:val="1"/>
      <w:numFmt w:val="bullet"/>
      <w:lvlText w:val=""/>
      <w:lvlPicBulletId w:val="0"/>
      <w:lvlJc w:val="left"/>
      <w:pPr>
        <w:ind w:left="227" w:hanging="227"/>
      </w:pPr>
      <w:rPr>
        <w:rFonts w:ascii="Symbol" w:hAnsi="Symbol" w:hint="default"/>
        <w:color w:val="auto"/>
        <w:sz w:val="22"/>
      </w:rPr>
    </w:lvl>
    <w:lvl w:ilvl="1">
      <w:start w:val="1"/>
      <w:numFmt w:val="bullet"/>
      <w:lvlText w:val=""/>
      <w:lvlJc w:val="left"/>
      <w:pPr>
        <w:ind w:left="454" w:hanging="227"/>
      </w:pPr>
      <w:rPr>
        <w:rFonts w:ascii="Symbol" w:hAnsi="Symbol" w:hint="default"/>
        <w:color w:val="004E5C" w:themeColor="text2"/>
      </w:rPr>
    </w:lvl>
    <w:lvl w:ilvl="2">
      <w:start w:val="1"/>
      <w:numFmt w:val="bullet"/>
      <w:lvlText w:val=""/>
      <w:lvlJc w:val="left"/>
      <w:pPr>
        <w:ind w:left="681" w:hanging="227"/>
      </w:pPr>
      <w:rPr>
        <w:rFonts w:ascii="Symbol" w:hAnsi="Symbol" w:hint="default"/>
        <w:color w:val="004E5C" w:themeColor="text2"/>
      </w:rPr>
    </w:lvl>
    <w:lvl w:ilvl="3">
      <w:start w:val="1"/>
      <w:numFmt w:val="none"/>
      <w:lvlText w:val=""/>
      <w:lvlJc w:val="left"/>
      <w:pPr>
        <w:tabs>
          <w:tab w:val="num" w:pos="1136"/>
        </w:tabs>
        <w:ind w:left="908" w:hanging="227"/>
      </w:pPr>
      <w:rPr>
        <w:rFonts w:hint="default"/>
      </w:rPr>
    </w:lvl>
    <w:lvl w:ilvl="4">
      <w:start w:val="1"/>
      <w:numFmt w:val="none"/>
      <w:lvlText w:val=""/>
      <w:lvlJc w:val="left"/>
      <w:pPr>
        <w:tabs>
          <w:tab w:val="num" w:pos="1420"/>
        </w:tabs>
        <w:ind w:left="1135" w:hanging="227"/>
      </w:pPr>
      <w:rPr>
        <w:rFonts w:hint="default"/>
      </w:rPr>
    </w:lvl>
    <w:lvl w:ilvl="5">
      <w:start w:val="1"/>
      <w:numFmt w:val="none"/>
      <w:lvlText w:val=""/>
      <w:lvlJc w:val="left"/>
      <w:pPr>
        <w:tabs>
          <w:tab w:val="num" w:pos="1704"/>
        </w:tabs>
        <w:ind w:left="1362" w:hanging="227"/>
      </w:pPr>
      <w:rPr>
        <w:rFonts w:hint="default"/>
      </w:rPr>
    </w:lvl>
    <w:lvl w:ilvl="6">
      <w:start w:val="1"/>
      <w:numFmt w:val="none"/>
      <w:lvlText w:val=""/>
      <w:lvlJc w:val="left"/>
      <w:pPr>
        <w:tabs>
          <w:tab w:val="num" w:pos="1988"/>
        </w:tabs>
        <w:ind w:left="1589" w:hanging="227"/>
      </w:pPr>
      <w:rPr>
        <w:rFonts w:hint="default"/>
      </w:rPr>
    </w:lvl>
    <w:lvl w:ilvl="7">
      <w:start w:val="1"/>
      <w:numFmt w:val="none"/>
      <w:lvlText w:val=""/>
      <w:lvlJc w:val="left"/>
      <w:pPr>
        <w:tabs>
          <w:tab w:val="num" w:pos="2272"/>
        </w:tabs>
        <w:ind w:left="1816" w:hanging="227"/>
      </w:pPr>
      <w:rPr>
        <w:rFonts w:hint="default"/>
      </w:rPr>
    </w:lvl>
    <w:lvl w:ilvl="8">
      <w:start w:val="1"/>
      <w:numFmt w:val="none"/>
      <w:lvlText w:val=""/>
      <w:lvlJc w:val="left"/>
      <w:pPr>
        <w:tabs>
          <w:tab w:val="num" w:pos="2556"/>
        </w:tabs>
        <w:ind w:left="2043" w:hanging="227"/>
      </w:pPr>
      <w:rPr>
        <w:rFonts w:hint="default"/>
      </w:rPr>
    </w:lvl>
  </w:abstractNum>
  <w:abstractNum w:abstractNumId="16">
    <w:nsid w:val="3DEA01A9"/>
    <w:multiLevelType w:val="hybridMultilevel"/>
    <w:tmpl w:val="C7629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D7A05DD"/>
    <w:multiLevelType w:val="multilevel"/>
    <w:tmpl w:val="34B8CE0C"/>
    <w:numStyleLink w:val="NumberList"/>
  </w:abstractNum>
  <w:abstractNum w:abstractNumId="18">
    <w:nsid w:val="5EE66523"/>
    <w:multiLevelType w:val="hybridMultilevel"/>
    <w:tmpl w:val="78E434D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9">
    <w:nsid w:val="60254302"/>
    <w:multiLevelType w:val="hybridMultilevel"/>
    <w:tmpl w:val="26D8A4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6AD3ABB"/>
    <w:multiLevelType w:val="multilevel"/>
    <w:tmpl w:val="341C6384"/>
    <w:styleLink w:val="BulletedList"/>
    <w:lvl w:ilvl="0">
      <w:start w:val="1"/>
      <w:numFmt w:val="bullet"/>
      <w:pStyle w:val="ListBullet"/>
      <w:lvlText w:val=""/>
      <w:lvlJc w:val="left"/>
      <w:pPr>
        <w:ind w:left="357" w:hanging="357"/>
      </w:pPr>
      <w:rPr>
        <w:rFonts w:ascii="Symbol" w:hAnsi="Symbol" w:hint="default"/>
        <w:color w:val="81BD00" w:themeColor="accent3"/>
      </w:rPr>
    </w:lvl>
    <w:lvl w:ilvl="1">
      <w:start w:val="1"/>
      <w:numFmt w:val="bullet"/>
      <w:pStyle w:val="ListBullet2"/>
      <w:lvlText w:val=""/>
      <w:lvlJc w:val="left"/>
      <w:pPr>
        <w:ind w:left="714" w:hanging="357"/>
      </w:pPr>
      <w:rPr>
        <w:rFonts w:ascii="Symbol" w:hAnsi="Symbol" w:hint="default"/>
        <w:color w:val="004E5C" w:themeColor="text2"/>
      </w:rPr>
    </w:lvl>
    <w:lvl w:ilvl="2">
      <w:start w:val="1"/>
      <w:numFmt w:val="bullet"/>
      <w:pStyle w:val="ListBullet3"/>
      <w:lvlText w:val="○"/>
      <w:lvlJc w:val="left"/>
      <w:pPr>
        <w:ind w:left="1071" w:hanging="357"/>
      </w:pPr>
      <w:rPr>
        <w:rFonts w:ascii="Arial" w:hAnsi="Arial" w:hint="default"/>
        <w:color w:val="004E5C" w:themeColor="text2"/>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1">
    <w:nsid w:val="72D52456"/>
    <w:multiLevelType w:val="hybridMultilevel"/>
    <w:tmpl w:val="91A27A8E"/>
    <w:lvl w:ilvl="0" w:tplc="4796B8FA">
      <w:start w:val="1"/>
      <w:numFmt w:val="bullet"/>
      <w:pStyle w:val="TableBullet"/>
      <w:lvlText w:val=""/>
      <w:lvlJc w:val="left"/>
      <w:pPr>
        <w:ind w:left="360" w:hanging="360"/>
      </w:pPr>
      <w:rPr>
        <w:rFonts w:ascii="Symbol" w:hAnsi="Symbol" w:hint="default"/>
        <w:b w:val="0"/>
        <w:bCs w:val="0"/>
        <w:i w:val="0"/>
        <w:iCs w:val="0"/>
        <w:caps w:val="0"/>
        <w:smallCaps w:val="0"/>
        <w:strike w:val="0"/>
        <w:dstrike w:val="0"/>
        <w:vanish w:val="0"/>
        <w:color w:val="81BD00" w:themeColor="accent3"/>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BC8E26FC" w:tentative="1">
      <w:start w:val="1"/>
      <w:numFmt w:val="bullet"/>
      <w:lvlText w:val="o"/>
      <w:lvlJc w:val="left"/>
      <w:pPr>
        <w:ind w:left="1440" w:hanging="360"/>
      </w:pPr>
      <w:rPr>
        <w:rFonts w:ascii="Courier New" w:hAnsi="Courier New" w:cs="Courier New" w:hint="default"/>
      </w:rPr>
    </w:lvl>
    <w:lvl w:ilvl="2" w:tplc="E0B03FF4" w:tentative="1">
      <w:start w:val="1"/>
      <w:numFmt w:val="bullet"/>
      <w:lvlText w:val=""/>
      <w:lvlJc w:val="left"/>
      <w:pPr>
        <w:ind w:left="2160" w:hanging="360"/>
      </w:pPr>
      <w:rPr>
        <w:rFonts w:ascii="Wingdings" w:hAnsi="Wingdings" w:hint="default"/>
      </w:rPr>
    </w:lvl>
    <w:lvl w:ilvl="3" w:tplc="D0DE84D2" w:tentative="1">
      <w:start w:val="1"/>
      <w:numFmt w:val="bullet"/>
      <w:lvlText w:val=""/>
      <w:lvlJc w:val="left"/>
      <w:pPr>
        <w:ind w:left="2880" w:hanging="360"/>
      </w:pPr>
      <w:rPr>
        <w:rFonts w:ascii="Symbol" w:hAnsi="Symbol" w:hint="default"/>
      </w:rPr>
    </w:lvl>
    <w:lvl w:ilvl="4" w:tplc="F5684ECC" w:tentative="1">
      <w:start w:val="1"/>
      <w:numFmt w:val="bullet"/>
      <w:lvlText w:val="o"/>
      <w:lvlJc w:val="left"/>
      <w:pPr>
        <w:ind w:left="3600" w:hanging="360"/>
      </w:pPr>
      <w:rPr>
        <w:rFonts w:ascii="Courier New" w:hAnsi="Courier New" w:cs="Courier New" w:hint="default"/>
      </w:rPr>
    </w:lvl>
    <w:lvl w:ilvl="5" w:tplc="6C02F194" w:tentative="1">
      <w:start w:val="1"/>
      <w:numFmt w:val="bullet"/>
      <w:lvlText w:val=""/>
      <w:lvlJc w:val="left"/>
      <w:pPr>
        <w:ind w:left="4320" w:hanging="360"/>
      </w:pPr>
      <w:rPr>
        <w:rFonts w:ascii="Wingdings" w:hAnsi="Wingdings" w:hint="default"/>
      </w:rPr>
    </w:lvl>
    <w:lvl w:ilvl="6" w:tplc="64B03BE0" w:tentative="1">
      <w:start w:val="1"/>
      <w:numFmt w:val="bullet"/>
      <w:lvlText w:val=""/>
      <w:lvlJc w:val="left"/>
      <w:pPr>
        <w:ind w:left="5040" w:hanging="360"/>
      </w:pPr>
      <w:rPr>
        <w:rFonts w:ascii="Symbol" w:hAnsi="Symbol" w:hint="default"/>
      </w:rPr>
    </w:lvl>
    <w:lvl w:ilvl="7" w:tplc="8E0E1296" w:tentative="1">
      <w:start w:val="1"/>
      <w:numFmt w:val="bullet"/>
      <w:lvlText w:val="o"/>
      <w:lvlJc w:val="left"/>
      <w:pPr>
        <w:ind w:left="5760" w:hanging="360"/>
      </w:pPr>
      <w:rPr>
        <w:rFonts w:ascii="Courier New" w:hAnsi="Courier New" w:cs="Courier New" w:hint="default"/>
      </w:rPr>
    </w:lvl>
    <w:lvl w:ilvl="8" w:tplc="657A9A00"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9"/>
  </w:num>
  <w:num w:numId="4">
    <w:abstractNumId w:val="10"/>
  </w:num>
  <w:num w:numId="5">
    <w:abstractNumId w:val="15"/>
  </w:num>
  <w:num w:numId="6">
    <w:abstractNumId w:val="4"/>
  </w:num>
  <w:num w:numId="7">
    <w:abstractNumId w:val="8"/>
  </w:num>
  <w:num w:numId="8">
    <w:abstractNumId w:val="3"/>
  </w:num>
  <w:num w:numId="9">
    <w:abstractNumId w:val="2"/>
  </w:num>
  <w:num w:numId="10">
    <w:abstractNumId w:val="1"/>
  </w:num>
  <w:num w:numId="11">
    <w:abstractNumId w:val="0"/>
  </w:num>
  <w:num w:numId="12">
    <w:abstractNumId w:val="5"/>
  </w:num>
  <w:num w:numId="13">
    <w:abstractNumId w:val="21"/>
  </w:num>
  <w:num w:numId="14">
    <w:abstractNumId w:val="20"/>
  </w:num>
  <w:num w:numId="15">
    <w:abstractNumId w:val="11"/>
  </w:num>
  <w:num w:numId="16">
    <w:abstractNumId w:val="7"/>
  </w:num>
  <w:num w:numId="17">
    <w:abstractNumId w:val="17"/>
  </w:num>
  <w:num w:numId="18">
    <w:abstractNumId w:val="14"/>
  </w:num>
  <w:num w:numId="19">
    <w:abstractNumId w:val="13"/>
  </w:num>
  <w:num w:numId="20">
    <w:abstractNumId w:val="16"/>
  </w:num>
  <w:num w:numId="21">
    <w:abstractNumId w:val="19"/>
  </w:num>
  <w:num w:numId="22">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830"/>
    <w:rsid w:val="000000F3"/>
    <w:rsid w:val="00001CCE"/>
    <w:rsid w:val="000138F4"/>
    <w:rsid w:val="00017F31"/>
    <w:rsid w:val="00020E5A"/>
    <w:rsid w:val="00020FC9"/>
    <w:rsid w:val="000215FE"/>
    <w:rsid w:val="00024D2C"/>
    <w:rsid w:val="00025830"/>
    <w:rsid w:val="00026A5D"/>
    <w:rsid w:val="00027C2A"/>
    <w:rsid w:val="00027D54"/>
    <w:rsid w:val="000319A2"/>
    <w:rsid w:val="00031F65"/>
    <w:rsid w:val="000320E2"/>
    <w:rsid w:val="0003327B"/>
    <w:rsid w:val="00037ED9"/>
    <w:rsid w:val="000412B4"/>
    <w:rsid w:val="000423EB"/>
    <w:rsid w:val="00046882"/>
    <w:rsid w:val="000477B6"/>
    <w:rsid w:val="0005233D"/>
    <w:rsid w:val="000602E2"/>
    <w:rsid w:val="000608C5"/>
    <w:rsid w:val="00062056"/>
    <w:rsid w:val="00063C6A"/>
    <w:rsid w:val="00065E44"/>
    <w:rsid w:val="00070395"/>
    <w:rsid w:val="000734BB"/>
    <w:rsid w:val="00074D75"/>
    <w:rsid w:val="00076500"/>
    <w:rsid w:val="00076747"/>
    <w:rsid w:val="00076B00"/>
    <w:rsid w:val="00081AB9"/>
    <w:rsid w:val="00084C68"/>
    <w:rsid w:val="00090164"/>
    <w:rsid w:val="00093181"/>
    <w:rsid w:val="00093D6F"/>
    <w:rsid w:val="0009638E"/>
    <w:rsid w:val="000964FA"/>
    <w:rsid w:val="00097663"/>
    <w:rsid w:val="000A2165"/>
    <w:rsid w:val="000A228B"/>
    <w:rsid w:val="000A302F"/>
    <w:rsid w:val="000A4A09"/>
    <w:rsid w:val="000A671C"/>
    <w:rsid w:val="000B1078"/>
    <w:rsid w:val="000B20BE"/>
    <w:rsid w:val="000B46A9"/>
    <w:rsid w:val="000B499F"/>
    <w:rsid w:val="000B570B"/>
    <w:rsid w:val="000B579E"/>
    <w:rsid w:val="000B5E43"/>
    <w:rsid w:val="000B7247"/>
    <w:rsid w:val="000C2965"/>
    <w:rsid w:val="000C3F22"/>
    <w:rsid w:val="000C550D"/>
    <w:rsid w:val="000D1BC1"/>
    <w:rsid w:val="000D61EB"/>
    <w:rsid w:val="000E241B"/>
    <w:rsid w:val="000E4A5D"/>
    <w:rsid w:val="000E507A"/>
    <w:rsid w:val="000E771D"/>
    <w:rsid w:val="000F0051"/>
    <w:rsid w:val="000F0FED"/>
    <w:rsid w:val="000F420F"/>
    <w:rsid w:val="000F6618"/>
    <w:rsid w:val="001022F7"/>
    <w:rsid w:val="00103006"/>
    <w:rsid w:val="001031D2"/>
    <w:rsid w:val="001057D3"/>
    <w:rsid w:val="0010753D"/>
    <w:rsid w:val="00112EB9"/>
    <w:rsid w:val="0011356E"/>
    <w:rsid w:val="00114171"/>
    <w:rsid w:val="00116B1D"/>
    <w:rsid w:val="001208E1"/>
    <w:rsid w:val="00120D26"/>
    <w:rsid w:val="00121728"/>
    <w:rsid w:val="00123163"/>
    <w:rsid w:val="00123200"/>
    <w:rsid w:val="00124CBE"/>
    <w:rsid w:val="00127ACA"/>
    <w:rsid w:val="00131BB0"/>
    <w:rsid w:val="0013698D"/>
    <w:rsid w:val="00136DD6"/>
    <w:rsid w:val="001375CF"/>
    <w:rsid w:val="00137984"/>
    <w:rsid w:val="0014097E"/>
    <w:rsid w:val="00141D95"/>
    <w:rsid w:val="001475A1"/>
    <w:rsid w:val="00150DA9"/>
    <w:rsid w:val="00156132"/>
    <w:rsid w:val="0015702B"/>
    <w:rsid w:val="0017119E"/>
    <w:rsid w:val="00177077"/>
    <w:rsid w:val="00177264"/>
    <w:rsid w:val="00177FD5"/>
    <w:rsid w:val="00182CD4"/>
    <w:rsid w:val="001836C5"/>
    <w:rsid w:val="00184328"/>
    <w:rsid w:val="00184B75"/>
    <w:rsid w:val="001869DF"/>
    <w:rsid w:val="00191366"/>
    <w:rsid w:val="001917B0"/>
    <w:rsid w:val="001920FE"/>
    <w:rsid w:val="0019255E"/>
    <w:rsid w:val="00192B9D"/>
    <w:rsid w:val="00193CEC"/>
    <w:rsid w:val="001944A8"/>
    <w:rsid w:val="00194D01"/>
    <w:rsid w:val="00195F27"/>
    <w:rsid w:val="00196F06"/>
    <w:rsid w:val="00197D71"/>
    <w:rsid w:val="001A0BAC"/>
    <w:rsid w:val="001A1ABA"/>
    <w:rsid w:val="001A1D62"/>
    <w:rsid w:val="001A2C8A"/>
    <w:rsid w:val="001A4BF4"/>
    <w:rsid w:val="001A64AB"/>
    <w:rsid w:val="001A777E"/>
    <w:rsid w:val="001B4C0E"/>
    <w:rsid w:val="001C097A"/>
    <w:rsid w:val="001C18AB"/>
    <w:rsid w:val="001C3A10"/>
    <w:rsid w:val="001C4AAF"/>
    <w:rsid w:val="001C58D8"/>
    <w:rsid w:val="001C620D"/>
    <w:rsid w:val="001D1793"/>
    <w:rsid w:val="001D2C6F"/>
    <w:rsid w:val="001D644E"/>
    <w:rsid w:val="001D6934"/>
    <w:rsid w:val="001D696E"/>
    <w:rsid w:val="001D6EFC"/>
    <w:rsid w:val="001E28A2"/>
    <w:rsid w:val="001E458B"/>
    <w:rsid w:val="001E5C0F"/>
    <w:rsid w:val="001E6150"/>
    <w:rsid w:val="001E6C06"/>
    <w:rsid w:val="001F2103"/>
    <w:rsid w:val="001F32B1"/>
    <w:rsid w:val="001F443D"/>
    <w:rsid w:val="001F5A9F"/>
    <w:rsid w:val="00203B8E"/>
    <w:rsid w:val="00204A6B"/>
    <w:rsid w:val="00206AD0"/>
    <w:rsid w:val="002124A7"/>
    <w:rsid w:val="00215E69"/>
    <w:rsid w:val="00224E5C"/>
    <w:rsid w:val="00230772"/>
    <w:rsid w:val="00232F1F"/>
    <w:rsid w:val="00233391"/>
    <w:rsid w:val="00235429"/>
    <w:rsid w:val="00237E80"/>
    <w:rsid w:val="002414B7"/>
    <w:rsid w:val="00241B9E"/>
    <w:rsid w:val="00241FF5"/>
    <w:rsid w:val="00243F1A"/>
    <w:rsid w:val="002459C6"/>
    <w:rsid w:val="00245C2F"/>
    <w:rsid w:val="00252FDD"/>
    <w:rsid w:val="002536C3"/>
    <w:rsid w:val="002539D6"/>
    <w:rsid w:val="00255659"/>
    <w:rsid w:val="00255D71"/>
    <w:rsid w:val="00266EB3"/>
    <w:rsid w:val="00273F73"/>
    <w:rsid w:val="00274D9F"/>
    <w:rsid w:val="002752E0"/>
    <w:rsid w:val="00280411"/>
    <w:rsid w:val="00282486"/>
    <w:rsid w:val="002852C4"/>
    <w:rsid w:val="00285730"/>
    <w:rsid w:val="002858D0"/>
    <w:rsid w:val="0029064C"/>
    <w:rsid w:val="00290B32"/>
    <w:rsid w:val="00290CEE"/>
    <w:rsid w:val="00292622"/>
    <w:rsid w:val="0029485E"/>
    <w:rsid w:val="00295100"/>
    <w:rsid w:val="002A1BE1"/>
    <w:rsid w:val="002A21E7"/>
    <w:rsid w:val="002A384B"/>
    <w:rsid w:val="002A6921"/>
    <w:rsid w:val="002A69B3"/>
    <w:rsid w:val="002B38DE"/>
    <w:rsid w:val="002C224F"/>
    <w:rsid w:val="002C2E35"/>
    <w:rsid w:val="002C4797"/>
    <w:rsid w:val="002C5C46"/>
    <w:rsid w:val="002C6C9D"/>
    <w:rsid w:val="002D35FA"/>
    <w:rsid w:val="002D3AB0"/>
    <w:rsid w:val="002E0612"/>
    <w:rsid w:val="002E33FF"/>
    <w:rsid w:val="002E3C69"/>
    <w:rsid w:val="002E4565"/>
    <w:rsid w:val="002E5017"/>
    <w:rsid w:val="002E60A4"/>
    <w:rsid w:val="002E61F6"/>
    <w:rsid w:val="002E7A3D"/>
    <w:rsid w:val="002E7ADE"/>
    <w:rsid w:val="002F28EB"/>
    <w:rsid w:val="002F335D"/>
    <w:rsid w:val="002F5070"/>
    <w:rsid w:val="00303E9D"/>
    <w:rsid w:val="00304BB6"/>
    <w:rsid w:val="00307025"/>
    <w:rsid w:val="0031110D"/>
    <w:rsid w:val="00312D17"/>
    <w:rsid w:val="00312E78"/>
    <w:rsid w:val="00313EC7"/>
    <w:rsid w:val="003156FC"/>
    <w:rsid w:val="0031680E"/>
    <w:rsid w:val="003236B0"/>
    <w:rsid w:val="0032514D"/>
    <w:rsid w:val="003253EC"/>
    <w:rsid w:val="00326852"/>
    <w:rsid w:val="00326F32"/>
    <w:rsid w:val="00331549"/>
    <w:rsid w:val="003326E2"/>
    <w:rsid w:val="003369AA"/>
    <w:rsid w:val="00336E78"/>
    <w:rsid w:val="00337C4C"/>
    <w:rsid w:val="00340C5B"/>
    <w:rsid w:val="00340E37"/>
    <w:rsid w:val="003418A6"/>
    <w:rsid w:val="0034213F"/>
    <w:rsid w:val="00342A17"/>
    <w:rsid w:val="00344350"/>
    <w:rsid w:val="003454E1"/>
    <w:rsid w:val="0034577F"/>
    <w:rsid w:val="00346949"/>
    <w:rsid w:val="00347426"/>
    <w:rsid w:val="003514B9"/>
    <w:rsid w:val="0035166C"/>
    <w:rsid w:val="00351812"/>
    <w:rsid w:val="00355630"/>
    <w:rsid w:val="00355829"/>
    <w:rsid w:val="0035625B"/>
    <w:rsid w:val="0035675B"/>
    <w:rsid w:val="00356A93"/>
    <w:rsid w:val="00356BC5"/>
    <w:rsid w:val="00357FC4"/>
    <w:rsid w:val="0036057C"/>
    <w:rsid w:val="003633D3"/>
    <w:rsid w:val="00363F2F"/>
    <w:rsid w:val="00363F67"/>
    <w:rsid w:val="00364089"/>
    <w:rsid w:val="00373ADD"/>
    <w:rsid w:val="003767C4"/>
    <w:rsid w:val="00382D21"/>
    <w:rsid w:val="00383001"/>
    <w:rsid w:val="00386AD8"/>
    <w:rsid w:val="00386E6C"/>
    <w:rsid w:val="003873E9"/>
    <w:rsid w:val="00387E42"/>
    <w:rsid w:val="003900D9"/>
    <w:rsid w:val="003904BB"/>
    <w:rsid w:val="00390E90"/>
    <w:rsid w:val="00391A4F"/>
    <w:rsid w:val="00395355"/>
    <w:rsid w:val="00395ECA"/>
    <w:rsid w:val="00397485"/>
    <w:rsid w:val="00397A9C"/>
    <w:rsid w:val="003A4074"/>
    <w:rsid w:val="003A4EBF"/>
    <w:rsid w:val="003A5EB5"/>
    <w:rsid w:val="003B08E6"/>
    <w:rsid w:val="003B09CE"/>
    <w:rsid w:val="003B0BF8"/>
    <w:rsid w:val="003B1E6A"/>
    <w:rsid w:val="003B41D9"/>
    <w:rsid w:val="003B7EAC"/>
    <w:rsid w:val="003C1476"/>
    <w:rsid w:val="003C4EC4"/>
    <w:rsid w:val="003C5762"/>
    <w:rsid w:val="003C7441"/>
    <w:rsid w:val="003D0766"/>
    <w:rsid w:val="003D0D4B"/>
    <w:rsid w:val="003D16D3"/>
    <w:rsid w:val="003D56C1"/>
    <w:rsid w:val="003D5F88"/>
    <w:rsid w:val="003E1703"/>
    <w:rsid w:val="003E1E1E"/>
    <w:rsid w:val="003E3A89"/>
    <w:rsid w:val="003E41F4"/>
    <w:rsid w:val="003E4692"/>
    <w:rsid w:val="003E66C9"/>
    <w:rsid w:val="003F0A27"/>
    <w:rsid w:val="003F31AC"/>
    <w:rsid w:val="003F362E"/>
    <w:rsid w:val="00400358"/>
    <w:rsid w:val="00400D81"/>
    <w:rsid w:val="00402960"/>
    <w:rsid w:val="004031FE"/>
    <w:rsid w:val="00404499"/>
    <w:rsid w:val="0040678C"/>
    <w:rsid w:val="004068A9"/>
    <w:rsid w:val="00407888"/>
    <w:rsid w:val="00411196"/>
    <w:rsid w:val="004139D0"/>
    <w:rsid w:val="00413C9B"/>
    <w:rsid w:val="00413E93"/>
    <w:rsid w:val="00417203"/>
    <w:rsid w:val="004213CE"/>
    <w:rsid w:val="004216F5"/>
    <w:rsid w:val="00423696"/>
    <w:rsid w:val="00425F0B"/>
    <w:rsid w:val="00427639"/>
    <w:rsid w:val="00427958"/>
    <w:rsid w:val="00431F05"/>
    <w:rsid w:val="00437BB3"/>
    <w:rsid w:val="00441FF1"/>
    <w:rsid w:val="00443513"/>
    <w:rsid w:val="00445F7E"/>
    <w:rsid w:val="00452C91"/>
    <w:rsid w:val="00453506"/>
    <w:rsid w:val="0046438E"/>
    <w:rsid w:val="00465D5A"/>
    <w:rsid w:val="00465DA6"/>
    <w:rsid w:val="00470E30"/>
    <w:rsid w:val="00473E04"/>
    <w:rsid w:val="00475508"/>
    <w:rsid w:val="00477A57"/>
    <w:rsid w:val="00477C3A"/>
    <w:rsid w:val="00482DD1"/>
    <w:rsid w:val="00483071"/>
    <w:rsid w:val="0048411C"/>
    <w:rsid w:val="004872E3"/>
    <w:rsid w:val="004905C4"/>
    <w:rsid w:val="00490D39"/>
    <w:rsid w:val="004926BC"/>
    <w:rsid w:val="004934DF"/>
    <w:rsid w:val="00493697"/>
    <w:rsid w:val="00495D06"/>
    <w:rsid w:val="00495F88"/>
    <w:rsid w:val="004971DD"/>
    <w:rsid w:val="004A03B6"/>
    <w:rsid w:val="004A225D"/>
    <w:rsid w:val="004A2556"/>
    <w:rsid w:val="004A3EBF"/>
    <w:rsid w:val="004A4490"/>
    <w:rsid w:val="004B6401"/>
    <w:rsid w:val="004B6BF9"/>
    <w:rsid w:val="004B75D8"/>
    <w:rsid w:val="004B7680"/>
    <w:rsid w:val="004C1560"/>
    <w:rsid w:val="004C1BB5"/>
    <w:rsid w:val="004C3200"/>
    <w:rsid w:val="004C59CC"/>
    <w:rsid w:val="004C629D"/>
    <w:rsid w:val="004C6CC2"/>
    <w:rsid w:val="004C787E"/>
    <w:rsid w:val="004D143F"/>
    <w:rsid w:val="004D435B"/>
    <w:rsid w:val="004D54E0"/>
    <w:rsid w:val="004D65A9"/>
    <w:rsid w:val="004E04C2"/>
    <w:rsid w:val="004E0A68"/>
    <w:rsid w:val="004E2E07"/>
    <w:rsid w:val="004E49A9"/>
    <w:rsid w:val="004E586A"/>
    <w:rsid w:val="004F046B"/>
    <w:rsid w:val="004F5F50"/>
    <w:rsid w:val="004F7883"/>
    <w:rsid w:val="004F7D00"/>
    <w:rsid w:val="0050532C"/>
    <w:rsid w:val="0051000C"/>
    <w:rsid w:val="00510337"/>
    <w:rsid w:val="005112E1"/>
    <w:rsid w:val="005142DB"/>
    <w:rsid w:val="00514F65"/>
    <w:rsid w:val="00516E94"/>
    <w:rsid w:val="0052097D"/>
    <w:rsid w:val="005221E4"/>
    <w:rsid w:val="0052364E"/>
    <w:rsid w:val="00524EFE"/>
    <w:rsid w:val="0052689E"/>
    <w:rsid w:val="0053044D"/>
    <w:rsid w:val="00531377"/>
    <w:rsid w:val="00532A5F"/>
    <w:rsid w:val="00533FB4"/>
    <w:rsid w:val="005341E6"/>
    <w:rsid w:val="00535C81"/>
    <w:rsid w:val="00536566"/>
    <w:rsid w:val="00542B4C"/>
    <w:rsid w:val="005454C4"/>
    <w:rsid w:val="0054752C"/>
    <w:rsid w:val="005527CB"/>
    <w:rsid w:val="00555991"/>
    <w:rsid w:val="005564B6"/>
    <w:rsid w:val="00562716"/>
    <w:rsid w:val="0056349A"/>
    <w:rsid w:val="00564F19"/>
    <w:rsid w:val="00572F95"/>
    <w:rsid w:val="0057746E"/>
    <w:rsid w:val="005818AC"/>
    <w:rsid w:val="00584C43"/>
    <w:rsid w:val="00586A06"/>
    <w:rsid w:val="0058700C"/>
    <w:rsid w:val="00587A41"/>
    <w:rsid w:val="00590DC5"/>
    <w:rsid w:val="00591B37"/>
    <w:rsid w:val="0059463F"/>
    <w:rsid w:val="00595144"/>
    <w:rsid w:val="005952D4"/>
    <w:rsid w:val="005961FB"/>
    <w:rsid w:val="00596F09"/>
    <w:rsid w:val="005A28D7"/>
    <w:rsid w:val="005A475C"/>
    <w:rsid w:val="005A642B"/>
    <w:rsid w:val="005A6C06"/>
    <w:rsid w:val="005A7F22"/>
    <w:rsid w:val="005B058A"/>
    <w:rsid w:val="005B13CD"/>
    <w:rsid w:val="005B1B8F"/>
    <w:rsid w:val="005B4B0C"/>
    <w:rsid w:val="005B4F8F"/>
    <w:rsid w:val="005B629D"/>
    <w:rsid w:val="005C00DA"/>
    <w:rsid w:val="005C0FF9"/>
    <w:rsid w:val="005C1AD4"/>
    <w:rsid w:val="005C5AE7"/>
    <w:rsid w:val="005D0C3E"/>
    <w:rsid w:val="005D1644"/>
    <w:rsid w:val="005D190C"/>
    <w:rsid w:val="005D34AC"/>
    <w:rsid w:val="005D46F0"/>
    <w:rsid w:val="005D5D4A"/>
    <w:rsid w:val="005D61FE"/>
    <w:rsid w:val="005D76B7"/>
    <w:rsid w:val="005D7DA1"/>
    <w:rsid w:val="005E019E"/>
    <w:rsid w:val="005E036B"/>
    <w:rsid w:val="005E0DAC"/>
    <w:rsid w:val="005E0F19"/>
    <w:rsid w:val="005E503D"/>
    <w:rsid w:val="005F5B41"/>
    <w:rsid w:val="005F5B43"/>
    <w:rsid w:val="005F6E6C"/>
    <w:rsid w:val="00600B06"/>
    <w:rsid w:val="00602F33"/>
    <w:rsid w:val="006039E2"/>
    <w:rsid w:val="00604922"/>
    <w:rsid w:val="00607271"/>
    <w:rsid w:val="00611A7E"/>
    <w:rsid w:val="00611BE0"/>
    <w:rsid w:val="00611D8A"/>
    <w:rsid w:val="00615410"/>
    <w:rsid w:val="0061605A"/>
    <w:rsid w:val="00616351"/>
    <w:rsid w:val="00616A54"/>
    <w:rsid w:val="00617DBB"/>
    <w:rsid w:val="0062042D"/>
    <w:rsid w:val="00621ED9"/>
    <w:rsid w:val="006231D7"/>
    <w:rsid w:val="00623970"/>
    <w:rsid w:val="00624F79"/>
    <w:rsid w:val="00625E35"/>
    <w:rsid w:val="00627137"/>
    <w:rsid w:val="00636530"/>
    <w:rsid w:val="00640DB7"/>
    <w:rsid w:val="00641266"/>
    <w:rsid w:val="0064184E"/>
    <w:rsid w:val="006422A3"/>
    <w:rsid w:val="00642A3E"/>
    <w:rsid w:val="00645601"/>
    <w:rsid w:val="0065081B"/>
    <w:rsid w:val="00650F7E"/>
    <w:rsid w:val="006517BB"/>
    <w:rsid w:val="0065344E"/>
    <w:rsid w:val="006540E8"/>
    <w:rsid w:val="0065467F"/>
    <w:rsid w:val="006557C8"/>
    <w:rsid w:val="00655B2A"/>
    <w:rsid w:val="00656A9E"/>
    <w:rsid w:val="0065773A"/>
    <w:rsid w:val="006579C7"/>
    <w:rsid w:val="00663571"/>
    <w:rsid w:val="00663C67"/>
    <w:rsid w:val="00663CFB"/>
    <w:rsid w:val="00666630"/>
    <w:rsid w:val="00666BB9"/>
    <w:rsid w:val="00667D0A"/>
    <w:rsid w:val="00671874"/>
    <w:rsid w:val="00672D41"/>
    <w:rsid w:val="00674DE8"/>
    <w:rsid w:val="006763DA"/>
    <w:rsid w:val="00676D2B"/>
    <w:rsid w:val="00677A11"/>
    <w:rsid w:val="00680680"/>
    <w:rsid w:val="006807C7"/>
    <w:rsid w:val="00683119"/>
    <w:rsid w:val="00684892"/>
    <w:rsid w:val="0068734E"/>
    <w:rsid w:val="006A0831"/>
    <w:rsid w:val="006A0D85"/>
    <w:rsid w:val="006A7341"/>
    <w:rsid w:val="006B0BD7"/>
    <w:rsid w:val="006B216F"/>
    <w:rsid w:val="006B3B78"/>
    <w:rsid w:val="006B5F7A"/>
    <w:rsid w:val="006C0514"/>
    <w:rsid w:val="006C4573"/>
    <w:rsid w:val="006C497E"/>
    <w:rsid w:val="006C4FD5"/>
    <w:rsid w:val="006C73D0"/>
    <w:rsid w:val="006D1E86"/>
    <w:rsid w:val="006D211F"/>
    <w:rsid w:val="006D2F72"/>
    <w:rsid w:val="006D69F2"/>
    <w:rsid w:val="006E5680"/>
    <w:rsid w:val="006E58C9"/>
    <w:rsid w:val="006E6226"/>
    <w:rsid w:val="006E6430"/>
    <w:rsid w:val="006E654A"/>
    <w:rsid w:val="006E688A"/>
    <w:rsid w:val="006E7C2E"/>
    <w:rsid w:val="006F04FA"/>
    <w:rsid w:val="006F17A9"/>
    <w:rsid w:val="006F316F"/>
    <w:rsid w:val="006F3291"/>
    <w:rsid w:val="006F4976"/>
    <w:rsid w:val="006F6A9E"/>
    <w:rsid w:val="006F7ED0"/>
    <w:rsid w:val="0070180F"/>
    <w:rsid w:val="00701C23"/>
    <w:rsid w:val="00702A9C"/>
    <w:rsid w:val="007066C8"/>
    <w:rsid w:val="00706EAB"/>
    <w:rsid w:val="00706FD7"/>
    <w:rsid w:val="00711811"/>
    <w:rsid w:val="00714D58"/>
    <w:rsid w:val="00714D6D"/>
    <w:rsid w:val="00715B46"/>
    <w:rsid w:val="00720AE8"/>
    <w:rsid w:val="0072528B"/>
    <w:rsid w:val="007254E1"/>
    <w:rsid w:val="00727EC6"/>
    <w:rsid w:val="00730BE0"/>
    <w:rsid w:val="00731E66"/>
    <w:rsid w:val="00734036"/>
    <w:rsid w:val="0073462B"/>
    <w:rsid w:val="00736760"/>
    <w:rsid w:val="007424D9"/>
    <w:rsid w:val="00742D1D"/>
    <w:rsid w:val="0074450C"/>
    <w:rsid w:val="007449DF"/>
    <w:rsid w:val="00744FE7"/>
    <w:rsid w:val="00751675"/>
    <w:rsid w:val="007568EC"/>
    <w:rsid w:val="00756F4B"/>
    <w:rsid w:val="00761F75"/>
    <w:rsid w:val="007635FA"/>
    <w:rsid w:val="00764C65"/>
    <w:rsid w:val="00764CDC"/>
    <w:rsid w:val="00766163"/>
    <w:rsid w:val="00767967"/>
    <w:rsid w:val="0077116B"/>
    <w:rsid w:val="00771992"/>
    <w:rsid w:val="00771C47"/>
    <w:rsid w:val="00772D18"/>
    <w:rsid w:val="0077510A"/>
    <w:rsid w:val="0077793E"/>
    <w:rsid w:val="0078246F"/>
    <w:rsid w:val="00786995"/>
    <w:rsid w:val="0079253D"/>
    <w:rsid w:val="007927DC"/>
    <w:rsid w:val="007A11E1"/>
    <w:rsid w:val="007A1B2C"/>
    <w:rsid w:val="007A302B"/>
    <w:rsid w:val="007A39D2"/>
    <w:rsid w:val="007A4ED9"/>
    <w:rsid w:val="007A58CF"/>
    <w:rsid w:val="007B0202"/>
    <w:rsid w:val="007B27C1"/>
    <w:rsid w:val="007B4BE7"/>
    <w:rsid w:val="007B50C9"/>
    <w:rsid w:val="007B5485"/>
    <w:rsid w:val="007B66F1"/>
    <w:rsid w:val="007C0FCA"/>
    <w:rsid w:val="007C27B1"/>
    <w:rsid w:val="007C2CE4"/>
    <w:rsid w:val="007D070F"/>
    <w:rsid w:val="007D0D87"/>
    <w:rsid w:val="007D0F0F"/>
    <w:rsid w:val="007D2BB2"/>
    <w:rsid w:val="007D7E09"/>
    <w:rsid w:val="007E14F8"/>
    <w:rsid w:val="007E2B15"/>
    <w:rsid w:val="007E2F1E"/>
    <w:rsid w:val="007E36DA"/>
    <w:rsid w:val="007E779F"/>
    <w:rsid w:val="007F10F9"/>
    <w:rsid w:val="007F287D"/>
    <w:rsid w:val="007F3017"/>
    <w:rsid w:val="007F711C"/>
    <w:rsid w:val="00800124"/>
    <w:rsid w:val="00801A6E"/>
    <w:rsid w:val="00801EDD"/>
    <w:rsid w:val="0080390D"/>
    <w:rsid w:val="008048FD"/>
    <w:rsid w:val="008056F7"/>
    <w:rsid w:val="00805F19"/>
    <w:rsid w:val="0080601C"/>
    <w:rsid w:val="0080761E"/>
    <w:rsid w:val="008112BE"/>
    <w:rsid w:val="0081290D"/>
    <w:rsid w:val="00814BFD"/>
    <w:rsid w:val="00815193"/>
    <w:rsid w:val="0081770D"/>
    <w:rsid w:val="008324C4"/>
    <w:rsid w:val="008372B5"/>
    <w:rsid w:val="00837C00"/>
    <w:rsid w:val="00840003"/>
    <w:rsid w:val="00843923"/>
    <w:rsid w:val="00844235"/>
    <w:rsid w:val="00844D3A"/>
    <w:rsid w:val="00846A71"/>
    <w:rsid w:val="00846E24"/>
    <w:rsid w:val="00851F07"/>
    <w:rsid w:val="008540C3"/>
    <w:rsid w:val="00856668"/>
    <w:rsid w:val="008623CD"/>
    <w:rsid w:val="00863A81"/>
    <w:rsid w:val="00867B20"/>
    <w:rsid w:val="008713B4"/>
    <w:rsid w:val="0087373C"/>
    <w:rsid w:val="00881683"/>
    <w:rsid w:val="0088205A"/>
    <w:rsid w:val="00891D2A"/>
    <w:rsid w:val="00892E97"/>
    <w:rsid w:val="0089314C"/>
    <w:rsid w:val="0089377B"/>
    <w:rsid w:val="00894AFD"/>
    <w:rsid w:val="00896294"/>
    <w:rsid w:val="008A0D7D"/>
    <w:rsid w:val="008A0F97"/>
    <w:rsid w:val="008A2399"/>
    <w:rsid w:val="008A2C3D"/>
    <w:rsid w:val="008A35DF"/>
    <w:rsid w:val="008A4A6C"/>
    <w:rsid w:val="008A6764"/>
    <w:rsid w:val="008A6BE1"/>
    <w:rsid w:val="008A7137"/>
    <w:rsid w:val="008B1288"/>
    <w:rsid w:val="008B28FC"/>
    <w:rsid w:val="008B3869"/>
    <w:rsid w:val="008B3995"/>
    <w:rsid w:val="008B3E28"/>
    <w:rsid w:val="008B3E7E"/>
    <w:rsid w:val="008B6E9D"/>
    <w:rsid w:val="008B7ACE"/>
    <w:rsid w:val="008C0977"/>
    <w:rsid w:val="008C23B6"/>
    <w:rsid w:val="008C2D42"/>
    <w:rsid w:val="008C3EB9"/>
    <w:rsid w:val="008C4830"/>
    <w:rsid w:val="008D0932"/>
    <w:rsid w:val="008D1505"/>
    <w:rsid w:val="008D192E"/>
    <w:rsid w:val="008D34D0"/>
    <w:rsid w:val="008D378F"/>
    <w:rsid w:val="008D697C"/>
    <w:rsid w:val="008D6C97"/>
    <w:rsid w:val="008E2667"/>
    <w:rsid w:val="008E6B3E"/>
    <w:rsid w:val="008F0193"/>
    <w:rsid w:val="008F1957"/>
    <w:rsid w:val="008F206E"/>
    <w:rsid w:val="008F506C"/>
    <w:rsid w:val="008F567A"/>
    <w:rsid w:val="00906693"/>
    <w:rsid w:val="00907121"/>
    <w:rsid w:val="00907E35"/>
    <w:rsid w:val="009107BA"/>
    <w:rsid w:val="00910B23"/>
    <w:rsid w:val="00911525"/>
    <w:rsid w:val="009139D5"/>
    <w:rsid w:val="0091471F"/>
    <w:rsid w:val="00915A15"/>
    <w:rsid w:val="00920747"/>
    <w:rsid w:val="00921D06"/>
    <w:rsid w:val="009263AA"/>
    <w:rsid w:val="00930793"/>
    <w:rsid w:val="00932E3C"/>
    <w:rsid w:val="00934CED"/>
    <w:rsid w:val="00937D2D"/>
    <w:rsid w:val="009406DE"/>
    <w:rsid w:val="00941491"/>
    <w:rsid w:val="00941851"/>
    <w:rsid w:val="00944491"/>
    <w:rsid w:val="00944E7A"/>
    <w:rsid w:val="00946456"/>
    <w:rsid w:val="00946E85"/>
    <w:rsid w:val="00947372"/>
    <w:rsid w:val="00947ACD"/>
    <w:rsid w:val="009518B2"/>
    <w:rsid w:val="009519BD"/>
    <w:rsid w:val="009521A3"/>
    <w:rsid w:val="009521DF"/>
    <w:rsid w:val="00952A6A"/>
    <w:rsid w:val="00955129"/>
    <w:rsid w:val="00956E3A"/>
    <w:rsid w:val="00956E9D"/>
    <w:rsid w:val="00960AFE"/>
    <w:rsid w:val="00960DD5"/>
    <w:rsid w:val="009629FA"/>
    <w:rsid w:val="0096615D"/>
    <w:rsid w:val="00967A23"/>
    <w:rsid w:val="00970EFB"/>
    <w:rsid w:val="009758FC"/>
    <w:rsid w:val="00975E80"/>
    <w:rsid w:val="00977046"/>
    <w:rsid w:val="009774F9"/>
    <w:rsid w:val="00980B0F"/>
    <w:rsid w:val="00980E38"/>
    <w:rsid w:val="009843D1"/>
    <w:rsid w:val="009905FB"/>
    <w:rsid w:val="009916C9"/>
    <w:rsid w:val="00994584"/>
    <w:rsid w:val="00994EB2"/>
    <w:rsid w:val="0099508C"/>
    <w:rsid w:val="009967D6"/>
    <w:rsid w:val="009A1950"/>
    <w:rsid w:val="009A1B23"/>
    <w:rsid w:val="009A2EBB"/>
    <w:rsid w:val="009A46FE"/>
    <w:rsid w:val="009A4AA1"/>
    <w:rsid w:val="009A60C4"/>
    <w:rsid w:val="009A668C"/>
    <w:rsid w:val="009A7180"/>
    <w:rsid w:val="009B0817"/>
    <w:rsid w:val="009B16B2"/>
    <w:rsid w:val="009B35D2"/>
    <w:rsid w:val="009B3C3F"/>
    <w:rsid w:val="009B3FDB"/>
    <w:rsid w:val="009B4A6E"/>
    <w:rsid w:val="009B5713"/>
    <w:rsid w:val="009B5BD3"/>
    <w:rsid w:val="009B616F"/>
    <w:rsid w:val="009C5917"/>
    <w:rsid w:val="009D0B53"/>
    <w:rsid w:val="009D2D64"/>
    <w:rsid w:val="009E39F2"/>
    <w:rsid w:val="009E4A65"/>
    <w:rsid w:val="009F0317"/>
    <w:rsid w:val="009F1974"/>
    <w:rsid w:val="009F30CE"/>
    <w:rsid w:val="009F3BBA"/>
    <w:rsid w:val="009F4F91"/>
    <w:rsid w:val="009F528C"/>
    <w:rsid w:val="009F6D41"/>
    <w:rsid w:val="009F7BFF"/>
    <w:rsid w:val="00A002AC"/>
    <w:rsid w:val="00A01F87"/>
    <w:rsid w:val="00A10886"/>
    <w:rsid w:val="00A14020"/>
    <w:rsid w:val="00A142E4"/>
    <w:rsid w:val="00A14B86"/>
    <w:rsid w:val="00A178C3"/>
    <w:rsid w:val="00A2146B"/>
    <w:rsid w:val="00A2376C"/>
    <w:rsid w:val="00A24131"/>
    <w:rsid w:val="00A250F7"/>
    <w:rsid w:val="00A25BB8"/>
    <w:rsid w:val="00A25F48"/>
    <w:rsid w:val="00A30FF6"/>
    <w:rsid w:val="00A3230F"/>
    <w:rsid w:val="00A36EDA"/>
    <w:rsid w:val="00A40D66"/>
    <w:rsid w:val="00A43A40"/>
    <w:rsid w:val="00A44FA2"/>
    <w:rsid w:val="00A46DAC"/>
    <w:rsid w:val="00A52862"/>
    <w:rsid w:val="00A53568"/>
    <w:rsid w:val="00A53990"/>
    <w:rsid w:val="00A55018"/>
    <w:rsid w:val="00A552F2"/>
    <w:rsid w:val="00A55B76"/>
    <w:rsid w:val="00A6014C"/>
    <w:rsid w:val="00A61340"/>
    <w:rsid w:val="00A61776"/>
    <w:rsid w:val="00A6212A"/>
    <w:rsid w:val="00A6237A"/>
    <w:rsid w:val="00A625B9"/>
    <w:rsid w:val="00A67CB4"/>
    <w:rsid w:val="00A67CC4"/>
    <w:rsid w:val="00A725FD"/>
    <w:rsid w:val="00A758B2"/>
    <w:rsid w:val="00A824FB"/>
    <w:rsid w:val="00A832BA"/>
    <w:rsid w:val="00A85E00"/>
    <w:rsid w:val="00A91D65"/>
    <w:rsid w:val="00A92459"/>
    <w:rsid w:val="00A93565"/>
    <w:rsid w:val="00A9491A"/>
    <w:rsid w:val="00A95078"/>
    <w:rsid w:val="00A950C8"/>
    <w:rsid w:val="00A95358"/>
    <w:rsid w:val="00A95D4E"/>
    <w:rsid w:val="00AA1DA2"/>
    <w:rsid w:val="00AA20A6"/>
    <w:rsid w:val="00AA2719"/>
    <w:rsid w:val="00AA7B23"/>
    <w:rsid w:val="00AB1048"/>
    <w:rsid w:val="00AB18A3"/>
    <w:rsid w:val="00AB1C9E"/>
    <w:rsid w:val="00AB3D0A"/>
    <w:rsid w:val="00AB3F7E"/>
    <w:rsid w:val="00AB7E66"/>
    <w:rsid w:val="00AC0D57"/>
    <w:rsid w:val="00AC1382"/>
    <w:rsid w:val="00AC235F"/>
    <w:rsid w:val="00AC2A24"/>
    <w:rsid w:val="00AC2DE3"/>
    <w:rsid w:val="00AC2FBD"/>
    <w:rsid w:val="00AC397D"/>
    <w:rsid w:val="00AC41F3"/>
    <w:rsid w:val="00AC786E"/>
    <w:rsid w:val="00AD00CD"/>
    <w:rsid w:val="00AD162A"/>
    <w:rsid w:val="00AD2102"/>
    <w:rsid w:val="00AD5851"/>
    <w:rsid w:val="00AE131B"/>
    <w:rsid w:val="00AE14E4"/>
    <w:rsid w:val="00AE5F3A"/>
    <w:rsid w:val="00AF0741"/>
    <w:rsid w:val="00AF50A9"/>
    <w:rsid w:val="00AF50AC"/>
    <w:rsid w:val="00AF725B"/>
    <w:rsid w:val="00B0027B"/>
    <w:rsid w:val="00B0057D"/>
    <w:rsid w:val="00B02024"/>
    <w:rsid w:val="00B05B20"/>
    <w:rsid w:val="00B07006"/>
    <w:rsid w:val="00B11AE9"/>
    <w:rsid w:val="00B12EC9"/>
    <w:rsid w:val="00B17037"/>
    <w:rsid w:val="00B17611"/>
    <w:rsid w:val="00B22430"/>
    <w:rsid w:val="00B22D70"/>
    <w:rsid w:val="00B22F30"/>
    <w:rsid w:val="00B239C5"/>
    <w:rsid w:val="00B23C16"/>
    <w:rsid w:val="00B241D3"/>
    <w:rsid w:val="00B25CA0"/>
    <w:rsid w:val="00B26F3A"/>
    <w:rsid w:val="00B303E2"/>
    <w:rsid w:val="00B3229A"/>
    <w:rsid w:val="00B32512"/>
    <w:rsid w:val="00B32626"/>
    <w:rsid w:val="00B330EB"/>
    <w:rsid w:val="00B356A5"/>
    <w:rsid w:val="00B3609C"/>
    <w:rsid w:val="00B533DF"/>
    <w:rsid w:val="00B53BC1"/>
    <w:rsid w:val="00B53CDF"/>
    <w:rsid w:val="00B56684"/>
    <w:rsid w:val="00B629AA"/>
    <w:rsid w:val="00B6329E"/>
    <w:rsid w:val="00B633EE"/>
    <w:rsid w:val="00B63FB4"/>
    <w:rsid w:val="00B64CC4"/>
    <w:rsid w:val="00B74BF2"/>
    <w:rsid w:val="00B75192"/>
    <w:rsid w:val="00B75C0A"/>
    <w:rsid w:val="00B75C25"/>
    <w:rsid w:val="00B77F82"/>
    <w:rsid w:val="00B81364"/>
    <w:rsid w:val="00B81F1F"/>
    <w:rsid w:val="00B82461"/>
    <w:rsid w:val="00B8268F"/>
    <w:rsid w:val="00B82CF1"/>
    <w:rsid w:val="00B83F18"/>
    <w:rsid w:val="00B8402F"/>
    <w:rsid w:val="00B85060"/>
    <w:rsid w:val="00B90E8D"/>
    <w:rsid w:val="00B91E31"/>
    <w:rsid w:val="00B9553B"/>
    <w:rsid w:val="00B955C8"/>
    <w:rsid w:val="00B97726"/>
    <w:rsid w:val="00BA2BE6"/>
    <w:rsid w:val="00BA5DC9"/>
    <w:rsid w:val="00BA6024"/>
    <w:rsid w:val="00BA7037"/>
    <w:rsid w:val="00BA7DAD"/>
    <w:rsid w:val="00BB0128"/>
    <w:rsid w:val="00BB2555"/>
    <w:rsid w:val="00BB6268"/>
    <w:rsid w:val="00BC4314"/>
    <w:rsid w:val="00BC4A41"/>
    <w:rsid w:val="00BC6D8C"/>
    <w:rsid w:val="00BD097C"/>
    <w:rsid w:val="00BD0F06"/>
    <w:rsid w:val="00BD3599"/>
    <w:rsid w:val="00BD39ED"/>
    <w:rsid w:val="00BD667F"/>
    <w:rsid w:val="00BE0C68"/>
    <w:rsid w:val="00BE2316"/>
    <w:rsid w:val="00BE23D5"/>
    <w:rsid w:val="00BE33A5"/>
    <w:rsid w:val="00BE70FF"/>
    <w:rsid w:val="00BE79F9"/>
    <w:rsid w:val="00BF0FD4"/>
    <w:rsid w:val="00BF1407"/>
    <w:rsid w:val="00BF2512"/>
    <w:rsid w:val="00BF583D"/>
    <w:rsid w:val="00BF5D25"/>
    <w:rsid w:val="00BF7B79"/>
    <w:rsid w:val="00C0079D"/>
    <w:rsid w:val="00C00E2E"/>
    <w:rsid w:val="00C0102E"/>
    <w:rsid w:val="00C05F0F"/>
    <w:rsid w:val="00C117D9"/>
    <w:rsid w:val="00C1480B"/>
    <w:rsid w:val="00C14D83"/>
    <w:rsid w:val="00C1527C"/>
    <w:rsid w:val="00C15F7E"/>
    <w:rsid w:val="00C17636"/>
    <w:rsid w:val="00C20D44"/>
    <w:rsid w:val="00C22607"/>
    <w:rsid w:val="00C22CA3"/>
    <w:rsid w:val="00C26C5A"/>
    <w:rsid w:val="00C270B6"/>
    <w:rsid w:val="00C30E16"/>
    <w:rsid w:val="00C32592"/>
    <w:rsid w:val="00C3425E"/>
    <w:rsid w:val="00C346E6"/>
    <w:rsid w:val="00C348B3"/>
    <w:rsid w:val="00C36293"/>
    <w:rsid w:val="00C37116"/>
    <w:rsid w:val="00C41707"/>
    <w:rsid w:val="00C464D8"/>
    <w:rsid w:val="00C50144"/>
    <w:rsid w:val="00C50885"/>
    <w:rsid w:val="00C50ADD"/>
    <w:rsid w:val="00C51DED"/>
    <w:rsid w:val="00C5250E"/>
    <w:rsid w:val="00C63303"/>
    <w:rsid w:val="00C70FCF"/>
    <w:rsid w:val="00C74CF6"/>
    <w:rsid w:val="00C82030"/>
    <w:rsid w:val="00C83260"/>
    <w:rsid w:val="00C83CC2"/>
    <w:rsid w:val="00C86805"/>
    <w:rsid w:val="00C878D3"/>
    <w:rsid w:val="00C901F3"/>
    <w:rsid w:val="00C9039B"/>
    <w:rsid w:val="00CA1BFF"/>
    <w:rsid w:val="00CA2AE0"/>
    <w:rsid w:val="00CA49E1"/>
    <w:rsid w:val="00CA4EAE"/>
    <w:rsid w:val="00CA684E"/>
    <w:rsid w:val="00CA6E06"/>
    <w:rsid w:val="00CB0317"/>
    <w:rsid w:val="00CB0AEC"/>
    <w:rsid w:val="00CB0D24"/>
    <w:rsid w:val="00CB4333"/>
    <w:rsid w:val="00CB48D4"/>
    <w:rsid w:val="00CB713F"/>
    <w:rsid w:val="00CC2987"/>
    <w:rsid w:val="00CC2D75"/>
    <w:rsid w:val="00CC40FA"/>
    <w:rsid w:val="00CC557C"/>
    <w:rsid w:val="00CC5587"/>
    <w:rsid w:val="00CC6F9F"/>
    <w:rsid w:val="00CD07AF"/>
    <w:rsid w:val="00CD1B49"/>
    <w:rsid w:val="00CD3FAE"/>
    <w:rsid w:val="00CD4147"/>
    <w:rsid w:val="00CD5A86"/>
    <w:rsid w:val="00CD5CE6"/>
    <w:rsid w:val="00CE00BD"/>
    <w:rsid w:val="00CE021A"/>
    <w:rsid w:val="00CE2668"/>
    <w:rsid w:val="00CE57A5"/>
    <w:rsid w:val="00CE6956"/>
    <w:rsid w:val="00CE7583"/>
    <w:rsid w:val="00CF20F6"/>
    <w:rsid w:val="00CF2B54"/>
    <w:rsid w:val="00CF2D59"/>
    <w:rsid w:val="00CF312B"/>
    <w:rsid w:val="00CF78F9"/>
    <w:rsid w:val="00CF7BCD"/>
    <w:rsid w:val="00CF7E4E"/>
    <w:rsid w:val="00D016B4"/>
    <w:rsid w:val="00D04316"/>
    <w:rsid w:val="00D05126"/>
    <w:rsid w:val="00D06023"/>
    <w:rsid w:val="00D1056E"/>
    <w:rsid w:val="00D114B6"/>
    <w:rsid w:val="00D14D2B"/>
    <w:rsid w:val="00D15517"/>
    <w:rsid w:val="00D16624"/>
    <w:rsid w:val="00D168D5"/>
    <w:rsid w:val="00D2084B"/>
    <w:rsid w:val="00D2448E"/>
    <w:rsid w:val="00D248DB"/>
    <w:rsid w:val="00D25C27"/>
    <w:rsid w:val="00D274DF"/>
    <w:rsid w:val="00D275C7"/>
    <w:rsid w:val="00D32729"/>
    <w:rsid w:val="00D33746"/>
    <w:rsid w:val="00D340CC"/>
    <w:rsid w:val="00D36786"/>
    <w:rsid w:val="00D425CA"/>
    <w:rsid w:val="00D42EA1"/>
    <w:rsid w:val="00D44B8C"/>
    <w:rsid w:val="00D45B41"/>
    <w:rsid w:val="00D45C5B"/>
    <w:rsid w:val="00D45FA1"/>
    <w:rsid w:val="00D468F1"/>
    <w:rsid w:val="00D47356"/>
    <w:rsid w:val="00D50CFD"/>
    <w:rsid w:val="00D51302"/>
    <w:rsid w:val="00D51B0B"/>
    <w:rsid w:val="00D51E9D"/>
    <w:rsid w:val="00D52270"/>
    <w:rsid w:val="00D539EB"/>
    <w:rsid w:val="00D61E96"/>
    <w:rsid w:val="00D63624"/>
    <w:rsid w:val="00D64637"/>
    <w:rsid w:val="00D70F52"/>
    <w:rsid w:val="00D7134F"/>
    <w:rsid w:val="00D7165F"/>
    <w:rsid w:val="00D71BE7"/>
    <w:rsid w:val="00D72571"/>
    <w:rsid w:val="00D72D22"/>
    <w:rsid w:val="00D73E00"/>
    <w:rsid w:val="00D758D8"/>
    <w:rsid w:val="00D822FA"/>
    <w:rsid w:val="00D82441"/>
    <w:rsid w:val="00D828C1"/>
    <w:rsid w:val="00D83694"/>
    <w:rsid w:val="00D860FD"/>
    <w:rsid w:val="00D9002F"/>
    <w:rsid w:val="00D917C5"/>
    <w:rsid w:val="00D92365"/>
    <w:rsid w:val="00D92699"/>
    <w:rsid w:val="00D92915"/>
    <w:rsid w:val="00D92BF3"/>
    <w:rsid w:val="00D939B7"/>
    <w:rsid w:val="00D95BA7"/>
    <w:rsid w:val="00D962EA"/>
    <w:rsid w:val="00D96B54"/>
    <w:rsid w:val="00D96E58"/>
    <w:rsid w:val="00D97E11"/>
    <w:rsid w:val="00DA22C7"/>
    <w:rsid w:val="00DA2663"/>
    <w:rsid w:val="00DA378F"/>
    <w:rsid w:val="00DA6AE8"/>
    <w:rsid w:val="00DA6F0E"/>
    <w:rsid w:val="00DA7975"/>
    <w:rsid w:val="00DB17F8"/>
    <w:rsid w:val="00DB1872"/>
    <w:rsid w:val="00DB22B3"/>
    <w:rsid w:val="00DB22F0"/>
    <w:rsid w:val="00DB445C"/>
    <w:rsid w:val="00DB543A"/>
    <w:rsid w:val="00DB59CC"/>
    <w:rsid w:val="00DB6153"/>
    <w:rsid w:val="00DB6462"/>
    <w:rsid w:val="00DB6DD9"/>
    <w:rsid w:val="00DB7A8A"/>
    <w:rsid w:val="00DC1119"/>
    <w:rsid w:val="00DC3CED"/>
    <w:rsid w:val="00DC5519"/>
    <w:rsid w:val="00DC551F"/>
    <w:rsid w:val="00DC57F2"/>
    <w:rsid w:val="00DC5CC8"/>
    <w:rsid w:val="00DC7568"/>
    <w:rsid w:val="00DC7AF4"/>
    <w:rsid w:val="00DD0538"/>
    <w:rsid w:val="00DD17EC"/>
    <w:rsid w:val="00DD1AA9"/>
    <w:rsid w:val="00DE1F69"/>
    <w:rsid w:val="00DE4E42"/>
    <w:rsid w:val="00DE5103"/>
    <w:rsid w:val="00DE7118"/>
    <w:rsid w:val="00DF0394"/>
    <w:rsid w:val="00DF557E"/>
    <w:rsid w:val="00DF7C3E"/>
    <w:rsid w:val="00E02CC6"/>
    <w:rsid w:val="00E035B3"/>
    <w:rsid w:val="00E043EC"/>
    <w:rsid w:val="00E06753"/>
    <w:rsid w:val="00E06BBD"/>
    <w:rsid w:val="00E06EA1"/>
    <w:rsid w:val="00E123DD"/>
    <w:rsid w:val="00E1457C"/>
    <w:rsid w:val="00E15C40"/>
    <w:rsid w:val="00E211BB"/>
    <w:rsid w:val="00E266AE"/>
    <w:rsid w:val="00E317C4"/>
    <w:rsid w:val="00E33233"/>
    <w:rsid w:val="00E33474"/>
    <w:rsid w:val="00E33E68"/>
    <w:rsid w:val="00E3756B"/>
    <w:rsid w:val="00E377DB"/>
    <w:rsid w:val="00E379B0"/>
    <w:rsid w:val="00E41418"/>
    <w:rsid w:val="00E44353"/>
    <w:rsid w:val="00E5259C"/>
    <w:rsid w:val="00E52B69"/>
    <w:rsid w:val="00E52DAA"/>
    <w:rsid w:val="00E56BA0"/>
    <w:rsid w:val="00E57ADF"/>
    <w:rsid w:val="00E67713"/>
    <w:rsid w:val="00E7198A"/>
    <w:rsid w:val="00E72266"/>
    <w:rsid w:val="00E746B8"/>
    <w:rsid w:val="00E747A7"/>
    <w:rsid w:val="00E75F36"/>
    <w:rsid w:val="00E76103"/>
    <w:rsid w:val="00E807C8"/>
    <w:rsid w:val="00E8101B"/>
    <w:rsid w:val="00E81A64"/>
    <w:rsid w:val="00E81C20"/>
    <w:rsid w:val="00E875CE"/>
    <w:rsid w:val="00E90438"/>
    <w:rsid w:val="00E90EA7"/>
    <w:rsid w:val="00E91098"/>
    <w:rsid w:val="00E97D9C"/>
    <w:rsid w:val="00EA20C0"/>
    <w:rsid w:val="00EA3C6B"/>
    <w:rsid w:val="00EA5845"/>
    <w:rsid w:val="00EB0A92"/>
    <w:rsid w:val="00EB15D3"/>
    <w:rsid w:val="00EB1AE1"/>
    <w:rsid w:val="00EB2504"/>
    <w:rsid w:val="00EB35ED"/>
    <w:rsid w:val="00EB63AE"/>
    <w:rsid w:val="00EC20EF"/>
    <w:rsid w:val="00EC2A8C"/>
    <w:rsid w:val="00EC3581"/>
    <w:rsid w:val="00EC3592"/>
    <w:rsid w:val="00EC6EB1"/>
    <w:rsid w:val="00ED08E9"/>
    <w:rsid w:val="00ED1EE8"/>
    <w:rsid w:val="00ED2214"/>
    <w:rsid w:val="00ED510F"/>
    <w:rsid w:val="00ED519E"/>
    <w:rsid w:val="00ED54C8"/>
    <w:rsid w:val="00EE0B35"/>
    <w:rsid w:val="00EE3284"/>
    <w:rsid w:val="00EE4F41"/>
    <w:rsid w:val="00EE538A"/>
    <w:rsid w:val="00EE6E2D"/>
    <w:rsid w:val="00EE6E98"/>
    <w:rsid w:val="00EF186C"/>
    <w:rsid w:val="00EF18A1"/>
    <w:rsid w:val="00EF19C4"/>
    <w:rsid w:val="00EF25BA"/>
    <w:rsid w:val="00EF3739"/>
    <w:rsid w:val="00EF55C7"/>
    <w:rsid w:val="00EF59F0"/>
    <w:rsid w:val="00EF6195"/>
    <w:rsid w:val="00F0077B"/>
    <w:rsid w:val="00F01071"/>
    <w:rsid w:val="00F01CCF"/>
    <w:rsid w:val="00F02774"/>
    <w:rsid w:val="00F04B7F"/>
    <w:rsid w:val="00F04D3B"/>
    <w:rsid w:val="00F061A8"/>
    <w:rsid w:val="00F06F45"/>
    <w:rsid w:val="00F07BFC"/>
    <w:rsid w:val="00F111A3"/>
    <w:rsid w:val="00F1147A"/>
    <w:rsid w:val="00F11CFC"/>
    <w:rsid w:val="00F12278"/>
    <w:rsid w:val="00F12636"/>
    <w:rsid w:val="00F153A1"/>
    <w:rsid w:val="00F178A8"/>
    <w:rsid w:val="00F202E1"/>
    <w:rsid w:val="00F205F9"/>
    <w:rsid w:val="00F215D1"/>
    <w:rsid w:val="00F217BB"/>
    <w:rsid w:val="00F22367"/>
    <w:rsid w:val="00F267CD"/>
    <w:rsid w:val="00F31873"/>
    <w:rsid w:val="00F3334C"/>
    <w:rsid w:val="00F3350C"/>
    <w:rsid w:val="00F34340"/>
    <w:rsid w:val="00F34B5A"/>
    <w:rsid w:val="00F34D72"/>
    <w:rsid w:val="00F358FD"/>
    <w:rsid w:val="00F36221"/>
    <w:rsid w:val="00F4033C"/>
    <w:rsid w:val="00F44116"/>
    <w:rsid w:val="00F444AA"/>
    <w:rsid w:val="00F44525"/>
    <w:rsid w:val="00F451EE"/>
    <w:rsid w:val="00F459CA"/>
    <w:rsid w:val="00F476B8"/>
    <w:rsid w:val="00F554E0"/>
    <w:rsid w:val="00F55A80"/>
    <w:rsid w:val="00F56432"/>
    <w:rsid w:val="00F609BC"/>
    <w:rsid w:val="00F61C83"/>
    <w:rsid w:val="00F61F82"/>
    <w:rsid w:val="00F65E9B"/>
    <w:rsid w:val="00F668BC"/>
    <w:rsid w:val="00F66DB5"/>
    <w:rsid w:val="00F704FF"/>
    <w:rsid w:val="00F73E49"/>
    <w:rsid w:val="00F74733"/>
    <w:rsid w:val="00F75BD7"/>
    <w:rsid w:val="00F77125"/>
    <w:rsid w:val="00F80D78"/>
    <w:rsid w:val="00F82F8C"/>
    <w:rsid w:val="00F838AB"/>
    <w:rsid w:val="00F8465E"/>
    <w:rsid w:val="00F84F0B"/>
    <w:rsid w:val="00F856F9"/>
    <w:rsid w:val="00F867D6"/>
    <w:rsid w:val="00F87486"/>
    <w:rsid w:val="00F9223D"/>
    <w:rsid w:val="00F97C9F"/>
    <w:rsid w:val="00FA2694"/>
    <w:rsid w:val="00FA2756"/>
    <w:rsid w:val="00FA3732"/>
    <w:rsid w:val="00FA4413"/>
    <w:rsid w:val="00FA46C5"/>
    <w:rsid w:val="00FA4FA2"/>
    <w:rsid w:val="00FA6241"/>
    <w:rsid w:val="00FA7499"/>
    <w:rsid w:val="00FA777A"/>
    <w:rsid w:val="00FB1080"/>
    <w:rsid w:val="00FB269B"/>
    <w:rsid w:val="00FB4197"/>
    <w:rsid w:val="00FB4708"/>
    <w:rsid w:val="00FB6D77"/>
    <w:rsid w:val="00FB7D9A"/>
    <w:rsid w:val="00FC0CCD"/>
    <w:rsid w:val="00FC0D4C"/>
    <w:rsid w:val="00FC3E93"/>
    <w:rsid w:val="00FC69CE"/>
    <w:rsid w:val="00FC78F3"/>
    <w:rsid w:val="00FC79CC"/>
    <w:rsid w:val="00FD242A"/>
    <w:rsid w:val="00FD2B78"/>
    <w:rsid w:val="00FD370B"/>
    <w:rsid w:val="00FD5A3D"/>
    <w:rsid w:val="00FE06FB"/>
    <w:rsid w:val="00FE149E"/>
    <w:rsid w:val="00FE165B"/>
    <w:rsid w:val="00FE2FBD"/>
    <w:rsid w:val="00FE5E7B"/>
    <w:rsid w:val="00FE5F09"/>
    <w:rsid w:val="00FE6157"/>
    <w:rsid w:val="00FE6A4B"/>
    <w:rsid w:val="00FE6C57"/>
    <w:rsid w:val="00FF1172"/>
    <w:rsid w:val="00FF42D5"/>
    <w:rsid w:val="00FF733F"/>
    <w:rsid w:val="00FF7B8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98"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1" w:unhideWhenUsed="0"/>
    <w:lsdException w:name="heading 7" w:uiPriority="1"/>
    <w:lsdException w:name="heading 8" w:uiPriority="1"/>
    <w:lsdException w:name="heading 9" w:uiPriority="1"/>
    <w:lsdException w:name="index 1" w:uiPriority="97"/>
    <w:lsdException w:name="index 2" w:uiPriority="97"/>
    <w:lsdException w:name="index 3" w:uiPriority="97"/>
    <w:lsdException w:name="index 4" w:uiPriority="97"/>
    <w:lsdException w:name="index 5" w:uiPriority="97"/>
    <w:lsdException w:name="index 6" w:uiPriority="97"/>
    <w:lsdException w:name="index 7" w:uiPriority="97"/>
    <w:lsdException w:name="index 8" w:uiPriority="97"/>
    <w:lsdException w:name="index 9" w:uiPriority="97"/>
    <w:lsdException w:name="toc 1" w:uiPriority="39"/>
    <w:lsdException w:name="toc 2" w:uiPriority="39"/>
    <w:lsdException w:name="toc 3" w:uiPriority="39"/>
    <w:lsdException w:name="toc 4" w:uiPriority="39"/>
    <w:lsdException w:name="toc 5" w:uiPriority="97"/>
    <w:lsdException w:name="toc 6" w:uiPriority="97"/>
    <w:lsdException w:name="toc 7" w:uiPriority="97"/>
    <w:lsdException w:name="toc 8" w:uiPriority="97"/>
    <w:lsdException w:name="toc 9" w:uiPriority="97"/>
    <w:lsdException w:name="Normal Indent" w:uiPriority="97"/>
    <w:lsdException w:name="footnote text" w:uiPriority="99"/>
    <w:lsdException w:name="annotation text" w:uiPriority="99"/>
    <w:lsdException w:name="header" w:uiPriority="99"/>
    <w:lsdException w:name="footer" w:uiPriority="99"/>
    <w:lsdException w:name="index heading" w:uiPriority="97"/>
    <w:lsdException w:name="caption" w:uiPriority="11" w:qFormat="1"/>
    <w:lsdException w:name="table of figures" w:uiPriority="97"/>
    <w:lsdException w:name="envelope address" w:uiPriority="97"/>
    <w:lsdException w:name="envelope return" w:uiPriority="97"/>
    <w:lsdException w:name="footnote reference" w:uiPriority="99"/>
    <w:lsdException w:name="annotation reference" w:uiPriority="99"/>
    <w:lsdException w:name="line number" w:uiPriority="97"/>
    <w:lsdException w:name="page number" w:uiPriority="11"/>
    <w:lsdException w:name="endnote reference" w:uiPriority="97"/>
    <w:lsdException w:name="endnote text" w:uiPriority="97"/>
    <w:lsdException w:name="table of authorities" w:uiPriority="97"/>
    <w:lsdException w:name="macro" w:uiPriority="97"/>
    <w:lsdException w:name="toa heading" w:uiPriority="97"/>
    <w:lsdException w:name="List" w:uiPriority="4"/>
    <w:lsdException w:name="List Bullet" w:uiPriority="2" w:qFormat="1"/>
    <w:lsdException w:name="List Number" w:semiHidden="0" w:uiPriority="3" w:unhideWhenUsed="0" w:qFormat="1"/>
    <w:lsdException w:name="List 2" w:uiPriority="4"/>
    <w:lsdException w:name="List 3" w:uiPriority="4"/>
    <w:lsdException w:name="List 4" w:semiHidden="0" w:uiPriority="4" w:unhideWhenUsed="0"/>
    <w:lsdException w:name="List 5" w:uiPriority="4" w:unhideWhenUsed="0"/>
    <w:lsdException w:name="List Bullet 2" w:uiPriority="2" w:qFormat="1"/>
    <w:lsdException w:name="List Bullet 3" w:uiPriority="2" w:qFormat="1"/>
    <w:lsdException w:name="List Bullet 4" w:uiPriority="2"/>
    <w:lsdException w:name="List Bullet 5" w:uiPriority="2"/>
    <w:lsdException w:name="List Number 2" w:uiPriority="3" w:qFormat="1"/>
    <w:lsdException w:name="List Number 3" w:uiPriority="3"/>
    <w:lsdException w:name="List Number 4" w:uiPriority="3"/>
    <w:lsdException w:name="List Number 5" w:uiPriority="3"/>
    <w:lsdException w:name="Title" w:semiHidden="0" w:uiPriority="97" w:unhideWhenUsed="0"/>
    <w:lsdException w:name="Closing" w:uiPriority="97"/>
    <w:lsdException w:name="Signature" w:uiPriority="97"/>
    <w:lsdException w:name="Default Paragraph Font" w:uiPriority="1"/>
    <w:lsdException w:name="Body Text" w:uiPriority="97"/>
    <w:lsdException w:name="Body Text Indent" w:uiPriority="97"/>
    <w:lsdException w:name="List Continue" w:uiPriority="18"/>
    <w:lsdException w:name="List Continue 2" w:uiPriority="18"/>
    <w:lsdException w:name="List Continue 3" w:uiPriority="18"/>
    <w:lsdException w:name="List Continue 4" w:uiPriority="18"/>
    <w:lsdException w:name="List Continue 5" w:uiPriority="18"/>
    <w:lsdException w:name="Message Header" w:uiPriority="97"/>
    <w:lsdException w:name="Subtitle" w:semiHidden="0" w:uiPriority="11" w:unhideWhenUsed="0" w:qFormat="1"/>
    <w:lsdException w:name="Salutation" w:semiHidden="0" w:uiPriority="97" w:unhideWhenUsed="0"/>
    <w:lsdException w:name="Date" w:semiHidden="0" w:uiPriority="97" w:unhideWhenUsed="0"/>
    <w:lsdException w:name="Body Text First Indent" w:semiHidden="0" w:uiPriority="97" w:unhideWhenUsed="0"/>
    <w:lsdException w:name="Body Text First Indent 2" w:uiPriority="97"/>
    <w:lsdException w:name="Note Heading" w:uiPriority="97"/>
    <w:lsdException w:name="Body Text 2" w:uiPriority="97"/>
    <w:lsdException w:name="Body Text 3" w:uiPriority="97"/>
    <w:lsdException w:name="Body Text Indent 2" w:uiPriority="97"/>
    <w:lsdException w:name="Body Text Indent 3" w:uiPriority="97"/>
    <w:lsdException w:name="Block Text" w:uiPriority="97"/>
    <w:lsdException w:name="Hyperlink" w:uiPriority="99"/>
    <w:lsdException w:name="FollowedHyperlink" w:uiPriority="99"/>
    <w:lsdException w:name="Strong" w:semiHidden="0" w:uiPriority="22" w:unhideWhenUsed="0" w:qFormat="1"/>
    <w:lsdException w:name="Emphasis" w:semiHidden="0" w:uiPriority="20" w:unhideWhenUsed="0" w:qFormat="1"/>
    <w:lsdException w:name="Document Map" w:uiPriority="97"/>
    <w:lsdException w:name="Plain Text" w:uiPriority="97"/>
    <w:lsdException w:name="E-mail Signature" w:uiPriority="97"/>
    <w:lsdException w:name="HTML Top of Form" w:uiPriority="0"/>
    <w:lsdException w:name="HTML Bottom of Form" w:uiPriority="0"/>
    <w:lsdException w:name="Normal (Web)" w:uiPriority="99"/>
    <w:lsdException w:name="HTML Acronym" w:uiPriority="97"/>
    <w:lsdException w:name="HTML Address" w:uiPriority="97"/>
    <w:lsdException w:name="HTML Cite" w:uiPriority="97"/>
    <w:lsdException w:name="HTML Code" w:uiPriority="97"/>
    <w:lsdException w:name="HTML Definition" w:uiPriority="97"/>
    <w:lsdException w:name="HTML Keyboard" w:uiPriority="97"/>
    <w:lsdException w:name="HTML Preformatted" w:uiPriority="97"/>
    <w:lsdException w:name="HTML Sample" w:uiPriority="97"/>
    <w:lsdException w:name="HTML Typewriter" w:uiPriority="97"/>
    <w:lsdException w:name="HTML Variable" w:uiPriority="97"/>
    <w:lsdException w:name="annotation subject" w:uiPriority="99"/>
    <w:lsdException w:name="No List" w:uiPriority="99"/>
    <w:lsdException w:name="Outline List 1" w:uiPriority="97"/>
    <w:lsdException w:name="Outline List 2" w:uiPriority="97"/>
    <w:lsdException w:name="Outline List 3" w:uiPriority="97"/>
    <w:lsdException w:name="Balloon Text" w:uiPriority="99"/>
    <w:lsdException w:name="Table Grid" w:uiPriority="59"/>
    <w:lsdException w:name="Placeholder Text" w:uiPriority="99" w:unhideWhenUsed="0"/>
    <w:lsdException w:name="No Spacing" w:semiHidden="0" w:uiPriority="97"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iPriority="99" w:unhideWhenUsed="0"/>
    <w:lsdException w:name="List Paragraph" w:semiHidden="0" w:uiPriority="34" w:unhideWhenUsed="0" w:qFormat="1"/>
    <w:lsdException w:name="Quote" w:semiHidden="0" w:uiPriority="97" w:unhideWhenUsed="0" w:qFormat="1"/>
    <w:lsdException w:name="Intense Quote" w:semiHidden="0" w:uiPriority="97"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97" w:unhideWhenUsed="0"/>
    <w:lsdException w:name="Intense Emphasis" w:semiHidden="0" w:uiPriority="97" w:unhideWhenUsed="0"/>
    <w:lsdException w:name="Subtle Reference" w:semiHidden="0" w:uiPriority="97" w:unhideWhenUsed="0"/>
    <w:lsdException w:name="Intense Reference" w:semiHidden="0" w:uiPriority="97" w:unhideWhenUsed="0"/>
    <w:lsdException w:name="Book Title" w:semiHidden="0" w:uiPriority="97" w:unhideWhenUsed="0"/>
    <w:lsdException w:name="Bibliography" w:uiPriority="97"/>
    <w:lsdException w:name="TOC Heading" w:uiPriority="39" w:qFormat="1"/>
  </w:latentStyles>
  <w:style w:type="paragraph" w:default="1" w:styleId="Normal">
    <w:name w:val="Normal"/>
    <w:qFormat/>
    <w:rsid w:val="00025830"/>
    <w:pPr>
      <w:spacing w:before="120" w:after="120" w:line="240" w:lineRule="atLeast"/>
      <w:jc w:val="both"/>
    </w:pPr>
    <w:rPr>
      <w:rFonts w:eastAsiaTheme="minorEastAsia"/>
      <w:sz w:val="24"/>
      <w:szCs w:val="24"/>
      <w:lang w:val="en-US" w:eastAsia="zh-CN"/>
    </w:rPr>
  </w:style>
  <w:style w:type="paragraph" w:styleId="Heading1">
    <w:name w:val="heading 1"/>
    <w:basedOn w:val="Normal"/>
    <w:next w:val="Normal"/>
    <w:link w:val="Heading1Char"/>
    <w:uiPriority w:val="9"/>
    <w:qFormat/>
    <w:rsid w:val="00D51302"/>
    <w:pPr>
      <w:keepNext/>
      <w:tabs>
        <w:tab w:val="left" w:pos="1077"/>
      </w:tabs>
      <w:spacing w:before="113" w:after="260" w:line="520" w:lineRule="atLeast"/>
      <w:outlineLvl w:val="0"/>
    </w:pPr>
    <w:rPr>
      <w:rFonts w:cstheme="majorHAnsi"/>
      <w:bCs/>
      <w:kern w:val="32"/>
      <w:sz w:val="40"/>
      <w:szCs w:val="32"/>
    </w:rPr>
  </w:style>
  <w:style w:type="paragraph" w:styleId="Heading2">
    <w:name w:val="heading 2"/>
    <w:basedOn w:val="Normal"/>
    <w:next w:val="Normal"/>
    <w:link w:val="Heading2Char"/>
    <w:uiPriority w:val="9"/>
    <w:qFormat/>
    <w:rsid w:val="009629FA"/>
    <w:pPr>
      <w:keepNext/>
      <w:spacing w:before="260" w:line="380" w:lineRule="atLeast"/>
      <w:outlineLvl w:val="1"/>
    </w:pPr>
    <w:rPr>
      <w:rFonts w:ascii="Arial" w:hAnsi="Arial" w:cstheme="majorHAnsi"/>
      <w:bCs/>
      <w:iCs/>
      <w:sz w:val="28"/>
      <w:szCs w:val="28"/>
    </w:rPr>
  </w:style>
  <w:style w:type="paragraph" w:styleId="Heading3">
    <w:name w:val="heading 3"/>
    <w:basedOn w:val="Normal"/>
    <w:next w:val="Normal"/>
    <w:link w:val="Heading3Char"/>
    <w:uiPriority w:val="9"/>
    <w:qFormat/>
    <w:rsid w:val="009B16B2"/>
    <w:pPr>
      <w:keepNext/>
      <w:spacing w:before="260" w:line="300" w:lineRule="atLeast"/>
      <w:outlineLvl w:val="2"/>
    </w:pPr>
    <w:rPr>
      <w:rFonts w:ascii="Arial" w:hAnsi="Arial" w:cstheme="majorHAnsi"/>
      <w:bCs/>
      <w:szCs w:val="26"/>
    </w:rPr>
  </w:style>
  <w:style w:type="paragraph" w:styleId="Heading4">
    <w:name w:val="heading 4"/>
    <w:basedOn w:val="Normal"/>
    <w:next w:val="Normal"/>
    <w:link w:val="Heading4Char"/>
    <w:uiPriority w:val="9"/>
    <w:qFormat/>
    <w:rsid w:val="009629FA"/>
    <w:pPr>
      <w:keepNext/>
      <w:spacing w:before="260"/>
      <w:outlineLvl w:val="3"/>
    </w:pPr>
    <w:rPr>
      <w:rFonts w:ascii="Arial" w:hAnsi="Arial" w:cstheme="majorHAnsi"/>
      <w:bCs/>
      <w:szCs w:val="28"/>
    </w:rPr>
  </w:style>
  <w:style w:type="paragraph" w:styleId="Heading5">
    <w:name w:val="heading 5"/>
    <w:basedOn w:val="Normal"/>
    <w:next w:val="Normal"/>
    <w:link w:val="Heading5Char"/>
    <w:uiPriority w:val="9"/>
    <w:qFormat/>
    <w:rsid w:val="009629FA"/>
    <w:pPr>
      <w:spacing w:before="240" w:after="60"/>
      <w:outlineLvl w:val="4"/>
    </w:pPr>
    <w:rPr>
      <w:rFonts w:asciiTheme="majorHAnsi" w:hAnsiTheme="majorHAnsi" w:cstheme="majorHAnsi"/>
      <w:b/>
      <w:bCs/>
      <w:i/>
      <w:iCs/>
      <w:sz w:val="16"/>
      <w:szCs w:val="26"/>
    </w:rPr>
  </w:style>
  <w:style w:type="paragraph" w:styleId="Heading6">
    <w:name w:val="heading 6"/>
    <w:basedOn w:val="Normal"/>
    <w:next w:val="Normal"/>
    <w:uiPriority w:val="1"/>
    <w:semiHidden/>
    <w:rsid w:val="009629FA"/>
    <w:pPr>
      <w:spacing w:before="240" w:after="60"/>
      <w:outlineLvl w:val="5"/>
    </w:pPr>
    <w:rPr>
      <w:rFonts w:asciiTheme="majorHAnsi" w:hAnsiTheme="majorHAnsi" w:cstheme="majorHAnsi"/>
      <w:b/>
      <w:bCs/>
      <w:sz w:val="16"/>
      <w:szCs w:val="22"/>
    </w:rPr>
  </w:style>
  <w:style w:type="paragraph" w:styleId="Heading7">
    <w:name w:val="heading 7"/>
    <w:basedOn w:val="Normal"/>
    <w:next w:val="Normal"/>
    <w:uiPriority w:val="1"/>
    <w:semiHidden/>
    <w:rsid w:val="009629FA"/>
    <w:pPr>
      <w:spacing w:before="240" w:after="60"/>
      <w:outlineLvl w:val="6"/>
    </w:pPr>
    <w:rPr>
      <w:rFonts w:asciiTheme="majorHAnsi" w:hAnsiTheme="majorHAnsi" w:cstheme="majorHAnsi"/>
    </w:rPr>
  </w:style>
  <w:style w:type="paragraph" w:styleId="Heading8">
    <w:name w:val="heading 8"/>
    <w:basedOn w:val="Normal"/>
    <w:next w:val="Normal"/>
    <w:uiPriority w:val="1"/>
    <w:semiHidden/>
    <w:rsid w:val="009629FA"/>
    <w:pPr>
      <w:spacing w:before="240" w:after="60"/>
      <w:outlineLvl w:val="7"/>
    </w:pPr>
    <w:rPr>
      <w:rFonts w:asciiTheme="majorHAnsi" w:hAnsiTheme="majorHAnsi" w:cstheme="majorHAnsi"/>
      <w:i/>
      <w:iCs/>
    </w:rPr>
  </w:style>
  <w:style w:type="paragraph" w:styleId="Heading9">
    <w:name w:val="heading 9"/>
    <w:basedOn w:val="Normal"/>
    <w:next w:val="Normal"/>
    <w:uiPriority w:val="1"/>
    <w:semiHidden/>
    <w:rsid w:val="009629FA"/>
    <w:pPr>
      <w:spacing w:before="240" w:after="60"/>
      <w:outlineLvl w:val="8"/>
    </w:pPr>
    <w:rPr>
      <w:rFonts w:asciiTheme="majorHAnsi" w:hAnsiTheme="majorHAnsi" w:cstheme="majorHAns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7"/>
    <w:qFormat/>
    <w:rsid w:val="009629FA"/>
    <w:pPr>
      <w:spacing w:before="170"/>
    </w:pPr>
    <w:rPr>
      <w:bCs/>
      <w:kern w:val="60"/>
      <w:sz w:val="14"/>
    </w:rPr>
  </w:style>
  <w:style w:type="paragraph" w:styleId="TOC1">
    <w:name w:val="toc 1"/>
    <w:basedOn w:val="Normal"/>
    <w:next w:val="Normal"/>
    <w:uiPriority w:val="39"/>
    <w:rsid w:val="009629FA"/>
    <w:pPr>
      <w:tabs>
        <w:tab w:val="right" w:leader="underscore" w:pos="9639"/>
      </w:tabs>
      <w:spacing w:before="200" w:line="380" w:lineRule="atLeast"/>
    </w:pPr>
  </w:style>
  <w:style w:type="table" w:customStyle="1" w:styleId="TableSFI">
    <w:name w:val="Table_SFI"/>
    <w:basedOn w:val="TableNormal"/>
    <w:uiPriority w:val="99"/>
    <w:rsid w:val="00844235"/>
    <w:rPr>
      <w:rFonts w:asciiTheme="minorHAnsi" w:hAnsiTheme="minorHAnsi"/>
    </w:rPr>
    <w:tblPr>
      <w:tblStyleRowBandSize w:val="1"/>
      <w:tblBorders>
        <w:top w:val="single" w:sz="4" w:space="0" w:color="004E5C" w:themeColor="text2"/>
        <w:bottom w:val="single" w:sz="4" w:space="0" w:color="004E5C" w:themeColor="text2"/>
        <w:insideH w:val="single" w:sz="4" w:space="0" w:color="004E5C" w:themeColor="text2"/>
        <w:insideV w:val="single" w:sz="4" w:space="0" w:color="004E5C" w:themeColor="text2"/>
      </w:tblBorders>
      <w:tblCellMar>
        <w:top w:w="11" w:type="dxa"/>
        <w:bottom w:w="11" w:type="dxa"/>
      </w:tblCellMar>
    </w:tblPr>
    <w:tblStylePr w:type="firstRow">
      <w:rPr>
        <w:rFonts w:asciiTheme="majorHAnsi" w:hAnsiTheme="majorHAnsi"/>
        <w:b w:val="0"/>
        <w:i w:val="0"/>
        <w:color w:val="auto"/>
        <w:sz w:val="24"/>
      </w:rPr>
      <w:tblPr/>
      <w:tcPr>
        <w:tcBorders>
          <w:top w:val="nil"/>
          <w:left w:val="nil"/>
          <w:bottom w:val="nil"/>
          <w:right w:val="nil"/>
          <w:insideH w:val="nil"/>
          <w:insideV w:val="nil"/>
          <w:tl2br w:val="nil"/>
          <w:tr2bl w:val="nil"/>
        </w:tcBorders>
        <w:shd w:val="clear" w:color="auto" w:fill="004E5C" w:themeFill="text2"/>
      </w:tcPr>
    </w:tblStylePr>
    <w:tblStylePr w:type="firstCol">
      <w:rPr>
        <w:rFonts w:asciiTheme="minorHAnsi" w:hAnsiTheme="minorHAnsi"/>
        <w:b w:val="0"/>
        <w:i w:val="0"/>
      </w:rPr>
    </w:tblStylePr>
    <w:tblStylePr w:type="band2Horz">
      <w:tblPr/>
      <w:tcPr>
        <w:shd w:val="clear" w:color="auto" w:fill="E6F1EE"/>
      </w:tcPr>
    </w:tblStylePr>
  </w:style>
  <w:style w:type="paragraph" w:styleId="Header">
    <w:name w:val="header"/>
    <w:basedOn w:val="Normal"/>
    <w:link w:val="HeaderChar"/>
    <w:uiPriority w:val="99"/>
    <w:rsid w:val="009629FA"/>
    <w:pPr>
      <w:tabs>
        <w:tab w:val="center" w:pos="4153"/>
        <w:tab w:val="right" w:pos="8306"/>
      </w:tabs>
      <w:spacing w:after="0" w:line="240" w:lineRule="auto"/>
    </w:pPr>
    <w:rPr>
      <w:caps/>
      <w:kern w:val="60"/>
      <w:sz w:val="13"/>
    </w:rPr>
  </w:style>
  <w:style w:type="paragraph" w:styleId="Footer">
    <w:name w:val="footer"/>
    <w:basedOn w:val="Normal"/>
    <w:link w:val="FooterChar"/>
    <w:uiPriority w:val="99"/>
    <w:rsid w:val="009629FA"/>
    <w:pPr>
      <w:spacing w:after="0" w:line="200" w:lineRule="atLeast"/>
    </w:pPr>
    <w:rPr>
      <w:rFonts w:ascii="Calibri" w:hAnsi="Calibri"/>
      <w:caps/>
      <w:color w:val="FFFFFF" w:themeColor="background2"/>
      <w:sz w:val="19"/>
    </w:rPr>
  </w:style>
  <w:style w:type="character" w:styleId="PageNumber">
    <w:name w:val="page number"/>
    <w:basedOn w:val="DefaultParagraphFont"/>
    <w:uiPriority w:val="9"/>
    <w:rsid w:val="00D51302"/>
    <w:rPr>
      <w:rFonts w:ascii="Arial" w:hAnsi="Arial" w:cstheme="minorHAnsi"/>
      <w:color w:val="004E5C" w:themeColor="text2"/>
      <w:sz w:val="20"/>
    </w:rPr>
  </w:style>
  <w:style w:type="table" w:styleId="TableGrid">
    <w:name w:val="Table Grid"/>
    <w:basedOn w:val="TableNormal"/>
    <w:uiPriority w:val="59"/>
    <w:rsid w:val="009629FA"/>
    <w:pPr>
      <w:adjustRightInd w:val="0"/>
      <w:snapToGrid w:val="0"/>
    </w:pPr>
    <w:rPr>
      <w:sz w:val="17"/>
    </w:rPr>
    <w:tblPr>
      <w:tblCellMar>
        <w:left w:w="0" w:type="dxa"/>
        <w:right w:w="0" w:type="dxa"/>
      </w:tblCellMar>
    </w:tblPr>
    <w:tcPr>
      <w:tcMar>
        <w:top w:w="57" w:type="dxa"/>
        <w:left w:w="57" w:type="dxa"/>
        <w:bottom w:w="57" w:type="dxa"/>
        <w:right w:w="57" w:type="dxa"/>
      </w:tcMar>
    </w:tcPr>
    <w:tblStylePr w:type="firstRow">
      <w:rPr>
        <w:rFonts w:asciiTheme="majorHAnsi" w:hAnsiTheme="majorHAnsi" w:cstheme="majorHAnsi"/>
      </w:rPr>
    </w:tblStylePr>
  </w:style>
  <w:style w:type="paragraph" w:styleId="ListBullet">
    <w:name w:val="List Bullet"/>
    <w:basedOn w:val="Normal"/>
    <w:uiPriority w:val="3"/>
    <w:qFormat/>
    <w:rsid w:val="00EC2A8C"/>
    <w:pPr>
      <w:numPr>
        <w:numId w:val="16"/>
      </w:numPr>
    </w:pPr>
  </w:style>
  <w:style w:type="paragraph" w:customStyle="1" w:styleId="CoverHeading">
    <w:name w:val="Cover Heading"/>
    <w:basedOn w:val="Normal"/>
    <w:next w:val="Normal"/>
    <w:uiPriority w:val="11"/>
    <w:qFormat/>
    <w:rsid w:val="00F444AA"/>
    <w:pPr>
      <w:spacing w:before="113" w:after="260" w:line="520" w:lineRule="atLeast"/>
      <w:contextualSpacing/>
    </w:pPr>
    <w:rPr>
      <w:rFonts w:eastAsia="Times New Roman" w:cstheme="majorHAnsi"/>
      <w:bCs/>
      <w:kern w:val="32"/>
      <w:sz w:val="40"/>
      <w:szCs w:val="38"/>
      <w:lang w:eastAsia="en-US"/>
    </w:rPr>
  </w:style>
  <w:style w:type="paragraph" w:customStyle="1" w:styleId="CoverSubheading">
    <w:name w:val="Cover Subheading"/>
    <w:basedOn w:val="Normal"/>
    <w:uiPriority w:val="11"/>
    <w:qFormat/>
    <w:rsid w:val="00C51DED"/>
    <w:pPr>
      <w:spacing w:after="170" w:line="380" w:lineRule="atLeast"/>
    </w:pPr>
    <w:rPr>
      <w:rFonts w:cstheme="minorHAnsi"/>
    </w:rPr>
  </w:style>
  <w:style w:type="paragraph" w:customStyle="1" w:styleId="TableBullet">
    <w:name w:val="Table Bullet"/>
    <w:basedOn w:val="TableText"/>
    <w:uiPriority w:val="6"/>
    <w:qFormat/>
    <w:rsid w:val="009629FA"/>
    <w:pPr>
      <w:numPr>
        <w:numId w:val="13"/>
      </w:numPr>
      <w:adjustRightInd w:val="0"/>
      <w:snapToGrid w:val="0"/>
    </w:pPr>
  </w:style>
  <w:style w:type="paragraph" w:customStyle="1" w:styleId="TableText">
    <w:name w:val="Table Text"/>
    <w:basedOn w:val="Normal"/>
    <w:uiPriority w:val="6"/>
    <w:qFormat/>
    <w:rsid w:val="009629FA"/>
    <w:pPr>
      <w:spacing w:before="60" w:after="60" w:line="240" w:lineRule="auto"/>
    </w:pPr>
    <w:rPr>
      <w:rFonts w:eastAsia="Times New Roman"/>
      <w:spacing w:val="-3"/>
      <w:szCs w:val="19"/>
      <w:lang w:eastAsia="en-AU"/>
    </w:rPr>
  </w:style>
  <w:style w:type="paragraph" w:styleId="FootnoteText">
    <w:name w:val="footnote text"/>
    <w:basedOn w:val="Normal"/>
    <w:link w:val="FootnoteTextChar"/>
    <w:uiPriority w:val="99"/>
    <w:semiHidden/>
    <w:rsid w:val="009629FA"/>
    <w:pPr>
      <w:tabs>
        <w:tab w:val="left" w:pos="320"/>
      </w:tabs>
      <w:spacing w:after="60" w:line="220" w:lineRule="atLeast"/>
      <w:ind w:left="318" w:hanging="318"/>
    </w:pPr>
    <w:rPr>
      <w:rFonts w:eastAsia="Times New Roman"/>
      <w:spacing w:val="-3"/>
      <w:sz w:val="16"/>
      <w:szCs w:val="16"/>
      <w:lang w:eastAsia="en-AU"/>
    </w:rPr>
  </w:style>
  <w:style w:type="character" w:customStyle="1" w:styleId="FootnoteTextChar">
    <w:name w:val="Footnote Text Char"/>
    <w:basedOn w:val="DefaultParagraphFont"/>
    <w:link w:val="FootnoteText"/>
    <w:uiPriority w:val="99"/>
    <w:semiHidden/>
    <w:rsid w:val="009629FA"/>
    <w:rPr>
      <w:rFonts w:asciiTheme="minorHAnsi" w:eastAsia="Times New Roman" w:hAnsiTheme="minorHAnsi"/>
      <w:color w:val="000000" w:themeColor="text1"/>
      <w:spacing w:val="-3"/>
      <w:sz w:val="16"/>
      <w:szCs w:val="16"/>
      <w:lang w:val="en-AU" w:eastAsia="en-AU"/>
    </w:rPr>
  </w:style>
  <w:style w:type="paragraph" w:customStyle="1" w:styleId="Source">
    <w:name w:val="Source"/>
    <w:uiPriority w:val="97"/>
    <w:semiHidden/>
    <w:qFormat/>
    <w:rsid w:val="009629FA"/>
    <w:pPr>
      <w:numPr>
        <w:numId w:val="12"/>
      </w:numPr>
    </w:pPr>
    <w:rPr>
      <w:rFonts w:asciiTheme="minorHAnsi" w:eastAsia="Times New Roman" w:hAnsiTheme="minorHAnsi" w:cstheme="minorHAnsi"/>
      <w:spacing w:val="-3"/>
      <w:sz w:val="16"/>
      <w:szCs w:val="14"/>
      <w:lang w:val="en-AU" w:eastAsia="en-AU"/>
    </w:rPr>
  </w:style>
  <w:style w:type="numbering" w:styleId="111111">
    <w:name w:val="Outline List 2"/>
    <w:basedOn w:val="NoList"/>
    <w:uiPriority w:val="97"/>
    <w:semiHidden/>
    <w:rsid w:val="009629FA"/>
    <w:pPr>
      <w:numPr>
        <w:numId w:val="1"/>
      </w:numPr>
    </w:pPr>
  </w:style>
  <w:style w:type="numbering" w:styleId="1ai">
    <w:name w:val="Outline List 1"/>
    <w:basedOn w:val="NoList"/>
    <w:uiPriority w:val="97"/>
    <w:semiHidden/>
    <w:rsid w:val="009629FA"/>
    <w:pPr>
      <w:numPr>
        <w:numId w:val="2"/>
      </w:numPr>
    </w:pPr>
  </w:style>
  <w:style w:type="numbering" w:styleId="ArticleSection">
    <w:name w:val="Outline List 3"/>
    <w:basedOn w:val="NoList"/>
    <w:uiPriority w:val="97"/>
    <w:semiHidden/>
    <w:rsid w:val="009629FA"/>
    <w:pPr>
      <w:numPr>
        <w:numId w:val="3"/>
      </w:numPr>
    </w:pPr>
  </w:style>
  <w:style w:type="paragraph" w:styleId="BalloonText">
    <w:name w:val="Balloon Text"/>
    <w:basedOn w:val="Normal"/>
    <w:link w:val="BalloonTextChar"/>
    <w:uiPriority w:val="99"/>
    <w:semiHidden/>
    <w:rsid w:val="009629FA"/>
    <w:pPr>
      <w:spacing w:after="0" w:line="240" w:lineRule="auto"/>
    </w:pPr>
    <w:rPr>
      <w:sz w:val="16"/>
      <w:szCs w:val="16"/>
    </w:rPr>
  </w:style>
  <w:style w:type="character" w:customStyle="1" w:styleId="BalloonTextChar">
    <w:name w:val="Balloon Text Char"/>
    <w:basedOn w:val="DefaultParagraphFont"/>
    <w:link w:val="BalloonText"/>
    <w:uiPriority w:val="99"/>
    <w:semiHidden/>
    <w:rsid w:val="009629FA"/>
    <w:rPr>
      <w:rFonts w:asciiTheme="minorHAnsi" w:eastAsia="MS Mincho" w:hAnsiTheme="minorHAnsi"/>
      <w:color w:val="000000" w:themeColor="text1"/>
      <w:sz w:val="16"/>
      <w:szCs w:val="16"/>
      <w:lang w:val="en-AU" w:eastAsia="ja-JP"/>
    </w:rPr>
  </w:style>
  <w:style w:type="paragraph" w:styleId="Bibliography">
    <w:name w:val="Bibliography"/>
    <w:basedOn w:val="Normal"/>
    <w:next w:val="Normal"/>
    <w:uiPriority w:val="97"/>
    <w:semiHidden/>
    <w:unhideWhenUsed/>
    <w:rsid w:val="009629FA"/>
  </w:style>
  <w:style w:type="paragraph" w:styleId="BlockText">
    <w:name w:val="Block Text"/>
    <w:basedOn w:val="Normal"/>
    <w:uiPriority w:val="97"/>
    <w:semiHidden/>
    <w:rsid w:val="009629FA"/>
    <w:pPr>
      <w:pBdr>
        <w:top w:val="single" w:sz="2" w:space="10" w:color="6CBBA8" w:themeColor="accent1" w:shadow="1" w:frame="1"/>
        <w:left w:val="single" w:sz="2" w:space="10" w:color="6CBBA8" w:themeColor="accent1" w:shadow="1" w:frame="1"/>
        <w:bottom w:val="single" w:sz="2" w:space="10" w:color="6CBBA8" w:themeColor="accent1" w:shadow="1" w:frame="1"/>
        <w:right w:val="single" w:sz="2" w:space="10" w:color="6CBBA8" w:themeColor="accent1" w:shadow="1" w:frame="1"/>
      </w:pBdr>
      <w:ind w:left="1152" w:right="1152"/>
    </w:pPr>
    <w:rPr>
      <w:i/>
      <w:iCs/>
      <w:color w:val="6CBBA8" w:themeColor="accent1"/>
    </w:rPr>
  </w:style>
  <w:style w:type="paragraph" w:styleId="BodyText">
    <w:name w:val="Body Text"/>
    <w:basedOn w:val="Normal"/>
    <w:link w:val="BodyTextChar"/>
    <w:uiPriority w:val="97"/>
    <w:semiHidden/>
    <w:rsid w:val="009629FA"/>
  </w:style>
  <w:style w:type="character" w:customStyle="1" w:styleId="BodyTextChar">
    <w:name w:val="Body Text Char"/>
    <w:basedOn w:val="DefaultParagraphFont"/>
    <w:link w:val="BodyText"/>
    <w:uiPriority w:val="97"/>
    <w:semiHidden/>
    <w:rsid w:val="009629FA"/>
    <w:rPr>
      <w:rFonts w:asciiTheme="minorHAnsi" w:eastAsia="MS Mincho" w:hAnsiTheme="minorHAnsi"/>
      <w:color w:val="000000" w:themeColor="text1"/>
      <w:sz w:val="22"/>
      <w:lang w:val="en-AU" w:eastAsia="ja-JP"/>
    </w:rPr>
  </w:style>
  <w:style w:type="paragraph" w:styleId="BodyText2">
    <w:name w:val="Body Text 2"/>
    <w:basedOn w:val="Normal"/>
    <w:link w:val="BodyText2Char"/>
    <w:uiPriority w:val="97"/>
    <w:semiHidden/>
    <w:rsid w:val="009629FA"/>
    <w:pPr>
      <w:spacing w:line="480" w:lineRule="auto"/>
    </w:pPr>
  </w:style>
  <w:style w:type="character" w:customStyle="1" w:styleId="BodyText2Char">
    <w:name w:val="Body Text 2 Char"/>
    <w:basedOn w:val="DefaultParagraphFont"/>
    <w:link w:val="BodyText2"/>
    <w:uiPriority w:val="97"/>
    <w:semiHidden/>
    <w:rsid w:val="009629FA"/>
    <w:rPr>
      <w:rFonts w:asciiTheme="minorHAnsi" w:eastAsia="MS Mincho" w:hAnsiTheme="minorHAnsi"/>
      <w:color w:val="000000" w:themeColor="text1"/>
      <w:sz w:val="22"/>
      <w:lang w:val="en-AU" w:eastAsia="ja-JP"/>
    </w:rPr>
  </w:style>
  <w:style w:type="paragraph" w:styleId="BodyText3">
    <w:name w:val="Body Text 3"/>
    <w:basedOn w:val="Normal"/>
    <w:link w:val="BodyText3Char"/>
    <w:uiPriority w:val="97"/>
    <w:semiHidden/>
    <w:rsid w:val="009629FA"/>
    <w:rPr>
      <w:sz w:val="16"/>
      <w:szCs w:val="16"/>
    </w:rPr>
  </w:style>
  <w:style w:type="character" w:customStyle="1" w:styleId="BodyText3Char">
    <w:name w:val="Body Text 3 Char"/>
    <w:basedOn w:val="DefaultParagraphFont"/>
    <w:link w:val="BodyText3"/>
    <w:uiPriority w:val="97"/>
    <w:semiHidden/>
    <w:rsid w:val="009629FA"/>
    <w:rPr>
      <w:rFonts w:asciiTheme="minorHAnsi" w:eastAsia="MS Mincho" w:hAnsiTheme="minorHAnsi"/>
      <w:color w:val="000000" w:themeColor="text1"/>
      <w:sz w:val="16"/>
      <w:szCs w:val="16"/>
      <w:lang w:val="en-AU" w:eastAsia="ja-JP"/>
    </w:rPr>
  </w:style>
  <w:style w:type="paragraph" w:styleId="BodyTextFirstIndent">
    <w:name w:val="Body Text First Indent"/>
    <w:basedOn w:val="BodyText"/>
    <w:link w:val="BodyTextFirstIndentChar"/>
    <w:uiPriority w:val="97"/>
    <w:semiHidden/>
    <w:rsid w:val="009629FA"/>
    <w:pPr>
      <w:spacing w:after="80"/>
      <w:ind w:firstLine="360"/>
    </w:pPr>
  </w:style>
  <w:style w:type="character" w:customStyle="1" w:styleId="BodyTextFirstIndentChar">
    <w:name w:val="Body Text First Indent Char"/>
    <w:basedOn w:val="BodyTextChar"/>
    <w:link w:val="BodyTextFirstIndent"/>
    <w:uiPriority w:val="97"/>
    <w:semiHidden/>
    <w:rsid w:val="009629FA"/>
    <w:rPr>
      <w:rFonts w:asciiTheme="minorHAnsi" w:eastAsia="MS Mincho" w:hAnsiTheme="minorHAnsi"/>
      <w:color w:val="000000" w:themeColor="text1"/>
      <w:sz w:val="22"/>
      <w:lang w:val="en-AU" w:eastAsia="ja-JP"/>
    </w:rPr>
  </w:style>
  <w:style w:type="paragraph" w:styleId="BodyTextIndent">
    <w:name w:val="Body Text Indent"/>
    <w:basedOn w:val="Normal"/>
    <w:link w:val="BodyTextIndentChar"/>
    <w:uiPriority w:val="97"/>
    <w:semiHidden/>
    <w:rsid w:val="009629FA"/>
    <w:pPr>
      <w:ind w:left="283"/>
    </w:pPr>
  </w:style>
  <w:style w:type="character" w:customStyle="1" w:styleId="BodyTextIndentChar">
    <w:name w:val="Body Text Indent Char"/>
    <w:basedOn w:val="DefaultParagraphFont"/>
    <w:link w:val="BodyTextIndent"/>
    <w:uiPriority w:val="97"/>
    <w:semiHidden/>
    <w:rsid w:val="009629FA"/>
    <w:rPr>
      <w:rFonts w:asciiTheme="minorHAnsi" w:eastAsia="MS Mincho" w:hAnsiTheme="minorHAnsi"/>
      <w:color w:val="000000" w:themeColor="text1"/>
      <w:sz w:val="22"/>
      <w:lang w:val="en-AU" w:eastAsia="ja-JP"/>
    </w:rPr>
  </w:style>
  <w:style w:type="paragraph" w:styleId="BodyTextFirstIndent2">
    <w:name w:val="Body Text First Indent 2"/>
    <w:basedOn w:val="BodyTextIndent"/>
    <w:link w:val="BodyTextFirstIndent2Char"/>
    <w:uiPriority w:val="97"/>
    <w:semiHidden/>
    <w:rsid w:val="009629FA"/>
    <w:pPr>
      <w:spacing w:after="80"/>
      <w:ind w:left="360" w:firstLine="360"/>
    </w:pPr>
  </w:style>
  <w:style w:type="character" w:customStyle="1" w:styleId="BodyTextFirstIndent2Char">
    <w:name w:val="Body Text First Indent 2 Char"/>
    <w:basedOn w:val="BodyTextIndentChar"/>
    <w:link w:val="BodyTextFirstIndent2"/>
    <w:uiPriority w:val="97"/>
    <w:semiHidden/>
    <w:rsid w:val="009629FA"/>
    <w:rPr>
      <w:rFonts w:asciiTheme="minorHAnsi" w:eastAsia="MS Mincho" w:hAnsiTheme="minorHAnsi"/>
      <w:color w:val="000000" w:themeColor="text1"/>
      <w:sz w:val="22"/>
      <w:lang w:val="en-AU" w:eastAsia="ja-JP"/>
    </w:rPr>
  </w:style>
  <w:style w:type="paragraph" w:styleId="BodyTextIndent2">
    <w:name w:val="Body Text Indent 2"/>
    <w:basedOn w:val="Normal"/>
    <w:link w:val="BodyTextIndent2Char"/>
    <w:uiPriority w:val="97"/>
    <w:semiHidden/>
    <w:rsid w:val="009629FA"/>
    <w:pPr>
      <w:spacing w:line="480" w:lineRule="auto"/>
      <w:ind w:left="283"/>
    </w:pPr>
  </w:style>
  <w:style w:type="character" w:customStyle="1" w:styleId="BodyTextIndent2Char">
    <w:name w:val="Body Text Indent 2 Char"/>
    <w:basedOn w:val="DefaultParagraphFont"/>
    <w:link w:val="BodyTextIndent2"/>
    <w:uiPriority w:val="97"/>
    <w:semiHidden/>
    <w:rsid w:val="009629FA"/>
    <w:rPr>
      <w:rFonts w:asciiTheme="minorHAnsi" w:eastAsia="MS Mincho" w:hAnsiTheme="minorHAnsi"/>
      <w:color w:val="000000" w:themeColor="text1"/>
      <w:sz w:val="22"/>
      <w:lang w:val="en-AU" w:eastAsia="ja-JP"/>
    </w:rPr>
  </w:style>
  <w:style w:type="paragraph" w:styleId="BodyTextIndent3">
    <w:name w:val="Body Text Indent 3"/>
    <w:basedOn w:val="Normal"/>
    <w:link w:val="BodyTextIndent3Char"/>
    <w:uiPriority w:val="97"/>
    <w:semiHidden/>
    <w:rsid w:val="009629FA"/>
    <w:pPr>
      <w:ind w:left="283"/>
    </w:pPr>
    <w:rPr>
      <w:sz w:val="16"/>
      <w:szCs w:val="16"/>
    </w:rPr>
  </w:style>
  <w:style w:type="character" w:customStyle="1" w:styleId="BodyTextIndent3Char">
    <w:name w:val="Body Text Indent 3 Char"/>
    <w:basedOn w:val="DefaultParagraphFont"/>
    <w:link w:val="BodyTextIndent3"/>
    <w:uiPriority w:val="97"/>
    <w:semiHidden/>
    <w:rsid w:val="009629FA"/>
    <w:rPr>
      <w:rFonts w:asciiTheme="minorHAnsi" w:eastAsia="MS Mincho" w:hAnsiTheme="minorHAnsi"/>
      <w:color w:val="000000" w:themeColor="text1"/>
      <w:sz w:val="16"/>
      <w:szCs w:val="16"/>
      <w:lang w:val="en-AU" w:eastAsia="ja-JP"/>
    </w:rPr>
  </w:style>
  <w:style w:type="character" w:styleId="BookTitle">
    <w:name w:val="Book Title"/>
    <w:basedOn w:val="DefaultParagraphFont"/>
    <w:uiPriority w:val="97"/>
    <w:semiHidden/>
    <w:rsid w:val="009629FA"/>
    <w:rPr>
      <w:rFonts w:asciiTheme="minorHAnsi" w:hAnsiTheme="minorHAnsi" w:cstheme="minorHAnsi"/>
      <w:b/>
      <w:bCs/>
      <w:smallCaps/>
      <w:spacing w:val="5"/>
    </w:rPr>
  </w:style>
  <w:style w:type="paragraph" w:styleId="Closing">
    <w:name w:val="Closing"/>
    <w:basedOn w:val="Normal"/>
    <w:link w:val="ClosingChar"/>
    <w:uiPriority w:val="97"/>
    <w:semiHidden/>
    <w:rsid w:val="009629FA"/>
    <w:pPr>
      <w:spacing w:after="0" w:line="240" w:lineRule="auto"/>
      <w:ind w:left="4252"/>
    </w:pPr>
  </w:style>
  <w:style w:type="character" w:customStyle="1" w:styleId="ClosingChar">
    <w:name w:val="Closing Char"/>
    <w:basedOn w:val="DefaultParagraphFont"/>
    <w:link w:val="Closing"/>
    <w:uiPriority w:val="97"/>
    <w:semiHidden/>
    <w:rsid w:val="009629FA"/>
    <w:rPr>
      <w:rFonts w:asciiTheme="minorHAnsi" w:eastAsia="MS Mincho" w:hAnsiTheme="minorHAnsi"/>
      <w:color w:val="000000" w:themeColor="text1"/>
      <w:sz w:val="22"/>
      <w:lang w:val="en-AU" w:eastAsia="ja-JP"/>
    </w:rPr>
  </w:style>
  <w:style w:type="table" w:styleId="ColorfulGrid">
    <w:name w:val="Colorful Grid"/>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cs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E1F1ED" w:themeFill="accent1" w:themeFillTint="33"/>
      <w:tcMar>
        <w:top w:w="57" w:type="dxa"/>
        <w:left w:w="57" w:type="dxa"/>
        <w:bottom w:w="57" w:type="dxa"/>
        <w:right w:w="57" w:type="dxa"/>
      </w:tcMar>
    </w:tcPr>
    <w:tblStylePr w:type="firstRow">
      <w:rPr>
        <w:rFonts w:asciiTheme="majorHAnsi" w:hAnsiTheme="majorHAnsi" w:cstheme="majorHAnsi"/>
        <w:b/>
        <w:bCs/>
      </w:rPr>
      <w:tblPr/>
      <w:tcPr>
        <w:shd w:val="clear" w:color="auto" w:fill="C4E3DC" w:themeFill="accent1" w:themeFillTint="66"/>
      </w:tcPr>
    </w:tblStylePr>
    <w:tblStylePr w:type="lastRow">
      <w:rPr>
        <w:b/>
        <w:bCs/>
        <w:color w:val="000000" w:themeColor="text1"/>
      </w:rPr>
      <w:tblPr/>
      <w:tcPr>
        <w:shd w:val="clear" w:color="auto" w:fill="C4E3DC" w:themeFill="accent1" w:themeFillTint="66"/>
      </w:tcPr>
    </w:tblStylePr>
    <w:tblStylePr w:type="firstCol">
      <w:rPr>
        <w:color w:val="FFFFFF" w:themeColor="background1"/>
      </w:rPr>
      <w:tblPr/>
      <w:tcPr>
        <w:shd w:val="clear" w:color="auto" w:fill="459683" w:themeFill="accent1" w:themeFillShade="BF"/>
      </w:tcPr>
    </w:tblStylePr>
    <w:tblStylePr w:type="lastCol">
      <w:rPr>
        <w:color w:val="FFFFFF" w:themeColor="background1"/>
      </w:rPr>
      <w:tblPr/>
      <w:tcPr>
        <w:shd w:val="clear" w:color="auto" w:fill="459683" w:themeFill="accent1" w:themeFillShade="BF"/>
      </w:tcPr>
    </w:tblStylePr>
    <w:tblStylePr w:type="band1Vert">
      <w:tblPr/>
      <w:tcPr>
        <w:shd w:val="clear" w:color="auto" w:fill="B5DDD3" w:themeFill="accent1" w:themeFillTint="7F"/>
      </w:tcPr>
    </w:tblStylePr>
    <w:tblStylePr w:type="band1Horz">
      <w:tblPr/>
      <w:tcPr>
        <w:shd w:val="clear" w:color="auto" w:fill="B5DDD3" w:themeFill="accent1" w:themeFillTint="7F"/>
      </w:tcPr>
    </w:tblStylePr>
  </w:style>
  <w:style w:type="table" w:styleId="ColorfulGrid-Accent2">
    <w:name w:val="Colorful Grid Accent 2"/>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CBD2E6" w:themeFill="accent2" w:themeFillTint="33"/>
      <w:tcMar>
        <w:top w:w="57" w:type="dxa"/>
        <w:left w:w="57" w:type="dxa"/>
        <w:bottom w:w="57" w:type="dxa"/>
        <w:right w:w="57" w:type="dxa"/>
      </w:tcMar>
    </w:tcPr>
    <w:tblStylePr w:type="firstRow">
      <w:rPr>
        <w:rFonts w:asciiTheme="majorHAnsi" w:hAnsiTheme="majorHAnsi" w:cstheme="majorHAnsi"/>
        <w:b/>
        <w:bCs/>
      </w:rPr>
      <w:tblPr/>
      <w:tcPr>
        <w:shd w:val="clear" w:color="auto" w:fill="98A6CE" w:themeFill="accent2" w:themeFillTint="66"/>
      </w:tcPr>
    </w:tblStylePr>
    <w:tblStylePr w:type="lastRow">
      <w:rPr>
        <w:b/>
        <w:bCs/>
        <w:color w:val="000000" w:themeColor="text1"/>
      </w:rPr>
      <w:tblPr/>
      <w:tcPr>
        <w:shd w:val="clear" w:color="auto" w:fill="98A6CE" w:themeFill="accent2" w:themeFillTint="66"/>
      </w:tcPr>
    </w:tblStylePr>
    <w:tblStylePr w:type="firstCol">
      <w:rPr>
        <w:color w:val="FFFFFF" w:themeColor="background1"/>
      </w:rPr>
      <w:tblPr/>
      <w:tcPr>
        <w:shd w:val="clear" w:color="auto" w:fill="1F2942" w:themeFill="accent2" w:themeFillShade="BF"/>
      </w:tcPr>
    </w:tblStylePr>
    <w:tblStylePr w:type="lastCol">
      <w:rPr>
        <w:color w:val="FFFFFF" w:themeColor="background1"/>
      </w:rPr>
      <w:tblPr/>
      <w:tcPr>
        <w:shd w:val="clear" w:color="auto" w:fill="1F2942" w:themeFill="accent2" w:themeFillShade="BF"/>
      </w:tcPr>
    </w:tblStylePr>
    <w:tblStylePr w:type="band1Vert">
      <w:tblPr/>
      <w:tcPr>
        <w:shd w:val="clear" w:color="auto" w:fill="7E91C2" w:themeFill="accent2" w:themeFillTint="7F"/>
      </w:tcPr>
    </w:tblStylePr>
    <w:tblStylePr w:type="band1Horz">
      <w:tblPr/>
      <w:tcPr>
        <w:shd w:val="clear" w:color="auto" w:fill="7E91C2" w:themeFill="accent2" w:themeFillTint="7F"/>
      </w:tcPr>
    </w:tblStylePr>
  </w:style>
  <w:style w:type="table" w:styleId="ColorfulGrid-Accent3">
    <w:name w:val="Colorful Grid Accent 3"/>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EAFFBE" w:themeFill="accent3" w:themeFillTint="33"/>
      <w:tcMar>
        <w:top w:w="57" w:type="dxa"/>
        <w:left w:w="57" w:type="dxa"/>
        <w:bottom w:w="57" w:type="dxa"/>
        <w:right w:w="57" w:type="dxa"/>
      </w:tcMar>
    </w:tcPr>
    <w:tblStylePr w:type="firstRow">
      <w:rPr>
        <w:rFonts w:asciiTheme="majorHAnsi" w:hAnsiTheme="majorHAnsi" w:cstheme="majorHAnsi"/>
        <w:b/>
        <w:bCs/>
      </w:rPr>
      <w:tblPr/>
      <w:tcPr>
        <w:shd w:val="clear" w:color="auto" w:fill="D6FF7E" w:themeFill="accent3" w:themeFillTint="66"/>
      </w:tcPr>
    </w:tblStylePr>
    <w:tblStylePr w:type="lastRow">
      <w:rPr>
        <w:b/>
        <w:bCs/>
        <w:color w:val="000000" w:themeColor="text1"/>
      </w:rPr>
      <w:tblPr/>
      <w:tcPr>
        <w:shd w:val="clear" w:color="auto" w:fill="D6FF7E" w:themeFill="accent3" w:themeFillTint="66"/>
      </w:tcPr>
    </w:tblStylePr>
    <w:tblStylePr w:type="firstCol">
      <w:rPr>
        <w:color w:val="FFFFFF" w:themeColor="background1"/>
      </w:rPr>
      <w:tblPr/>
      <w:tcPr>
        <w:shd w:val="clear" w:color="auto" w:fill="608D00" w:themeFill="accent3" w:themeFillShade="BF"/>
      </w:tcPr>
    </w:tblStylePr>
    <w:tblStylePr w:type="lastCol">
      <w:rPr>
        <w:color w:val="FFFFFF" w:themeColor="background1"/>
      </w:rPr>
      <w:tblPr/>
      <w:tcPr>
        <w:shd w:val="clear" w:color="auto" w:fill="608D00" w:themeFill="accent3" w:themeFillShade="BF"/>
      </w:tcPr>
    </w:tblStylePr>
    <w:tblStylePr w:type="band1Vert">
      <w:tblPr/>
      <w:tcPr>
        <w:shd w:val="clear" w:color="auto" w:fill="CCFF5F" w:themeFill="accent3" w:themeFillTint="7F"/>
      </w:tcPr>
    </w:tblStylePr>
    <w:tblStylePr w:type="band1Horz">
      <w:tblPr/>
      <w:tcPr>
        <w:shd w:val="clear" w:color="auto" w:fill="CCFF5F" w:themeFill="accent3" w:themeFillTint="7F"/>
      </w:tcPr>
    </w:tblStylePr>
  </w:style>
  <w:style w:type="table" w:styleId="ColorfulGrid-Accent4">
    <w:name w:val="Colorful Grid Accent 4"/>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F5F1F1" w:themeFill="accent4" w:themeFillTint="33"/>
      <w:tcMar>
        <w:top w:w="57" w:type="dxa"/>
        <w:left w:w="57" w:type="dxa"/>
        <w:bottom w:w="57" w:type="dxa"/>
        <w:right w:w="57" w:type="dxa"/>
      </w:tcMar>
    </w:tcPr>
    <w:tblStylePr w:type="firstRow">
      <w:rPr>
        <w:rFonts w:asciiTheme="majorHAnsi" w:hAnsiTheme="majorHAnsi" w:cstheme="majorHAnsi"/>
        <w:b/>
        <w:bCs/>
      </w:rPr>
      <w:tblPr/>
      <w:tcPr>
        <w:shd w:val="clear" w:color="auto" w:fill="ECE4E3" w:themeFill="accent4" w:themeFillTint="66"/>
      </w:tcPr>
    </w:tblStylePr>
    <w:tblStylePr w:type="lastRow">
      <w:rPr>
        <w:b/>
        <w:bCs/>
        <w:color w:val="000000" w:themeColor="text1"/>
      </w:rPr>
      <w:tblPr/>
      <w:tcPr>
        <w:shd w:val="clear" w:color="auto" w:fill="ECE4E3" w:themeFill="accent4" w:themeFillTint="66"/>
      </w:tcPr>
    </w:tblStylePr>
    <w:tblStylePr w:type="firstCol">
      <w:rPr>
        <w:color w:val="FFFFFF" w:themeColor="background1"/>
      </w:rPr>
      <w:tblPr/>
      <w:tcPr>
        <w:shd w:val="clear" w:color="auto" w:fill="A9857E" w:themeFill="accent4" w:themeFillShade="BF"/>
      </w:tcPr>
    </w:tblStylePr>
    <w:tblStylePr w:type="lastCol">
      <w:rPr>
        <w:color w:val="FFFFFF" w:themeColor="background1"/>
      </w:rPr>
      <w:tblPr/>
      <w:tcPr>
        <w:shd w:val="clear" w:color="auto" w:fill="A9857E" w:themeFill="accent4" w:themeFillShade="BF"/>
      </w:tcPr>
    </w:tblStylePr>
    <w:tblStylePr w:type="band1Vert">
      <w:tblPr/>
      <w:tcPr>
        <w:shd w:val="clear" w:color="auto" w:fill="E8DEDC" w:themeFill="accent4" w:themeFillTint="7F"/>
      </w:tcPr>
    </w:tblStylePr>
    <w:tblStylePr w:type="band1Horz">
      <w:tblPr/>
      <w:tcPr>
        <w:shd w:val="clear" w:color="auto" w:fill="E8DEDC" w:themeFill="accent4" w:themeFillTint="7F"/>
      </w:tcPr>
    </w:tblStylePr>
  </w:style>
  <w:style w:type="table" w:styleId="ColorfulGrid-Accent5">
    <w:name w:val="Colorful Grid Accent 5"/>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ABF2FF" w:themeFill="accent5" w:themeFillTint="33"/>
      <w:tcMar>
        <w:top w:w="57" w:type="dxa"/>
        <w:left w:w="57" w:type="dxa"/>
        <w:bottom w:w="57" w:type="dxa"/>
        <w:right w:w="57" w:type="dxa"/>
      </w:tcMar>
    </w:tcPr>
    <w:tblStylePr w:type="firstRow">
      <w:rPr>
        <w:rFonts w:asciiTheme="majorHAnsi" w:hAnsiTheme="majorHAnsi" w:cstheme="majorHAnsi"/>
        <w:b/>
        <w:bCs/>
      </w:rPr>
      <w:tblPr/>
      <w:tcPr>
        <w:shd w:val="clear" w:color="auto" w:fill="57E5FF" w:themeFill="accent5" w:themeFillTint="66"/>
      </w:tcPr>
    </w:tblStylePr>
    <w:tblStylePr w:type="lastRow">
      <w:rPr>
        <w:b/>
        <w:bCs/>
        <w:color w:val="000000" w:themeColor="text1"/>
      </w:rPr>
      <w:tblPr/>
      <w:tcPr>
        <w:shd w:val="clear" w:color="auto" w:fill="57E5FF" w:themeFill="accent5" w:themeFillTint="66"/>
      </w:tcPr>
    </w:tblStylePr>
    <w:tblStylePr w:type="firstCol">
      <w:rPr>
        <w:color w:val="FFFFFF" w:themeColor="background1"/>
      </w:rPr>
      <w:tblPr/>
      <w:tcPr>
        <w:shd w:val="clear" w:color="auto" w:fill="003A44" w:themeFill="accent5" w:themeFillShade="BF"/>
      </w:tcPr>
    </w:tblStylePr>
    <w:tblStylePr w:type="lastCol">
      <w:rPr>
        <w:color w:val="FFFFFF" w:themeColor="background1"/>
      </w:rPr>
      <w:tblPr/>
      <w:tcPr>
        <w:shd w:val="clear" w:color="auto" w:fill="003A44" w:themeFill="accent5" w:themeFillShade="BF"/>
      </w:tcPr>
    </w:tblStylePr>
    <w:tblStylePr w:type="band1Vert">
      <w:tblPr/>
      <w:tcPr>
        <w:shd w:val="clear" w:color="auto" w:fill="2EDFFF" w:themeFill="accent5" w:themeFillTint="7F"/>
      </w:tcPr>
    </w:tblStylePr>
    <w:tblStylePr w:type="band1Horz">
      <w:tblPr/>
      <w:tcPr>
        <w:shd w:val="clear" w:color="auto" w:fill="2EDFFF" w:themeFill="accent5" w:themeFillTint="7F"/>
      </w:tcPr>
    </w:tblStylePr>
  </w:style>
  <w:style w:type="table" w:styleId="ColorfulGrid-Accent6">
    <w:name w:val="Colorful Grid Accent 6"/>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CDE5D3" w:themeFill="accent6" w:themeFillTint="33"/>
      <w:tcMar>
        <w:top w:w="57" w:type="dxa"/>
        <w:left w:w="57" w:type="dxa"/>
        <w:bottom w:w="57" w:type="dxa"/>
        <w:right w:w="57" w:type="dxa"/>
      </w:tcMar>
    </w:tcPr>
    <w:tblStylePr w:type="firstRow">
      <w:rPr>
        <w:rFonts w:asciiTheme="majorHAnsi" w:hAnsiTheme="majorHAnsi" w:cstheme="majorHAnsi"/>
        <w:b/>
        <w:bCs/>
      </w:rPr>
      <w:tblPr/>
      <w:tcPr>
        <w:shd w:val="clear" w:color="auto" w:fill="9BCBA8" w:themeFill="accent6" w:themeFillTint="66"/>
      </w:tcPr>
    </w:tblStylePr>
    <w:tblStylePr w:type="lastRow">
      <w:rPr>
        <w:b/>
        <w:bCs/>
        <w:color w:val="000000" w:themeColor="text1"/>
      </w:rPr>
      <w:tblPr/>
      <w:tcPr>
        <w:shd w:val="clear" w:color="auto" w:fill="9BCBA8" w:themeFill="accent6" w:themeFillTint="66"/>
      </w:tcPr>
    </w:tblStylePr>
    <w:tblStylePr w:type="firstCol">
      <w:rPr>
        <w:color w:val="FFFFFF" w:themeColor="background1"/>
      </w:rPr>
      <w:tblPr/>
      <w:tcPr>
        <w:shd w:val="clear" w:color="auto" w:fill="214029" w:themeFill="accent6" w:themeFillShade="BF"/>
      </w:tcPr>
    </w:tblStylePr>
    <w:tblStylePr w:type="lastCol">
      <w:rPr>
        <w:color w:val="FFFFFF" w:themeColor="background1"/>
      </w:rPr>
      <w:tblPr/>
      <w:tcPr>
        <w:shd w:val="clear" w:color="auto" w:fill="214029" w:themeFill="accent6" w:themeFillShade="BF"/>
      </w:tcPr>
    </w:tblStylePr>
    <w:tblStylePr w:type="band1Vert">
      <w:tblPr/>
      <w:tcPr>
        <w:shd w:val="clear" w:color="auto" w:fill="82BE92" w:themeFill="accent6" w:themeFillTint="7F"/>
      </w:tcPr>
    </w:tblStylePr>
    <w:tblStylePr w:type="band1Horz">
      <w:tblPr/>
      <w:tcPr>
        <w:shd w:val="clear" w:color="auto" w:fill="82BE92" w:themeFill="accent6" w:themeFillTint="7F"/>
      </w:tcPr>
    </w:tblStylePr>
  </w:style>
  <w:style w:type="table" w:styleId="ColorfulList">
    <w:name w:val="Colorful List"/>
    <w:basedOn w:val="TableNormal"/>
    <w:uiPriority w:val="98"/>
    <w:rsid w:val="009629FA"/>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212B47" w:themeFill="accent2" w:themeFillShade="CC"/>
      </w:tcPr>
    </w:tblStylePr>
    <w:tblStylePr w:type="lastRow">
      <w:rPr>
        <w:b/>
        <w:bCs/>
        <w:color w:val="212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9629FA"/>
    <w:rPr>
      <w:color w:val="000000" w:themeColor="text1"/>
    </w:rPr>
    <w:tblPr>
      <w:tblStyleRowBandSize w:val="1"/>
      <w:tblStyleColBandSize w:val="1"/>
    </w:tblPr>
    <w:tcPr>
      <w:shd w:val="clear" w:color="auto" w:fill="F0F8F6" w:themeFill="accent1"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212B47" w:themeFill="accent2" w:themeFillShade="CC"/>
      </w:tcPr>
    </w:tblStylePr>
    <w:tblStylePr w:type="lastRow">
      <w:rPr>
        <w:b/>
        <w:bCs/>
        <w:color w:val="212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E9" w:themeFill="accent1" w:themeFillTint="3F"/>
      </w:tcPr>
    </w:tblStylePr>
    <w:tblStylePr w:type="band1Horz">
      <w:tblPr/>
      <w:tcPr>
        <w:shd w:val="clear" w:color="auto" w:fill="E1F1ED" w:themeFill="accent1" w:themeFillTint="33"/>
      </w:tcPr>
    </w:tblStylePr>
  </w:style>
  <w:style w:type="table" w:styleId="ColorfulList-Accent2">
    <w:name w:val="Colorful List Accent 2"/>
    <w:basedOn w:val="TableNormal"/>
    <w:uiPriority w:val="98"/>
    <w:rsid w:val="009629FA"/>
    <w:rPr>
      <w:color w:val="000000" w:themeColor="text1"/>
    </w:rPr>
    <w:tblPr>
      <w:tblStyleRowBandSize w:val="1"/>
      <w:tblStyleColBandSize w:val="1"/>
    </w:tblPr>
    <w:tcPr>
      <w:shd w:val="clear" w:color="auto" w:fill="E5E9F3" w:themeFill="accent2"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212B47" w:themeFill="accent2" w:themeFillShade="CC"/>
      </w:tcPr>
    </w:tblStylePr>
    <w:tblStylePr w:type="lastRow">
      <w:rPr>
        <w:b/>
        <w:bCs/>
        <w:color w:val="212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C8E1" w:themeFill="accent2" w:themeFillTint="3F"/>
      </w:tcPr>
    </w:tblStylePr>
    <w:tblStylePr w:type="band1Horz">
      <w:tblPr/>
      <w:tcPr>
        <w:shd w:val="clear" w:color="auto" w:fill="CBD2E6" w:themeFill="accent2" w:themeFillTint="33"/>
      </w:tcPr>
    </w:tblStylePr>
  </w:style>
  <w:style w:type="table" w:styleId="ColorfulList-Accent3">
    <w:name w:val="Colorful List Accent 3"/>
    <w:basedOn w:val="TableNormal"/>
    <w:uiPriority w:val="98"/>
    <w:rsid w:val="009629FA"/>
    <w:rPr>
      <w:color w:val="000000" w:themeColor="text1"/>
    </w:rPr>
    <w:tblPr>
      <w:tblStyleRowBandSize w:val="1"/>
      <w:tblStyleColBandSize w:val="1"/>
    </w:tblPr>
    <w:tcPr>
      <w:shd w:val="clear" w:color="auto" w:fill="F4FFDF" w:themeFill="accent3"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B1918A" w:themeFill="accent4" w:themeFillShade="CC"/>
      </w:tcPr>
    </w:tblStylePr>
    <w:tblStylePr w:type="lastRow">
      <w:rPr>
        <w:b/>
        <w:bCs/>
        <w:color w:val="B1918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FAF" w:themeFill="accent3" w:themeFillTint="3F"/>
      </w:tcPr>
    </w:tblStylePr>
    <w:tblStylePr w:type="band1Horz">
      <w:tblPr/>
      <w:tcPr>
        <w:shd w:val="clear" w:color="auto" w:fill="EAFFBE" w:themeFill="accent3" w:themeFillTint="33"/>
      </w:tcPr>
    </w:tblStylePr>
  </w:style>
  <w:style w:type="table" w:styleId="ColorfulList-Accent4">
    <w:name w:val="Colorful List Accent 4"/>
    <w:basedOn w:val="TableNormal"/>
    <w:uiPriority w:val="98"/>
    <w:rsid w:val="009629FA"/>
    <w:rPr>
      <w:color w:val="000000" w:themeColor="text1"/>
    </w:rPr>
    <w:tblPr>
      <w:tblStyleRowBandSize w:val="1"/>
      <w:tblStyleColBandSize w:val="1"/>
    </w:tblPr>
    <w:tcPr>
      <w:shd w:val="clear" w:color="auto" w:fill="FAF8F8" w:themeFill="accent4"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679700" w:themeFill="accent3" w:themeFillShade="CC"/>
      </w:tcPr>
    </w:tblStylePr>
    <w:tblStylePr w:type="lastRow">
      <w:rPr>
        <w:b/>
        <w:bCs/>
        <w:color w:val="6797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EEED" w:themeFill="accent4" w:themeFillTint="3F"/>
      </w:tcPr>
    </w:tblStylePr>
    <w:tblStylePr w:type="band1Horz">
      <w:tblPr/>
      <w:tcPr>
        <w:shd w:val="clear" w:color="auto" w:fill="F5F1F1" w:themeFill="accent4" w:themeFillTint="33"/>
      </w:tcPr>
    </w:tblStylePr>
  </w:style>
  <w:style w:type="table" w:styleId="ColorfulList-Accent5">
    <w:name w:val="Colorful List Accent 5"/>
    <w:basedOn w:val="TableNormal"/>
    <w:uiPriority w:val="98"/>
    <w:rsid w:val="009629FA"/>
    <w:rPr>
      <w:color w:val="000000" w:themeColor="text1"/>
    </w:rPr>
    <w:tblPr>
      <w:tblStyleRowBandSize w:val="1"/>
      <w:tblStyleColBandSize w:val="1"/>
    </w:tblPr>
    <w:tcPr>
      <w:shd w:val="clear" w:color="auto" w:fill="D6F8FF" w:themeFill="accent5"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24442C" w:themeFill="accent6" w:themeFillShade="CC"/>
      </w:tcPr>
    </w:tblStylePr>
    <w:tblStylePr w:type="lastRow">
      <w:rPr>
        <w:b/>
        <w:bCs/>
        <w:color w:val="24442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7EFFF" w:themeFill="accent5" w:themeFillTint="3F"/>
      </w:tcPr>
    </w:tblStylePr>
    <w:tblStylePr w:type="band1Horz">
      <w:tblPr/>
      <w:tcPr>
        <w:shd w:val="clear" w:color="auto" w:fill="ABF2FF" w:themeFill="accent5" w:themeFillTint="33"/>
      </w:tcPr>
    </w:tblStylePr>
  </w:style>
  <w:style w:type="table" w:styleId="ColorfulList-Accent6">
    <w:name w:val="Colorful List Accent 6"/>
    <w:basedOn w:val="TableNormal"/>
    <w:uiPriority w:val="98"/>
    <w:rsid w:val="009629FA"/>
    <w:rPr>
      <w:color w:val="000000" w:themeColor="text1"/>
    </w:rPr>
    <w:tblPr>
      <w:tblStyleRowBandSize w:val="1"/>
      <w:tblStyleColBandSize w:val="1"/>
    </w:tblPr>
    <w:tcPr>
      <w:shd w:val="clear" w:color="auto" w:fill="E6F2E9" w:themeFill="accent6"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003E49" w:themeFill="accent5" w:themeFillShade="CC"/>
      </w:tcPr>
    </w:tblStylePr>
    <w:tblStylePr w:type="lastRow">
      <w:rPr>
        <w:b/>
        <w:bCs/>
        <w:color w:val="003E4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DEC9" w:themeFill="accent6" w:themeFillTint="3F"/>
      </w:tcPr>
    </w:tblStylePr>
    <w:tblStylePr w:type="band1Horz">
      <w:tblPr/>
      <w:tcPr>
        <w:shd w:val="clear" w:color="auto" w:fill="CDE5D3" w:themeFill="accent6" w:themeFillTint="33"/>
      </w:tcPr>
    </w:tblStylePr>
  </w:style>
  <w:style w:type="table" w:styleId="ColorfulShading">
    <w:name w:val="Colorful Shading"/>
    <w:basedOn w:val="TableNormal"/>
    <w:uiPriority w:val="98"/>
    <w:rsid w:val="009629FA"/>
    <w:rPr>
      <w:color w:val="000000" w:themeColor="text1"/>
    </w:rPr>
    <w:tblPr>
      <w:tblStyleRowBandSize w:val="1"/>
      <w:tblStyleColBandSize w:val="1"/>
      <w:tblBorders>
        <w:top w:val="single" w:sz="24" w:space="0" w:color="2A375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2A37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9629FA"/>
    <w:rPr>
      <w:color w:val="000000" w:themeColor="text1"/>
    </w:rPr>
    <w:tblPr>
      <w:tblStyleRowBandSize w:val="1"/>
      <w:tblStyleColBandSize w:val="1"/>
      <w:tblBorders>
        <w:top w:val="single" w:sz="24" w:space="0" w:color="2A3759" w:themeColor="accent2"/>
        <w:left w:val="single" w:sz="4" w:space="0" w:color="6CBBA8" w:themeColor="accent1"/>
        <w:bottom w:val="single" w:sz="4" w:space="0" w:color="6CBBA8" w:themeColor="accent1"/>
        <w:right w:val="single" w:sz="4" w:space="0" w:color="6CBBA8" w:themeColor="accent1"/>
        <w:insideH w:val="single" w:sz="4" w:space="0" w:color="FFFFFF" w:themeColor="background1"/>
        <w:insideV w:val="single" w:sz="4" w:space="0" w:color="FFFFFF" w:themeColor="background1"/>
      </w:tblBorders>
    </w:tblPr>
    <w:tcPr>
      <w:shd w:val="clear" w:color="auto" w:fill="F0F8F6" w:themeFill="accent1"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2A37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87969" w:themeFill="accent1" w:themeFillShade="99"/>
      </w:tcPr>
    </w:tblStylePr>
    <w:tblStylePr w:type="firstCol">
      <w:rPr>
        <w:color w:val="FFFFFF" w:themeColor="background1"/>
      </w:rPr>
      <w:tblPr/>
      <w:tcPr>
        <w:tcBorders>
          <w:top w:val="nil"/>
          <w:left w:val="nil"/>
          <w:bottom w:val="nil"/>
          <w:right w:val="nil"/>
          <w:insideH w:val="single" w:sz="4" w:space="0" w:color="387969" w:themeColor="accent1" w:themeShade="99"/>
          <w:insideV w:val="nil"/>
        </w:tcBorders>
        <w:shd w:val="clear" w:color="auto" w:fill="38796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87969" w:themeFill="accent1" w:themeFillShade="99"/>
      </w:tcPr>
    </w:tblStylePr>
    <w:tblStylePr w:type="band1Vert">
      <w:tblPr/>
      <w:tcPr>
        <w:shd w:val="clear" w:color="auto" w:fill="C4E3DC" w:themeFill="accent1" w:themeFillTint="66"/>
      </w:tcPr>
    </w:tblStylePr>
    <w:tblStylePr w:type="band1Horz">
      <w:tblPr/>
      <w:tcPr>
        <w:shd w:val="clear" w:color="auto" w:fill="B5DD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9629FA"/>
    <w:rPr>
      <w:color w:val="000000" w:themeColor="text1"/>
    </w:rPr>
    <w:tblPr>
      <w:tblStyleRowBandSize w:val="1"/>
      <w:tblStyleColBandSize w:val="1"/>
      <w:tblBorders>
        <w:top w:val="single" w:sz="24" w:space="0" w:color="2A3759" w:themeColor="accent2"/>
        <w:left w:val="single" w:sz="4" w:space="0" w:color="2A3759" w:themeColor="accent2"/>
        <w:bottom w:val="single" w:sz="4" w:space="0" w:color="2A3759" w:themeColor="accent2"/>
        <w:right w:val="single" w:sz="4" w:space="0" w:color="2A3759" w:themeColor="accent2"/>
        <w:insideH w:val="single" w:sz="4" w:space="0" w:color="FFFFFF" w:themeColor="background1"/>
        <w:insideV w:val="single" w:sz="4" w:space="0" w:color="FFFFFF" w:themeColor="background1"/>
      </w:tblBorders>
    </w:tblPr>
    <w:tcPr>
      <w:shd w:val="clear" w:color="auto" w:fill="E5E9F3" w:themeFill="accent2"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2A37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2035" w:themeFill="accent2" w:themeFillShade="99"/>
      </w:tcPr>
    </w:tblStylePr>
    <w:tblStylePr w:type="firstCol">
      <w:rPr>
        <w:color w:val="FFFFFF" w:themeColor="background1"/>
      </w:rPr>
      <w:tblPr/>
      <w:tcPr>
        <w:tcBorders>
          <w:top w:val="nil"/>
          <w:left w:val="nil"/>
          <w:bottom w:val="nil"/>
          <w:right w:val="nil"/>
          <w:insideH w:val="single" w:sz="4" w:space="0" w:color="192035" w:themeColor="accent2" w:themeShade="99"/>
          <w:insideV w:val="nil"/>
        </w:tcBorders>
        <w:shd w:val="clear" w:color="auto" w:fill="1920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92035" w:themeFill="accent2" w:themeFillShade="99"/>
      </w:tcPr>
    </w:tblStylePr>
    <w:tblStylePr w:type="band1Vert">
      <w:tblPr/>
      <w:tcPr>
        <w:shd w:val="clear" w:color="auto" w:fill="98A6CE" w:themeFill="accent2" w:themeFillTint="66"/>
      </w:tcPr>
    </w:tblStylePr>
    <w:tblStylePr w:type="band1Horz">
      <w:tblPr/>
      <w:tcPr>
        <w:shd w:val="clear" w:color="auto" w:fill="7E91C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9629FA"/>
    <w:rPr>
      <w:color w:val="000000" w:themeColor="text1"/>
    </w:rPr>
    <w:tblPr>
      <w:tblStyleRowBandSize w:val="1"/>
      <w:tblStyleColBandSize w:val="1"/>
      <w:tblBorders>
        <w:top w:val="single" w:sz="24" w:space="0" w:color="D1BEBA" w:themeColor="accent4"/>
        <w:left w:val="single" w:sz="4" w:space="0" w:color="81BD00" w:themeColor="accent3"/>
        <w:bottom w:val="single" w:sz="4" w:space="0" w:color="81BD00" w:themeColor="accent3"/>
        <w:right w:val="single" w:sz="4" w:space="0" w:color="81BD00" w:themeColor="accent3"/>
        <w:insideH w:val="single" w:sz="4" w:space="0" w:color="FFFFFF" w:themeColor="background1"/>
        <w:insideV w:val="single" w:sz="4" w:space="0" w:color="FFFFFF" w:themeColor="background1"/>
      </w:tblBorders>
    </w:tblPr>
    <w:tcPr>
      <w:shd w:val="clear" w:color="auto" w:fill="F4FFDF" w:themeFill="accent3"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D1BEB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D7100" w:themeFill="accent3" w:themeFillShade="99"/>
      </w:tcPr>
    </w:tblStylePr>
    <w:tblStylePr w:type="firstCol">
      <w:rPr>
        <w:color w:val="FFFFFF" w:themeColor="background1"/>
      </w:rPr>
      <w:tblPr/>
      <w:tcPr>
        <w:tcBorders>
          <w:top w:val="nil"/>
          <w:left w:val="nil"/>
          <w:bottom w:val="nil"/>
          <w:right w:val="nil"/>
          <w:insideH w:val="single" w:sz="4" w:space="0" w:color="4D7100" w:themeColor="accent3" w:themeShade="99"/>
          <w:insideV w:val="nil"/>
        </w:tcBorders>
        <w:shd w:val="clear" w:color="auto" w:fill="4D7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D7100" w:themeFill="accent3" w:themeFillShade="99"/>
      </w:tcPr>
    </w:tblStylePr>
    <w:tblStylePr w:type="band1Vert">
      <w:tblPr/>
      <w:tcPr>
        <w:shd w:val="clear" w:color="auto" w:fill="D6FF7E" w:themeFill="accent3" w:themeFillTint="66"/>
      </w:tcPr>
    </w:tblStylePr>
    <w:tblStylePr w:type="band1Horz">
      <w:tblPr/>
      <w:tcPr>
        <w:shd w:val="clear" w:color="auto" w:fill="CCFF5F" w:themeFill="accent3" w:themeFillTint="7F"/>
      </w:tcPr>
    </w:tblStylePr>
  </w:style>
  <w:style w:type="table" w:styleId="ColorfulShading-Accent4">
    <w:name w:val="Colorful Shading Accent 4"/>
    <w:basedOn w:val="TableNormal"/>
    <w:uiPriority w:val="98"/>
    <w:rsid w:val="009629FA"/>
    <w:rPr>
      <w:color w:val="000000" w:themeColor="text1"/>
    </w:rPr>
    <w:tblPr>
      <w:tblStyleRowBandSize w:val="1"/>
      <w:tblStyleColBandSize w:val="1"/>
      <w:tblBorders>
        <w:top w:val="single" w:sz="24" w:space="0" w:color="81BD00" w:themeColor="accent3"/>
        <w:left w:val="single" w:sz="4" w:space="0" w:color="D1BEBA" w:themeColor="accent4"/>
        <w:bottom w:val="single" w:sz="4" w:space="0" w:color="D1BEBA" w:themeColor="accent4"/>
        <w:right w:val="single" w:sz="4" w:space="0" w:color="D1BEBA" w:themeColor="accent4"/>
        <w:insideH w:val="single" w:sz="4" w:space="0" w:color="FFFFFF" w:themeColor="background1"/>
        <w:insideV w:val="single" w:sz="4" w:space="0" w:color="FFFFFF" w:themeColor="background1"/>
      </w:tblBorders>
    </w:tblPr>
    <w:tcPr>
      <w:shd w:val="clear" w:color="auto" w:fill="FAF8F8" w:themeFill="accent4"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81BD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675E" w:themeFill="accent4" w:themeFillShade="99"/>
      </w:tcPr>
    </w:tblStylePr>
    <w:tblStylePr w:type="firstCol">
      <w:rPr>
        <w:color w:val="FFFFFF" w:themeColor="background1"/>
      </w:rPr>
      <w:tblPr/>
      <w:tcPr>
        <w:tcBorders>
          <w:top w:val="nil"/>
          <w:left w:val="nil"/>
          <w:bottom w:val="nil"/>
          <w:right w:val="nil"/>
          <w:insideH w:val="single" w:sz="4" w:space="0" w:color="8E675E" w:themeColor="accent4" w:themeShade="99"/>
          <w:insideV w:val="nil"/>
        </w:tcBorders>
        <w:shd w:val="clear" w:color="auto" w:fill="8E675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675E" w:themeFill="accent4" w:themeFillShade="99"/>
      </w:tcPr>
    </w:tblStylePr>
    <w:tblStylePr w:type="band1Vert">
      <w:tblPr/>
      <w:tcPr>
        <w:shd w:val="clear" w:color="auto" w:fill="ECE4E3" w:themeFill="accent4" w:themeFillTint="66"/>
      </w:tcPr>
    </w:tblStylePr>
    <w:tblStylePr w:type="band1Horz">
      <w:tblPr/>
      <w:tcPr>
        <w:shd w:val="clear" w:color="auto" w:fill="E8DED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9629FA"/>
    <w:rPr>
      <w:color w:val="000000" w:themeColor="text1"/>
    </w:rPr>
    <w:tblPr>
      <w:tblStyleRowBandSize w:val="1"/>
      <w:tblStyleColBandSize w:val="1"/>
      <w:tblBorders>
        <w:top w:val="single" w:sz="24" w:space="0" w:color="2D5638" w:themeColor="accent6"/>
        <w:left w:val="single" w:sz="4" w:space="0" w:color="004E5C" w:themeColor="accent5"/>
        <w:bottom w:val="single" w:sz="4" w:space="0" w:color="004E5C" w:themeColor="accent5"/>
        <w:right w:val="single" w:sz="4" w:space="0" w:color="004E5C" w:themeColor="accent5"/>
        <w:insideH w:val="single" w:sz="4" w:space="0" w:color="FFFFFF" w:themeColor="background1"/>
        <w:insideV w:val="single" w:sz="4" w:space="0" w:color="FFFFFF" w:themeColor="background1"/>
      </w:tblBorders>
    </w:tblPr>
    <w:tcPr>
      <w:shd w:val="clear" w:color="auto" w:fill="D6F8FF" w:themeFill="accent5"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2D563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E37" w:themeFill="accent5" w:themeFillShade="99"/>
      </w:tcPr>
    </w:tblStylePr>
    <w:tblStylePr w:type="firstCol">
      <w:rPr>
        <w:color w:val="FFFFFF" w:themeColor="background1"/>
      </w:rPr>
      <w:tblPr/>
      <w:tcPr>
        <w:tcBorders>
          <w:top w:val="nil"/>
          <w:left w:val="nil"/>
          <w:bottom w:val="nil"/>
          <w:right w:val="nil"/>
          <w:insideH w:val="single" w:sz="4" w:space="0" w:color="002E37" w:themeColor="accent5" w:themeShade="99"/>
          <w:insideV w:val="nil"/>
        </w:tcBorders>
        <w:shd w:val="clear" w:color="auto" w:fill="002E3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2E37" w:themeFill="accent5" w:themeFillShade="99"/>
      </w:tcPr>
    </w:tblStylePr>
    <w:tblStylePr w:type="band1Vert">
      <w:tblPr/>
      <w:tcPr>
        <w:shd w:val="clear" w:color="auto" w:fill="57E5FF" w:themeFill="accent5" w:themeFillTint="66"/>
      </w:tcPr>
    </w:tblStylePr>
    <w:tblStylePr w:type="band1Horz">
      <w:tblPr/>
      <w:tcPr>
        <w:shd w:val="clear" w:color="auto" w:fill="2EDF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9629FA"/>
    <w:rPr>
      <w:color w:val="000000" w:themeColor="text1"/>
    </w:rPr>
    <w:tblPr>
      <w:tblStyleRowBandSize w:val="1"/>
      <w:tblStyleColBandSize w:val="1"/>
      <w:tblBorders>
        <w:top w:val="single" w:sz="24" w:space="0" w:color="004E5C" w:themeColor="accent5"/>
        <w:left w:val="single" w:sz="4" w:space="0" w:color="2D5638" w:themeColor="accent6"/>
        <w:bottom w:val="single" w:sz="4" w:space="0" w:color="2D5638" w:themeColor="accent6"/>
        <w:right w:val="single" w:sz="4" w:space="0" w:color="2D5638" w:themeColor="accent6"/>
        <w:insideH w:val="single" w:sz="4" w:space="0" w:color="FFFFFF" w:themeColor="background1"/>
        <w:insideV w:val="single" w:sz="4" w:space="0" w:color="FFFFFF" w:themeColor="background1"/>
      </w:tblBorders>
    </w:tblPr>
    <w:tcPr>
      <w:shd w:val="clear" w:color="auto" w:fill="E6F2E9" w:themeFill="accent6"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004E5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3321" w:themeFill="accent6" w:themeFillShade="99"/>
      </w:tcPr>
    </w:tblStylePr>
    <w:tblStylePr w:type="firstCol">
      <w:rPr>
        <w:color w:val="FFFFFF" w:themeColor="background1"/>
      </w:rPr>
      <w:tblPr/>
      <w:tcPr>
        <w:tcBorders>
          <w:top w:val="nil"/>
          <w:left w:val="nil"/>
          <w:bottom w:val="nil"/>
          <w:right w:val="nil"/>
          <w:insideH w:val="single" w:sz="4" w:space="0" w:color="1B3321" w:themeColor="accent6" w:themeShade="99"/>
          <w:insideV w:val="nil"/>
        </w:tcBorders>
        <w:shd w:val="clear" w:color="auto" w:fill="1B332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B3321" w:themeFill="accent6" w:themeFillShade="99"/>
      </w:tcPr>
    </w:tblStylePr>
    <w:tblStylePr w:type="band1Vert">
      <w:tblPr/>
      <w:tcPr>
        <w:shd w:val="clear" w:color="auto" w:fill="9BCBA8" w:themeFill="accent6" w:themeFillTint="66"/>
      </w:tcPr>
    </w:tblStylePr>
    <w:tblStylePr w:type="band1Horz">
      <w:tblPr/>
      <w:tcPr>
        <w:shd w:val="clear" w:color="auto" w:fill="82BE9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629FA"/>
    <w:rPr>
      <w:rFonts w:asciiTheme="minorHAnsi" w:hAnsiTheme="minorHAnsi" w:cstheme="minorHAnsi"/>
      <w:sz w:val="16"/>
      <w:szCs w:val="16"/>
    </w:rPr>
  </w:style>
  <w:style w:type="paragraph" w:styleId="CommentText">
    <w:name w:val="annotation text"/>
    <w:basedOn w:val="Normal"/>
    <w:link w:val="CommentTextChar"/>
    <w:uiPriority w:val="99"/>
    <w:rsid w:val="009629FA"/>
    <w:pPr>
      <w:spacing w:line="240" w:lineRule="auto"/>
    </w:pPr>
  </w:style>
  <w:style w:type="character" w:customStyle="1" w:styleId="CommentTextChar">
    <w:name w:val="Comment Text Char"/>
    <w:basedOn w:val="DefaultParagraphFont"/>
    <w:link w:val="CommentText"/>
    <w:uiPriority w:val="99"/>
    <w:rsid w:val="009629FA"/>
    <w:rPr>
      <w:rFonts w:asciiTheme="minorHAnsi" w:eastAsia="MS Mincho" w:hAnsiTheme="minorHAnsi"/>
      <w:color w:val="000000" w:themeColor="text1"/>
      <w:sz w:val="22"/>
      <w:lang w:val="en-AU" w:eastAsia="ja-JP"/>
    </w:rPr>
  </w:style>
  <w:style w:type="paragraph" w:styleId="CommentSubject">
    <w:name w:val="annotation subject"/>
    <w:basedOn w:val="CommentText"/>
    <w:next w:val="CommentText"/>
    <w:link w:val="CommentSubjectChar"/>
    <w:uiPriority w:val="99"/>
    <w:semiHidden/>
    <w:rsid w:val="009629FA"/>
    <w:rPr>
      <w:b/>
      <w:bCs/>
    </w:rPr>
  </w:style>
  <w:style w:type="character" w:customStyle="1" w:styleId="CommentSubjectChar">
    <w:name w:val="Comment Subject Char"/>
    <w:basedOn w:val="CommentTextChar"/>
    <w:link w:val="CommentSubject"/>
    <w:uiPriority w:val="99"/>
    <w:semiHidden/>
    <w:rsid w:val="009629FA"/>
    <w:rPr>
      <w:rFonts w:asciiTheme="minorHAnsi" w:eastAsia="MS Mincho" w:hAnsiTheme="minorHAnsi"/>
      <w:b/>
      <w:bCs/>
      <w:color w:val="000000" w:themeColor="text1"/>
      <w:sz w:val="22"/>
      <w:lang w:val="en-AU" w:eastAsia="ja-JP"/>
    </w:rPr>
  </w:style>
  <w:style w:type="table" w:styleId="DarkList">
    <w:name w:val="Dark List"/>
    <w:basedOn w:val="TableNormal"/>
    <w:uiPriority w:val="98"/>
    <w:rsid w:val="009629FA"/>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9629FA"/>
    <w:rPr>
      <w:color w:val="FFFFFF" w:themeColor="background1"/>
    </w:rPr>
    <w:tblPr>
      <w:tblStyleRowBandSize w:val="1"/>
      <w:tblStyleColBandSize w:val="1"/>
    </w:tblPr>
    <w:tcPr>
      <w:shd w:val="clear" w:color="auto" w:fill="6CBBA8" w:themeFill="accent1"/>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E645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596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59683" w:themeFill="accent1" w:themeFillShade="BF"/>
      </w:tcPr>
    </w:tblStylePr>
    <w:tblStylePr w:type="band1Vert">
      <w:tblPr/>
      <w:tcPr>
        <w:tcBorders>
          <w:top w:val="nil"/>
          <w:left w:val="nil"/>
          <w:bottom w:val="nil"/>
          <w:right w:val="nil"/>
          <w:insideH w:val="nil"/>
          <w:insideV w:val="nil"/>
        </w:tcBorders>
        <w:shd w:val="clear" w:color="auto" w:fill="459683" w:themeFill="accent1" w:themeFillShade="BF"/>
      </w:tcPr>
    </w:tblStylePr>
    <w:tblStylePr w:type="band1Horz">
      <w:tblPr/>
      <w:tcPr>
        <w:tcBorders>
          <w:top w:val="nil"/>
          <w:left w:val="nil"/>
          <w:bottom w:val="nil"/>
          <w:right w:val="nil"/>
          <w:insideH w:val="nil"/>
          <w:insideV w:val="nil"/>
        </w:tcBorders>
        <w:shd w:val="clear" w:color="auto" w:fill="459683" w:themeFill="accent1" w:themeFillShade="BF"/>
      </w:tcPr>
    </w:tblStylePr>
  </w:style>
  <w:style w:type="table" w:styleId="DarkList-Accent2">
    <w:name w:val="Dark List Accent 2"/>
    <w:basedOn w:val="TableNormal"/>
    <w:uiPriority w:val="98"/>
    <w:rsid w:val="009629FA"/>
    <w:rPr>
      <w:color w:val="FFFFFF" w:themeColor="background1"/>
    </w:rPr>
    <w:tblPr>
      <w:tblStyleRowBandSize w:val="1"/>
      <w:tblStyleColBandSize w:val="1"/>
    </w:tblPr>
    <w:tcPr>
      <w:shd w:val="clear" w:color="auto" w:fill="2A3759" w:themeFill="accent2"/>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1B2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F294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F2942" w:themeFill="accent2" w:themeFillShade="BF"/>
      </w:tcPr>
    </w:tblStylePr>
    <w:tblStylePr w:type="band1Vert">
      <w:tblPr/>
      <w:tcPr>
        <w:tcBorders>
          <w:top w:val="nil"/>
          <w:left w:val="nil"/>
          <w:bottom w:val="nil"/>
          <w:right w:val="nil"/>
          <w:insideH w:val="nil"/>
          <w:insideV w:val="nil"/>
        </w:tcBorders>
        <w:shd w:val="clear" w:color="auto" w:fill="1F2942" w:themeFill="accent2" w:themeFillShade="BF"/>
      </w:tcPr>
    </w:tblStylePr>
    <w:tblStylePr w:type="band1Horz">
      <w:tblPr/>
      <w:tcPr>
        <w:tcBorders>
          <w:top w:val="nil"/>
          <w:left w:val="nil"/>
          <w:bottom w:val="nil"/>
          <w:right w:val="nil"/>
          <w:insideH w:val="nil"/>
          <w:insideV w:val="nil"/>
        </w:tcBorders>
        <w:shd w:val="clear" w:color="auto" w:fill="1F2942" w:themeFill="accent2" w:themeFillShade="BF"/>
      </w:tcPr>
    </w:tblStylePr>
  </w:style>
  <w:style w:type="table" w:styleId="DarkList-Accent3">
    <w:name w:val="Dark List Accent 3"/>
    <w:basedOn w:val="TableNormal"/>
    <w:uiPriority w:val="98"/>
    <w:rsid w:val="009629FA"/>
    <w:rPr>
      <w:color w:val="FFFFFF" w:themeColor="background1"/>
    </w:rPr>
    <w:tblPr>
      <w:tblStyleRowBandSize w:val="1"/>
      <w:tblStyleColBandSize w:val="1"/>
    </w:tblPr>
    <w:tcPr>
      <w:shd w:val="clear" w:color="auto" w:fill="81BD00" w:themeFill="accent3"/>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5E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08D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08D00" w:themeFill="accent3" w:themeFillShade="BF"/>
      </w:tcPr>
    </w:tblStylePr>
    <w:tblStylePr w:type="band1Vert">
      <w:tblPr/>
      <w:tcPr>
        <w:tcBorders>
          <w:top w:val="nil"/>
          <w:left w:val="nil"/>
          <w:bottom w:val="nil"/>
          <w:right w:val="nil"/>
          <w:insideH w:val="nil"/>
          <w:insideV w:val="nil"/>
        </w:tcBorders>
        <w:shd w:val="clear" w:color="auto" w:fill="608D00" w:themeFill="accent3" w:themeFillShade="BF"/>
      </w:tcPr>
    </w:tblStylePr>
    <w:tblStylePr w:type="band1Horz">
      <w:tblPr/>
      <w:tcPr>
        <w:tcBorders>
          <w:top w:val="nil"/>
          <w:left w:val="nil"/>
          <w:bottom w:val="nil"/>
          <w:right w:val="nil"/>
          <w:insideH w:val="nil"/>
          <w:insideV w:val="nil"/>
        </w:tcBorders>
        <w:shd w:val="clear" w:color="auto" w:fill="608D00" w:themeFill="accent3" w:themeFillShade="BF"/>
      </w:tcPr>
    </w:tblStylePr>
  </w:style>
  <w:style w:type="table" w:styleId="DarkList-Accent4">
    <w:name w:val="Dark List Accent 4"/>
    <w:basedOn w:val="TableNormal"/>
    <w:uiPriority w:val="98"/>
    <w:rsid w:val="009629FA"/>
    <w:rPr>
      <w:color w:val="FFFFFF" w:themeColor="background1"/>
    </w:rPr>
    <w:tblPr>
      <w:tblStyleRowBandSize w:val="1"/>
      <w:tblStyleColBandSize w:val="1"/>
    </w:tblPr>
    <w:tcPr>
      <w:shd w:val="clear" w:color="auto" w:fill="D1BEBA" w:themeFill="accent4"/>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554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857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857E" w:themeFill="accent4" w:themeFillShade="BF"/>
      </w:tcPr>
    </w:tblStylePr>
    <w:tblStylePr w:type="band1Vert">
      <w:tblPr/>
      <w:tcPr>
        <w:tcBorders>
          <w:top w:val="nil"/>
          <w:left w:val="nil"/>
          <w:bottom w:val="nil"/>
          <w:right w:val="nil"/>
          <w:insideH w:val="nil"/>
          <w:insideV w:val="nil"/>
        </w:tcBorders>
        <w:shd w:val="clear" w:color="auto" w:fill="A9857E" w:themeFill="accent4" w:themeFillShade="BF"/>
      </w:tcPr>
    </w:tblStylePr>
    <w:tblStylePr w:type="band1Horz">
      <w:tblPr/>
      <w:tcPr>
        <w:tcBorders>
          <w:top w:val="nil"/>
          <w:left w:val="nil"/>
          <w:bottom w:val="nil"/>
          <w:right w:val="nil"/>
          <w:insideH w:val="nil"/>
          <w:insideV w:val="nil"/>
        </w:tcBorders>
        <w:shd w:val="clear" w:color="auto" w:fill="A9857E" w:themeFill="accent4" w:themeFillShade="BF"/>
      </w:tcPr>
    </w:tblStylePr>
  </w:style>
  <w:style w:type="table" w:styleId="DarkList-Accent5">
    <w:name w:val="Dark List Accent 5"/>
    <w:basedOn w:val="TableNormal"/>
    <w:uiPriority w:val="98"/>
    <w:rsid w:val="009629FA"/>
    <w:rPr>
      <w:color w:val="FFFFFF" w:themeColor="background1"/>
    </w:rPr>
    <w:tblPr>
      <w:tblStyleRowBandSize w:val="1"/>
      <w:tblStyleColBandSize w:val="1"/>
    </w:tblPr>
    <w:tcPr>
      <w:shd w:val="clear" w:color="auto" w:fill="004E5C" w:themeFill="accent5"/>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62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3A4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3A44" w:themeFill="accent5" w:themeFillShade="BF"/>
      </w:tcPr>
    </w:tblStylePr>
    <w:tblStylePr w:type="band1Vert">
      <w:tblPr/>
      <w:tcPr>
        <w:tcBorders>
          <w:top w:val="nil"/>
          <w:left w:val="nil"/>
          <w:bottom w:val="nil"/>
          <w:right w:val="nil"/>
          <w:insideH w:val="nil"/>
          <w:insideV w:val="nil"/>
        </w:tcBorders>
        <w:shd w:val="clear" w:color="auto" w:fill="003A44" w:themeFill="accent5" w:themeFillShade="BF"/>
      </w:tcPr>
    </w:tblStylePr>
    <w:tblStylePr w:type="band1Horz">
      <w:tblPr/>
      <w:tcPr>
        <w:tcBorders>
          <w:top w:val="nil"/>
          <w:left w:val="nil"/>
          <w:bottom w:val="nil"/>
          <w:right w:val="nil"/>
          <w:insideH w:val="nil"/>
          <w:insideV w:val="nil"/>
        </w:tcBorders>
        <w:shd w:val="clear" w:color="auto" w:fill="003A44" w:themeFill="accent5" w:themeFillShade="BF"/>
      </w:tcPr>
    </w:tblStylePr>
  </w:style>
  <w:style w:type="table" w:styleId="DarkList-Accent6">
    <w:name w:val="Dark List Accent 6"/>
    <w:basedOn w:val="TableNormal"/>
    <w:uiPriority w:val="98"/>
    <w:rsid w:val="009629FA"/>
    <w:rPr>
      <w:color w:val="FFFFFF" w:themeColor="background1"/>
    </w:rPr>
    <w:tblPr>
      <w:tblStyleRowBandSize w:val="1"/>
      <w:tblStyleColBandSize w:val="1"/>
    </w:tblPr>
    <w:tcPr>
      <w:shd w:val="clear" w:color="auto" w:fill="2D5638" w:themeFill="accent6"/>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1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21402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214029" w:themeFill="accent6" w:themeFillShade="BF"/>
      </w:tcPr>
    </w:tblStylePr>
    <w:tblStylePr w:type="band1Vert">
      <w:tblPr/>
      <w:tcPr>
        <w:tcBorders>
          <w:top w:val="nil"/>
          <w:left w:val="nil"/>
          <w:bottom w:val="nil"/>
          <w:right w:val="nil"/>
          <w:insideH w:val="nil"/>
          <w:insideV w:val="nil"/>
        </w:tcBorders>
        <w:shd w:val="clear" w:color="auto" w:fill="214029" w:themeFill="accent6" w:themeFillShade="BF"/>
      </w:tcPr>
    </w:tblStylePr>
    <w:tblStylePr w:type="band1Horz">
      <w:tblPr/>
      <w:tcPr>
        <w:tcBorders>
          <w:top w:val="nil"/>
          <w:left w:val="nil"/>
          <w:bottom w:val="nil"/>
          <w:right w:val="nil"/>
          <w:insideH w:val="nil"/>
          <w:insideV w:val="nil"/>
        </w:tcBorders>
        <w:shd w:val="clear" w:color="auto" w:fill="214029" w:themeFill="accent6" w:themeFillShade="BF"/>
      </w:tcPr>
    </w:tblStylePr>
  </w:style>
  <w:style w:type="paragraph" w:customStyle="1" w:styleId="TableHeading">
    <w:name w:val="Table Heading"/>
    <w:basedOn w:val="TableText"/>
    <w:uiPriority w:val="6"/>
    <w:qFormat/>
    <w:rsid w:val="007E36DA"/>
    <w:rPr>
      <w:b/>
      <w:color w:val="FFFFFF"/>
    </w:rPr>
  </w:style>
  <w:style w:type="paragraph" w:styleId="DocumentMap">
    <w:name w:val="Document Map"/>
    <w:basedOn w:val="Normal"/>
    <w:link w:val="DocumentMapChar"/>
    <w:uiPriority w:val="97"/>
    <w:semiHidden/>
    <w:rsid w:val="009629FA"/>
    <w:pPr>
      <w:spacing w:after="0" w:line="240" w:lineRule="auto"/>
    </w:pPr>
    <w:rPr>
      <w:sz w:val="16"/>
      <w:szCs w:val="16"/>
    </w:rPr>
  </w:style>
  <w:style w:type="character" w:customStyle="1" w:styleId="DocumentMapChar">
    <w:name w:val="Document Map Char"/>
    <w:basedOn w:val="DefaultParagraphFont"/>
    <w:link w:val="DocumentMap"/>
    <w:uiPriority w:val="97"/>
    <w:semiHidden/>
    <w:rsid w:val="009629FA"/>
    <w:rPr>
      <w:rFonts w:asciiTheme="minorHAnsi" w:eastAsia="MS Mincho" w:hAnsiTheme="minorHAnsi"/>
      <w:color w:val="000000" w:themeColor="text1"/>
      <w:sz w:val="16"/>
      <w:szCs w:val="16"/>
      <w:lang w:val="en-AU" w:eastAsia="ja-JP"/>
    </w:rPr>
  </w:style>
  <w:style w:type="paragraph" w:styleId="E-mailSignature">
    <w:name w:val="E-mail Signature"/>
    <w:basedOn w:val="Normal"/>
    <w:link w:val="E-mailSignatureChar"/>
    <w:uiPriority w:val="97"/>
    <w:semiHidden/>
    <w:rsid w:val="009629FA"/>
    <w:pPr>
      <w:spacing w:after="0" w:line="240" w:lineRule="auto"/>
    </w:pPr>
  </w:style>
  <w:style w:type="character" w:customStyle="1" w:styleId="E-mailSignatureChar">
    <w:name w:val="E-mail Signature Char"/>
    <w:basedOn w:val="DefaultParagraphFont"/>
    <w:link w:val="E-mailSignature"/>
    <w:uiPriority w:val="97"/>
    <w:semiHidden/>
    <w:rsid w:val="009629FA"/>
    <w:rPr>
      <w:rFonts w:asciiTheme="minorHAnsi" w:eastAsia="MS Mincho" w:hAnsiTheme="minorHAnsi"/>
      <w:color w:val="000000" w:themeColor="text1"/>
      <w:sz w:val="22"/>
      <w:lang w:val="en-AU" w:eastAsia="ja-JP"/>
    </w:rPr>
  </w:style>
  <w:style w:type="character" w:styleId="Emphasis">
    <w:name w:val="Emphasis"/>
    <w:basedOn w:val="DefaultParagraphFont"/>
    <w:uiPriority w:val="20"/>
    <w:qFormat/>
    <w:rsid w:val="009629FA"/>
    <w:rPr>
      <w:rFonts w:asciiTheme="minorHAnsi" w:hAnsiTheme="minorHAnsi" w:cstheme="minorHAnsi"/>
      <w:i/>
      <w:iCs/>
    </w:rPr>
  </w:style>
  <w:style w:type="character" w:styleId="EndnoteReference">
    <w:name w:val="endnote reference"/>
    <w:basedOn w:val="DefaultParagraphFont"/>
    <w:uiPriority w:val="97"/>
    <w:semiHidden/>
    <w:rsid w:val="009629FA"/>
    <w:rPr>
      <w:rFonts w:asciiTheme="minorHAnsi" w:hAnsiTheme="minorHAnsi" w:cstheme="minorHAnsi"/>
      <w:vertAlign w:val="superscript"/>
    </w:rPr>
  </w:style>
  <w:style w:type="paragraph" w:styleId="EndnoteText">
    <w:name w:val="endnote text"/>
    <w:basedOn w:val="Normal"/>
    <w:link w:val="EndnoteTextChar"/>
    <w:uiPriority w:val="97"/>
    <w:semiHidden/>
    <w:rsid w:val="009629FA"/>
    <w:pPr>
      <w:spacing w:after="0" w:line="240" w:lineRule="auto"/>
    </w:pPr>
  </w:style>
  <w:style w:type="character" w:customStyle="1" w:styleId="EndnoteTextChar">
    <w:name w:val="Endnote Text Char"/>
    <w:basedOn w:val="DefaultParagraphFont"/>
    <w:link w:val="EndnoteText"/>
    <w:uiPriority w:val="97"/>
    <w:semiHidden/>
    <w:rsid w:val="009629FA"/>
    <w:rPr>
      <w:rFonts w:asciiTheme="minorHAnsi" w:eastAsia="MS Mincho" w:hAnsiTheme="minorHAnsi"/>
      <w:color w:val="000000" w:themeColor="text1"/>
      <w:sz w:val="22"/>
      <w:lang w:val="en-AU" w:eastAsia="ja-JP"/>
    </w:rPr>
  </w:style>
  <w:style w:type="paragraph" w:styleId="EnvelopeAddress">
    <w:name w:val="envelope address"/>
    <w:basedOn w:val="Normal"/>
    <w:uiPriority w:val="97"/>
    <w:semiHidden/>
    <w:rsid w:val="009629FA"/>
    <w:pPr>
      <w:framePr w:w="7920" w:h="1980" w:hRule="exact" w:hSpace="180" w:wrap="auto" w:hAnchor="page" w:xAlign="center" w:yAlign="bottom"/>
      <w:spacing w:after="0" w:line="240" w:lineRule="auto"/>
      <w:ind w:left="2880"/>
    </w:pPr>
    <w:rPr>
      <w:rFonts w:eastAsiaTheme="majorEastAsia"/>
    </w:rPr>
  </w:style>
  <w:style w:type="paragraph" w:styleId="EnvelopeReturn">
    <w:name w:val="envelope return"/>
    <w:basedOn w:val="Normal"/>
    <w:uiPriority w:val="97"/>
    <w:semiHidden/>
    <w:rsid w:val="009629FA"/>
    <w:pPr>
      <w:spacing w:after="0" w:line="240" w:lineRule="auto"/>
    </w:pPr>
    <w:rPr>
      <w:rFonts w:eastAsiaTheme="majorEastAsia"/>
    </w:rPr>
  </w:style>
  <w:style w:type="character" w:styleId="FollowedHyperlink">
    <w:name w:val="FollowedHyperlink"/>
    <w:basedOn w:val="DefaultParagraphFont"/>
    <w:uiPriority w:val="99"/>
    <w:semiHidden/>
    <w:rsid w:val="009629FA"/>
    <w:rPr>
      <w:rFonts w:asciiTheme="minorHAnsi" w:hAnsiTheme="minorHAnsi" w:cstheme="minorHAnsi"/>
      <w:color w:val="2A3759" w:themeColor="followedHyperlink"/>
      <w:u w:val="single"/>
    </w:rPr>
  </w:style>
  <w:style w:type="character" w:styleId="FootnoteReference">
    <w:name w:val="footnote reference"/>
    <w:basedOn w:val="DefaultParagraphFont"/>
    <w:uiPriority w:val="99"/>
    <w:semiHidden/>
    <w:rsid w:val="009629FA"/>
    <w:rPr>
      <w:rFonts w:asciiTheme="minorHAnsi" w:hAnsiTheme="minorHAnsi" w:cstheme="minorHAnsi"/>
      <w:vertAlign w:val="superscript"/>
    </w:rPr>
  </w:style>
  <w:style w:type="character" w:styleId="HTMLAcronym">
    <w:name w:val="HTML Acronym"/>
    <w:basedOn w:val="DefaultParagraphFont"/>
    <w:uiPriority w:val="97"/>
    <w:semiHidden/>
    <w:rsid w:val="009629FA"/>
    <w:rPr>
      <w:rFonts w:asciiTheme="minorHAnsi" w:hAnsiTheme="minorHAnsi" w:cstheme="minorHAnsi"/>
    </w:rPr>
  </w:style>
  <w:style w:type="paragraph" w:styleId="HTMLAddress">
    <w:name w:val="HTML Address"/>
    <w:basedOn w:val="Normal"/>
    <w:link w:val="HTMLAddressChar"/>
    <w:uiPriority w:val="97"/>
    <w:semiHidden/>
    <w:rsid w:val="009629FA"/>
    <w:pPr>
      <w:spacing w:after="0" w:line="240" w:lineRule="auto"/>
    </w:pPr>
    <w:rPr>
      <w:i/>
      <w:iCs/>
    </w:rPr>
  </w:style>
  <w:style w:type="character" w:customStyle="1" w:styleId="HTMLAddressChar">
    <w:name w:val="HTML Address Char"/>
    <w:basedOn w:val="DefaultParagraphFont"/>
    <w:link w:val="HTMLAddress"/>
    <w:uiPriority w:val="97"/>
    <w:semiHidden/>
    <w:rsid w:val="009629FA"/>
    <w:rPr>
      <w:rFonts w:asciiTheme="minorHAnsi" w:eastAsia="MS Mincho" w:hAnsiTheme="minorHAnsi"/>
      <w:i/>
      <w:iCs/>
      <w:color w:val="000000" w:themeColor="text1"/>
      <w:sz w:val="22"/>
      <w:lang w:val="en-AU" w:eastAsia="ja-JP"/>
    </w:rPr>
  </w:style>
  <w:style w:type="character" w:styleId="HTMLCite">
    <w:name w:val="HTML Cite"/>
    <w:basedOn w:val="DefaultParagraphFont"/>
    <w:uiPriority w:val="97"/>
    <w:semiHidden/>
    <w:rsid w:val="009629FA"/>
    <w:rPr>
      <w:rFonts w:asciiTheme="minorHAnsi" w:hAnsiTheme="minorHAnsi" w:cstheme="minorHAnsi"/>
      <w:i/>
      <w:iCs/>
    </w:rPr>
  </w:style>
  <w:style w:type="character" w:styleId="HTMLCode">
    <w:name w:val="HTML Code"/>
    <w:basedOn w:val="DefaultParagraphFont"/>
    <w:uiPriority w:val="97"/>
    <w:semiHidden/>
    <w:rsid w:val="009629FA"/>
    <w:rPr>
      <w:rFonts w:ascii="Consolas" w:hAnsi="Consolas" w:cs="Consolas"/>
      <w:sz w:val="20"/>
      <w:szCs w:val="20"/>
    </w:rPr>
  </w:style>
  <w:style w:type="character" w:styleId="HTMLDefinition">
    <w:name w:val="HTML Definition"/>
    <w:basedOn w:val="DefaultParagraphFont"/>
    <w:uiPriority w:val="97"/>
    <w:semiHidden/>
    <w:rsid w:val="009629FA"/>
    <w:rPr>
      <w:rFonts w:asciiTheme="minorHAnsi" w:hAnsiTheme="minorHAnsi" w:cstheme="minorHAnsi"/>
      <w:i/>
      <w:iCs/>
    </w:rPr>
  </w:style>
  <w:style w:type="character" w:styleId="HTMLKeyboard">
    <w:name w:val="HTML Keyboard"/>
    <w:basedOn w:val="DefaultParagraphFont"/>
    <w:uiPriority w:val="97"/>
    <w:semiHidden/>
    <w:rsid w:val="009629FA"/>
    <w:rPr>
      <w:rFonts w:ascii="Consolas" w:hAnsi="Consolas" w:cs="Consolas"/>
      <w:sz w:val="20"/>
      <w:szCs w:val="20"/>
    </w:rPr>
  </w:style>
  <w:style w:type="paragraph" w:styleId="HTMLPreformatted">
    <w:name w:val="HTML Preformatted"/>
    <w:basedOn w:val="Normal"/>
    <w:link w:val="HTMLPreformattedChar"/>
    <w:uiPriority w:val="97"/>
    <w:semiHidden/>
    <w:rsid w:val="009629FA"/>
    <w:pPr>
      <w:spacing w:after="0" w:line="240" w:lineRule="auto"/>
    </w:pPr>
  </w:style>
  <w:style w:type="character" w:customStyle="1" w:styleId="HTMLPreformattedChar">
    <w:name w:val="HTML Preformatted Char"/>
    <w:basedOn w:val="DefaultParagraphFont"/>
    <w:link w:val="HTMLPreformatted"/>
    <w:uiPriority w:val="97"/>
    <w:semiHidden/>
    <w:rsid w:val="009629FA"/>
    <w:rPr>
      <w:rFonts w:asciiTheme="minorHAnsi" w:eastAsia="MS Mincho" w:hAnsiTheme="minorHAnsi"/>
      <w:color w:val="000000" w:themeColor="text1"/>
      <w:sz w:val="22"/>
      <w:lang w:val="en-AU" w:eastAsia="ja-JP"/>
    </w:rPr>
  </w:style>
  <w:style w:type="character" w:styleId="HTMLSample">
    <w:name w:val="HTML Sample"/>
    <w:basedOn w:val="DefaultParagraphFont"/>
    <w:uiPriority w:val="97"/>
    <w:semiHidden/>
    <w:rsid w:val="009629FA"/>
    <w:rPr>
      <w:rFonts w:ascii="Consolas" w:hAnsi="Consolas" w:cs="Consolas"/>
      <w:sz w:val="24"/>
      <w:szCs w:val="24"/>
    </w:rPr>
  </w:style>
  <w:style w:type="character" w:styleId="HTMLTypewriter">
    <w:name w:val="HTML Typewriter"/>
    <w:basedOn w:val="DefaultParagraphFont"/>
    <w:uiPriority w:val="97"/>
    <w:semiHidden/>
    <w:rsid w:val="009629FA"/>
    <w:rPr>
      <w:rFonts w:ascii="Consolas" w:hAnsi="Consolas" w:cs="Consolas"/>
      <w:sz w:val="20"/>
      <w:szCs w:val="20"/>
    </w:rPr>
  </w:style>
  <w:style w:type="character" w:styleId="HTMLVariable">
    <w:name w:val="HTML Variable"/>
    <w:basedOn w:val="DefaultParagraphFont"/>
    <w:uiPriority w:val="97"/>
    <w:semiHidden/>
    <w:rsid w:val="009629FA"/>
    <w:rPr>
      <w:rFonts w:asciiTheme="minorHAnsi" w:hAnsiTheme="minorHAnsi" w:cstheme="minorHAnsi"/>
      <w:i/>
      <w:iCs/>
    </w:rPr>
  </w:style>
  <w:style w:type="character" w:styleId="Hyperlink">
    <w:name w:val="Hyperlink"/>
    <w:basedOn w:val="DefaultParagraphFont"/>
    <w:uiPriority w:val="99"/>
    <w:rsid w:val="009629FA"/>
    <w:rPr>
      <w:rFonts w:asciiTheme="minorHAnsi" w:hAnsiTheme="minorHAnsi" w:cstheme="minorHAnsi"/>
      <w:color w:val="004E5C" w:themeColor="hyperlink"/>
      <w:u w:val="single"/>
    </w:rPr>
  </w:style>
  <w:style w:type="paragraph" w:styleId="Index1">
    <w:name w:val="index 1"/>
    <w:basedOn w:val="Normal"/>
    <w:next w:val="Normal"/>
    <w:autoRedefine/>
    <w:uiPriority w:val="97"/>
    <w:semiHidden/>
    <w:rsid w:val="009629FA"/>
    <w:pPr>
      <w:spacing w:after="0" w:line="240" w:lineRule="auto"/>
      <w:ind w:left="200" w:hanging="200"/>
    </w:pPr>
  </w:style>
  <w:style w:type="paragraph" w:styleId="Index2">
    <w:name w:val="index 2"/>
    <w:basedOn w:val="Normal"/>
    <w:next w:val="Normal"/>
    <w:autoRedefine/>
    <w:uiPriority w:val="97"/>
    <w:semiHidden/>
    <w:rsid w:val="009629FA"/>
    <w:pPr>
      <w:spacing w:after="0" w:line="240" w:lineRule="auto"/>
      <w:ind w:left="400" w:hanging="200"/>
    </w:pPr>
  </w:style>
  <w:style w:type="paragraph" w:styleId="Index3">
    <w:name w:val="index 3"/>
    <w:basedOn w:val="Normal"/>
    <w:next w:val="Normal"/>
    <w:autoRedefine/>
    <w:uiPriority w:val="97"/>
    <w:semiHidden/>
    <w:rsid w:val="009629FA"/>
    <w:pPr>
      <w:spacing w:after="0" w:line="240" w:lineRule="auto"/>
      <w:ind w:left="600" w:hanging="200"/>
    </w:pPr>
  </w:style>
  <w:style w:type="paragraph" w:styleId="Index4">
    <w:name w:val="index 4"/>
    <w:basedOn w:val="Normal"/>
    <w:next w:val="Normal"/>
    <w:autoRedefine/>
    <w:uiPriority w:val="97"/>
    <w:semiHidden/>
    <w:rsid w:val="009629FA"/>
    <w:pPr>
      <w:spacing w:after="0" w:line="240" w:lineRule="auto"/>
      <w:ind w:left="800" w:hanging="200"/>
    </w:pPr>
  </w:style>
  <w:style w:type="paragraph" w:styleId="Index5">
    <w:name w:val="index 5"/>
    <w:basedOn w:val="Normal"/>
    <w:next w:val="Normal"/>
    <w:autoRedefine/>
    <w:uiPriority w:val="97"/>
    <w:semiHidden/>
    <w:rsid w:val="009629FA"/>
    <w:pPr>
      <w:spacing w:after="0" w:line="240" w:lineRule="auto"/>
      <w:ind w:left="1000" w:hanging="200"/>
    </w:pPr>
  </w:style>
  <w:style w:type="paragraph" w:styleId="Index6">
    <w:name w:val="index 6"/>
    <w:basedOn w:val="Normal"/>
    <w:next w:val="Normal"/>
    <w:autoRedefine/>
    <w:uiPriority w:val="97"/>
    <w:semiHidden/>
    <w:rsid w:val="009629FA"/>
    <w:pPr>
      <w:spacing w:after="0" w:line="240" w:lineRule="auto"/>
      <w:ind w:left="1200" w:hanging="200"/>
    </w:pPr>
  </w:style>
  <w:style w:type="paragraph" w:styleId="Index7">
    <w:name w:val="index 7"/>
    <w:basedOn w:val="Normal"/>
    <w:next w:val="Normal"/>
    <w:autoRedefine/>
    <w:uiPriority w:val="97"/>
    <w:semiHidden/>
    <w:rsid w:val="009629FA"/>
    <w:pPr>
      <w:spacing w:after="0" w:line="240" w:lineRule="auto"/>
      <w:ind w:left="1400" w:hanging="200"/>
    </w:pPr>
  </w:style>
  <w:style w:type="paragraph" w:styleId="Index8">
    <w:name w:val="index 8"/>
    <w:basedOn w:val="Normal"/>
    <w:next w:val="Normal"/>
    <w:autoRedefine/>
    <w:uiPriority w:val="97"/>
    <w:semiHidden/>
    <w:rsid w:val="009629FA"/>
    <w:pPr>
      <w:spacing w:after="0" w:line="240" w:lineRule="auto"/>
      <w:ind w:left="1600" w:hanging="200"/>
    </w:pPr>
  </w:style>
  <w:style w:type="paragraph" w:styleId="Index9">
    <w:name w:val="index 9"/>
    <w:basedOn w:val="Normal"/>
    <w:next w:val="Normal"/>
    <w:autoRedefine/>
    <w:uiPriority w:val="97"/>
    <w:semiHidden/>
    <w:rsid w:val="009629FA"/>
    <w:pPr>
      <w:spacing w:after="0" w:line="240" w:lineRule="auto"/>
      <w:ind w:left="1800" w:hanging="200"/>
    </w:pPr>
  </w:style>
  <w:style w:type="paragraph" w:styleId="IndexHeading">
    <w:name w:val="index heading"/>
    <w:basedOn w:val="Normal"/>
    <w:next w:val="Index1"/>
    <w:uiPriority w:val="97"/>
    <w:semiHidden/>
    <w:rsid w:val="009629FA"/>
    <w:rPr>
      <w:rFonts w:asciiTheme="majorHAnsi" w:eastAsiaTheme="majorEastAsia" w:hAnsiTheme="majorHAnsi" w:cstheme="majorHAnsi"/>
      <w:b/>
      <w:bCs/>
    </w:rPr>
  </w:style>
  <w:style w:type="character" w:styleId="IntenseEmphasis">
    <w:name w:val="Intense Emphasis"/>
    <w:basedOn w:val="DefaultParagraphFont"/>
    <w:uiPriority w:val="97"/>
    <w:semiHidden/>
    <w:rsid w:val="009629FA"/>
    <w:rPr>
      <w:rFonts w:asciiTheme="minorHAnsi" w:hAnsiTheme="minorHAnsi" w:cstheme="minorHAnsi"/>
      <w:b/>
      <w:bCs/>
      <w:i/>
      <w:iCs/>
      <w:color w:val="6CBBA8" w:themeColor="accent1"/>
    </w:rPr>
  </w:style>
  <w:style w:type="paragraph" w:styleId="IntenseQuote">
    <w:name w:val="Intense Quote"/>
    <w:basedOn w:val="Normal"/>
    <w:next w:val="Normal"/>
    <w:link w:val="IntenseQuoteChar"/>
    <w:uiPriority w:val="97"/>
    <w:semiHidden/>
    <w:rsid w:val="009629FA"/>
    <w:pPr>
      <w:pBdr>
        <w:bottom w:val="single" w:sz="4" w:space="4" w:color="6CBBA8" w:themeColor="accent1"/>
      </w:pBdr>
      <w:spacing w:before="200" w:after="280"/>
      <w:ind w:left="936" w:right="936"/>
    </w:pPr>
    <w:rPr>
      <w:b/>
      <w:bCs/>
      <w:i/>
      <w:iCs/>
      <w:color w:val="6CBBA8" w:themeColor="accent1"/>
    </w:rPr>
  </w:style>
  <w:style w:type="character" w:customStyle="1" w:styleId="IntenseQuoteChar">
    <w:name w:val="Intense Quote Char"/>
    <w:basedOn w:val="DefaultParagraphFont"/>
    <w:link w:val="IntenseQuote"/>
    <w:uiPriority w:val="97"/>
    <w:semiHidden/>
    <w:rsid w:val="009629FA"/>
    <w:rPr>
      <w:rFonts w:asciiTheme="minorHAnsi" w:eastAsia="MS Mincho" w:hAnsiTheme="minorHAnsi"/>
      <w:b/>
      <w:bCs/>
      <w:i/>
      <w:iCs/>
      <w:color w:val="6CBBA8" w:themeColor="accent1"/>
      <w:sz w:val="22"/>
      <w:lang w:val="en-AU" w:eastAsia="ja-JP"/>
    </w:rPr>
  </w:style>
  <w:style w:type="character" w:styleId="IntenseReference">
    <w:name w:val="Intense Reference"/>
    <w:basedOn w:val="DefaultParagraphFont"/>
    <w:uiPriority w:val="97"/>
    <w:semiHidden/>
    <w:rsid w:val="009629FA"/>
    <w:rPr>
      <w:rFonts w:asciiTheme="minorHAnsi" w:hAnsiTheme="minorHAnsi" w:cstheme="minorHAnsi"/>
      <w:b/>
      <w:bCs/>
      <w:smallCaps/>
      <w:color w:val="2A3759" w:themeColor="accent2"/>
      <w:spacing w:val="5"/>
      <w:u w:val="single"/>
    </w:rPr>
  </w:style>
  <w:style w:type="table" w:styleId="LightGrid">
    <w:name w:val="Light Grid"/>
    <w:basedOn w:val="TableNormal"/>
    <w:uiPriority w:val="98"/>
    <w:rsid w:val="009629F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9629FA"/>
    <w:tblPr>
      <w:tblStyleRowBandSize w:val="1"/>
      <w:tblStyleColBandSize w:val="1"/>
      <w:tblBorders>
        <w:top w:val="single" w:sz="8" w:space="0" w:color="6CBBA8" w:themeColor="accent1"/>
        <w:left w:val="single" w:sz="8" w:space="0" w:color="6CBBA8" w:themeColor="accent1"/>
        <w:bottom w:val="single" w:sz="8" w:space="0" w:color="6CBBA8" w:themeColor="accent1"/>
        <w:right w:val="single" w:sz="8" w:space="0" w:color="6CBBA8" w:themeColor="accent1"/>
        <w:insideH w:val="single" w:sz="8" w:space="0" w:color="6CBBA8" w:themeColor="accent1"/>
        <w:insideV w:val="single" w:sz="8" w:space="0" w:color="6CBBA8"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6CBBA8" w:themeColor="accent1"/>
          <w:left w:val="single" w:sz="8" w:space="0" w:color="6CBBA8" w:themeColor="accent1"/>
          <w:bottom w:val="single" w:sz="18" w:space="0" w:color="6CBBA8" w:themeColor="accent1"/>
          <w:right w:val="single" w:sz="8" w:space="0" w:color="6CBBA8" w:themeColor="accent1"/>
          <w:insideH w:val="nil"/>
          <w:insideV w:val="single" w:sz="8" w:space="0" w:color="6CBBA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BBA8" w:themeColor="accent1"/>
          <w:left w:val="single" w:sz="8" w:space="0" w:color="6CBBA8" w:themeColor="accent1"/>
          <w:bottom w:val="single" w:sz="8" w:space="0" w:color="6CBBA8" w:themeColor="accent1"/>
          <w:right w:val="single" w:sz="8" w:space="0" w:color="6CBBA8" w:themeColor="accent1"/>
          <w:insideH w:val="nil"/>
          <w:insideV w:val="single" w:sz="8" w:space="0" w:color="6CBBA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BBA8" w:themeColor="accent1"/>
          <w:left w:val="single" w:sz="8" w:space="0" w:color="6CBBA8" w:themeColor="accent1"/>
          <w:bottom w:val="single" w:sz="8" w:space="0" w:color="6CBBA8" w:themeColor="accent1"/>
          <w:right w:val="single" w:sz="8" w:space="0" w:color="6CBBA8" w:themeColor="accent1"/>
        </w:tcBorders>
      </w:tcPr>
    </w:tblStylePr>
    <w:tblStylePr w:type="band1Vert">
      <w:tblPr/>
      <w:tcPr>
        <w:tcBorders>
          <w:top w:val="single" w:sz="8" w:space="0" w:color="6CBBA8" w:themeColor="accent1"/>
          <w:left w:val="single" w:sz="8" w:space="0" w:color="6CBBA8" w:themeColor="accent1"/>
          <w:bottom w:val="single" w:sz="8" w:space="0" w:color="6CBBA8" w:themeColor="accent1"/>
          <w:right w:val="single" w:sz="8" w:space="0" w:color="6CBBA8" w:themeColor="accent1"/>
        </w:tcBorders>
        <w:shd w:val="clear" w:color="auto" w:fill="DAEEE9" w:themeFill="accent1" w:themeFillTint="3F"/>
      </w:tcPr>
    </w:tblStylePr>
    <w:tblStylePr w:type="band1Horz">
      <w:tblPr/>
      <w:tcPr>
        <w:tcBorders>
          <w:top w:val="single" w:sz="8" w:space="0" w:color="6CBBA8" w:themeColor="accent1"/>
          <w:left w:val="single" w:sz="8" w:space="0" w:color="6CBBA8" w:themeColor="accent1"/>
          <w:bottom w:val="single" w:sz="8" w:space="0" w:color="6CBBA8" w:themeColor="accent1"/>
          <w:right w:val="single" w:sz="8" w:space="0" w:color="6CBBA8" w:themeColor="accent1"/>
          <w:insideV w:val="single" w:sz="8" w:space="0" w:color="6CBBA8" w:themeColor="accent1"/>
        </w:tcBorders>
        <w:shd w:val="clear" w:color="auto" w:fill="DAEEE9" w:themeFill="accent1" w:themeFillTint="3F"/>
      </w:tcPr>
    </w:tblStylePr>
    <w:tblStylePr w:type="band2Horz">
      <w:tblPr/>
      <w:tcPr>
        <w:tcBorders>
          <w:top w:val="single" w:sz="8" w:space="0" w:color="6CBBA8" w:themeColor="accent1"/>
          <w:left w:val="single" w:sz="8" w:space="0" w:color="6CBBA8" w:themeColor="accent1"/>
          <w:bottom w:val="single" w:sz="8" w:space="0" w:color="6CBBA8" w:themeColor="accent1"/>
          <w:right w:val="single" w:sz="8" w:space="0" w:color="6CBBA8" w:themeColor="accent1"/>
          <w:insideV w:val="single" w:sz="8" w:space="0" w:color="6CBBA8" w:themeColor="accent1"/>
        </w:tcBorders>
      </w:tcPr>
    </w:tblStylePr>
  </w:style>
  <w:style w:type="table" w:styleId="LightGrid-Accent2">
    <w:name w:val="Light Grid Accent 2"/>
    <w:basedOn w:val="TableNormal"/>
    <w:uiPriority w:val="98"/>
    <w:rsid w:val="009629FA"/>
    <w:tblPr>
      <w:tblStyleRowBandSize w:val="1"/>
      <w:tblStyleColBandSize w:val="1"/>
      <w:tblBorders>
        <w:top w:val="single" w:sz="8" w:space="0" w:color="2A3759" w:themeColor="accent2"/>
        <w:left w:val="single" w:sz="8" w:space="0" w:color="2A3759" w:themeColor="accent2"/>
        <w:bottom w:val="single" w:sz="8" w:space="0" w:color="2A3759" w:themeColor="accent2"/>
        <w:right w:val="single" w:sz="8" w:space="0" w:color="2A3759" w:themeColor="accent2"/>
        <w:insideH w:val="single" w:sz="8" w:space="0" w:color="2A3759" w:themeColor="accent2"/>
        <w:insideV w:val="single" w:sz="8" w:space="0" w:color="2A3759"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2A3759" w:themeColor="accent2"/>
          <w:left w:val="single" w:sz="8" w:space="0" w:color="2A3759" w:themeColor="accent2"/>
          <w:bottom w:val="single" w:sz="18" w:space="0" w:color="2A3759" w:themeColor="accent2"/>
          <w:right w:val="single" w:sz="8" w:space="0" w:color="2A3759" w:themeColor="accent2"/>
          <w:insideH w:val="nil"/>
          <w:insideV w:val="single" w:sz="8" w:space="0" w:color="2A375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A3759" w:themeColor="accent2"/>
          <w:left w:val="single" w:sz="8" w:space="0" w:color="2A3759" w:themeColor="accent2"/>
          <w:bottom w:val="single" w:sz="8" w:space="0" w:color="2A3759" w:themeColor="accent2"/>
          <w:right w:val="single" w:sz="8" w:space="0" w:color="2A3759" w:themeColor="accent2"/>
          <w:insideH w:val="nil"/>
          <w:insideV w:val="single" w:sz="8" w:space="0" w:color="2A375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A3759" w:themeColor="accent2"/>
          <w:left w:val="single" w:sz="8" w:space="0" w:color="2A3759" w:themeColor="accent2"/>
          <w:bottom w:val="single" w:sz="8" w:space="0" w:color="2A3759" w:themeColor="accent2"/>
          <w:right w:val="single" w:sz="8" w:space="0" w:color="2A3759" w:themeColor="accent2"/>
        </w:tcBorders>
      </w:tcPr>
    </w:tblStylePr>
    <w:tblStylePr w:type="band1Vert">
      <w:tblPr/>
      <w:tcPr>
        <w:tcBorders>
          <w:top w:val="single" w:sz="8" w:space="0" w:color="2A3759" w:themeColor="accent2"/>
          <w:left w:val="single" w:sz="8" w:space="0" w:color="2A3759" w:themeColor="accent2"/>
          <w:bottom w:val="single" w:sz="8" w:space="0" w:color="2A3759" w:themeColor="accent2"/>
          <w:right w:val="single" w:sz="8" w:space="0" w:color="2A3759" w:themeColor="accent2"/>
        </w:tcBorders>
        <w:shd w:val="clear" w:color="auto" w:fill="BFC8E1" w:themeFill="accent2" w:themeFillTint="3F"/>
      </w:tcPr>
    </w:tblStylePr>
    <w:tblStylePr w:type="band1Horz">
      <w:tblPr/>
      <w:tcPr>
        <w:tcBorders>
          <w:top w:val="single" w:sz="8" w:space="0" w:color="2A3759" w:themeColor="accent2"/>
          <w:left w:val="single" w:sz="8" w:space="0" w:color="2A3759" w:themeColor="accent2"/>
          <w:bottom w:val="single" w:sz="8" w:space="0" w:color="2A3759" w:themeColor="accent2"/>
          <w:right w:val="single" w:sz="8" w:space="0" w:color="2A3759" w:themeColor="accent2"/>
          <w:insideV w:val="single" w:sz="8" w:space="0" w:color="2A3759" w:themeColor="accent2"/>
        </w:tcBorders>
        <w:shd w:val="clear" w:color="auto" w:fill="BFC8E1" w:themeFill="accent2" w:themeFillTint="3F"/>
      </w:tcPr>
    </w:tblStylePr>
    <w:tblStylePr w:type="band2Horz">
      <w:tblPr/>
      <w:tcPr>
        <w:tcBorders>
          <w:top w:val="single" w:sz="8" w:space="0" w:color="2A3759" w:themeColor="accent2"/>
          <w:left w:val="single" w:sz="8" w:space="0" w:color="2A3759" w:themeColor="accent2"/>
          <w:bottom w:val="single" w:sz="8" w:space="0" w:color="2A3759" w:themeColor="accent2"/>
          <w:right w:val="single" w:sz="8" w:space="0" w:color="2A3759" w:themeColor="accent2"/>
          <w:insideV w:val="single" w:sz="8" w:space="0" w:color="2A3759" w:themeColor="accent2"/>
        </w:tcBorders>
      </w:tcPr>
    </w:tblStylePr>
  </w:style>
  <w:style w:type="table" w:styleId="LightGrid-Accent3">
    <w:name w:val="Light Grid Accent 3"/>
    <w:basedOn w:val="TableNormal"/>
    <w:uiPriority w:val="98"/>
    <w:rsid w:val="009629FA"/>
    <w:tblPr>
      <w:tblStyleRowBandSize w:val="1"/>
      <w:tblStyleColBandSize w:val="1"/>
      <w:tblBorders>
        <w:top w:val="single" w:sz="8" w:space="0" w:color="81BD00" w:themeColor="accent3"/>
        <w:left w:val="single" w:sz="8" w:space="0" w:color="81BD00" w:themeColor="accent3"/>
        <w:bottom w:val="single" w:sz="8" w:space="0" w:color="81BD00" w:themeColor="accent3"/>
        <w:right w:val="single" w:sz="8" w:space="0" w:color="81BD00" w:themeColor="accent3"/>
        <w:insideH w:val="single" w:sz="8" w:space="0" w:color="81BD00" w:themeColor="accent3"/>
        <w:insideV w:val="single" w:sz="8" w:space="0" w:color="81BD00"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81BD00" w:themeColor="accent3"/>
          <w:left w:val="single" w:sz="8" w:space="0" w:color="81BD00" w:themeColor="accent3"/>
          <w:bottom w:val="single" w:sz="18" w:space="0" w:color="81BD00" w:themeColor="accent3"/>
          <w:right w:val="single" w:sz="8" w:space="0" w:color="81BD00" w:themeColor="accent3"/>
          <w:insideH w:val="nil"/>
          <w:insideV w:val="single" w:sz="8" w:space="0" w:color="81BD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1BD00" w:themeColor="accent3"/>
          <w:left w:val="single" w:sz="8" w:space="0" w:color="81BD00" w:themeColor="accent3"/>
          <w:bottom w:val="single" w:sz="8" w:space="0" w:color="81BD00" w:themeColor="accent3"/>
          <w:right w:val="single" w:sz="8" w:space="0" w:color="81BD00" w:themeColor="accent3"/>
          <w:insideH w:val="nil"/>
          <w:insideV w:val="single" w:sz="8" w:space="0" w:color="81BD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1BD00" w:themeColor="accent3"/>
          <w:left w:val="single" w:sz="8" w:space="0" w:color="81BD00" w:themeColor="accent3"/>
          <w:bottom w:val="single" w:sz="8" w:space="0" w:color="81BD00" w:themeColor="accent3"/>
          <w:right w:val="single" w:sz="8" w:space="0" w:color="81BD00" w:themeColor="accent3"/>
        </w:tcBorders>
      </w:tcPr>
    </w:tblStylePr>
    <w:tblStylePr w:type="band1Vert">
      <w:tblPr/>
      <w:tcPr>
        <w:tcBorders>
          <w:top w:val="single" w:sz="8" w:space="0" w:color="81BD00" w:themeColor="accent3"/>
          <w:left w:val="single" w:sz="8" w:space="0" w:color="81BD00" w:themeColor="accent3"/>
          <w:bottom w:val="single" w:sz="8" w:space="0" w:color="81BD00" w:themeColor="accent3"/>
          <w:right w:val="single" w:sz="8" w:space="0" w:color="81BD00" w:themeColor="accent3"/>
        </w:tcBorders>
        <w:shd w:val="clear" w:color="auto" w:fill="E5FFAF" w:themeFill="accent3" w:themeFillTint="3F"/>
      </w:tcPr>
    </w:tblStylePr>
    <w:tblStylePr w:type="band1Horz">
      <w:tblPr/>
      <w:tcPr>
        <w:tcBorders>
          <w:top w:val="single" w:sz="8" w:space="0" w:color="81BD00" w:themeColor="accent3"/>
          <w:left w:val="single" w:sz="8" w:space="0" w:color="81BD00" w:themeColor="accent3"/>
          <w:bottom w:val="single" w:sz="8" w:space="0" w:color="81BD00" w:themeColor="accent3"/>
          <w:right w:val="single" w:sz="8" w:space="0" w:color="81BD00" w:themeColor="accent3"/>
          <w:insideV w:val="single" w:sz="8" w:space="0" w:color="81BD00" w:themeColor="accent3"/>
        </w:tcBorders>
        <w:shd w:val="clear" w:color="auto" w:fill="E5FFAF" w:themeFill="accent3" w:themeFillTint="3F"/>
      </w:tcPr>
    </w:tblStylePr>
    <w:tblStylePr w:type="band2Horz">
      <w:tblPr/>
      <w:tcPr>
        <w:tcBorders>
          <w:top w:val="single" w:sz="8" w:space="0" w:color="81BD00" w:themeColor="accent3"/>
          <w:left w:val="single" w:sz="8" w:space="0" w:color="81BD00" w:themeColor="accent3"/>
          <w:bottom w:val="single" w:sz="8" w:space="0" w:color="81BD00" w:themeColor="accent3"/>
          <w:right w:val="single" w:sz="8" w:space="0" w:color="81BD00" w:themeColor="accent3"/>
          <w:insideV w:val="single" w:sz="8" w:space="0" w:color="81BD00" w:themeColor="accent3"/>
        </w:tcBorders>
      </w:tcPr>
    </w:tblStylePr>
  </w:style>
  <w:style w:type="table" w:styleId="LightGrid-Accent4">
    <w:name w:val="Light Grid Accent 4"/>
    <w:basedOn w:val="TableNormal"/>
    <w:uiPriority w:val="98"/>
    <w:rsid w:val="009629FA"/>
    <w:tblPr>
      <w:tblStyleRowBandSize w:val="1"/>
      <w:tblStyleColBandSize w:val="1"/>
      <w:tblBorders>
        <w:top w:val="single" w:sz="8" w:space="0" w:color="D1BEBA" w:themeColor="accent4"/>
        <w:left w:val="single" w:sz="8" w:space="0" w:color="D1BEBA" w:themeColor="accent4"/>
        <w:bottom w:val="single" w:sz="8" w:space="0" w:color="D1BEBA" w:themeColor="accent4"/>
        <w:right w:val="single" w:sz="8" w:space="0" w:color="D1BEBA" w:themeColor="accent4"/>
        <w:insideH w:val="single" w:sz="8" w:space="0" w:color="D1BEBA" w:themeColor="accent4"/>
        <w:insideV w:val="single" w:sz="8" w:space="0" w:color="D1BEBA"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D1BEBA" w:themeColor="accent4"/>
          <w:left w:val="single" w:sz="8" w:space="0" w:color="D1BEBA" w:themeColor="accent4"/>
          <w:bottom w:val="single" w:sz="18" w:space="0" w:color="D1BEBA" w:themeColor="accent4"/>
          <w:right w:val="single" w:sz="8" w:space="0" w:color="D1BEBA" w:themeColor="accent4"/>
          <w:insideH w:val="nil"/>
          <w:insideV w:val="single" w:sz="8" w:space="0" w:color="D1BEB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BEBA" w:themeColor="accent4"/>
          <w:left w:val="single" w:sz="8" w:space="0" w:color="D1BEBA" w:themeColor="accent4"/>
          <w:bottom w:val="single" w:sz="8" w:space="0" w:color="D1BEBA" w:themeColor="accent4"/>
          <w:right w:val="single" w:sz="8" w:space="0" w:color="D1BEBA" w:themeColor="accent4"/>
          <w:insideH w:val="nil"/>
          <w:insideV w:val="single" w:sz="8" w:space="0" w:color="D1BEB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BEBA" w:themeColor="accent4"/>
          <w:left w:val="single" w:sz="8" w:space="0" w:color="D1BEBA" w:themeColor="accent4"/>
          <w:bottom w:val="single" w:sz="8" w:space="0" w:color="D1BEBA" w:themeColor="accent4"/>
          <w:right w:val="single" w:sz="8" w:space="0" w:color="D1BEBA" w:themeColor="accent4"/>
        </w:tcBorders>
      </w:tcPr>
    </w:tblStylePr>
    <w:tblStylePr w:type="band1Vert">
      <w:tblPr/>
      <w:tcPr>
        <w:tcBorders>
          <w:top w:val="single" w:sz="8" w:space="0" w:color="D1BEBA" w:themeColor="accent4"/>
          <w:left w:val="single" w:sz="8" w:space="0" w:color="D1BEBA" w:themeColor="accent4"/>
          <w:bottom w:val="single" w:sz="8" w:space="0" w:color="D1BEBA" w:themeColor="accent4"/>
          <w:right w:val="single" w:sz="8" w:space="0" w:color="D1BEBA" w:themeColor="accent4"/>
        </w:tcBorders>
        <w:shd w:val="clear" w:color="auto" w:fill="F3EEED" w:themeFill="accent4" w:themeFillTint="3F"/>
      </w:tcPr>
    </w:tblStylePr>
    <w:tblStylePr w:type="band1Horz">
      <w:tblPr/>
      <w:tcPr>
        <w:tcBorders>
          <w:top w:val="single" w:sz="8" w:space="0" w:color="D1BEBA" w:themeColor="accent4"/>
          <w:left w:val="single" w:sz="8" w:space="0" w:color="D1BEBA" w:themeColor="accent4"/>
          <w:bottom w:val="single" w:sz="8" w:space="0" w:color="D1BEBA" w:themeColor="accent4"/>
          <w:right w:val="single" w:sz="8" w:space="0" w:color="D1BEBA" w:themeColor="accent4"/>
          <w:insideV w:val="single" w:sz="8" w:space="0" w:color="D1BEBA" w:themeColor="accent4"/>
        </w:tcBorders>
        <w:shd w:val="clear" w:color="auto" w:fill="F3EEED" w:themeFill="accent4" w:themeFillTint="3F"/>
      </w:tcPr>
    </w:tblStylePr>
    <w:tblStylePr w:type="band2Horz">
      <w:tblPr/>
      <w:tcPr>
        <w:tcBorders>
          <w:top w:val="single" w:sz="8" w:space="0" w:color="D1BEBA" w:themeColor="accent4"/>
          <w:left w:val="single" w:sz="8" w:space="0" w:color="D1BEBA" w:themeColor="accent4"/>
          <w:bottom w:val="single" w:sz="8" w:space="0" w:color="D1BEBA" w:themeColor="accent4"/>
          <w:right w:val="single" w:sz="8" w:space="0" w:color="D1BEBA" w:themeColor="accent4"/>
          <w:insideV w:val="single" w:sz="8" w:space="0" w:color="D1BEBA" w:themeColor="accent4"/>
        </w:tcBorders>
      </w:tcPr>
    </w:tblStylePr>
  </w:style>
  <w:style w:type="table" w:styleId="LightGrid-Accent5">
    <w:name w:val="Light Grid Accent 5"/>
    <w:basedOn w:val="TableNormal"/>
    <w:uiPriority w:val="98"/>
    <w:rsid w:val="009629FA"/>
    <w:tblPr>
      <w:tblStyleRowBandSize w:val="1"/>
      <w:tblStyleColBandSize w:val="1"/>
      <w:tblBorders>
        <w:top w:val="single" w:sz="8" w:space="0" w:color="004E5C" w:themeColor="accent5"/>
        <w:left w:val="single" w:sz="8" w:space="0" w:color="004E5C" w:themeColor="accent5"/>
        <w:bottom w:val="single" w:sz="8" w:space="0" w:color="004E5C" w:themeColor="accent5"/>
        <w:right w:val="single" w:sz="8" w:space="0" w:color="004E5C" w:themeColor="accent5"/>
        <w:insideH w:val="single" w:sz="8" w:space="0" w:color="004E5C" w:themeColor="accent5"/>
        <w:insideV w:val="single" w:sz="8" w:space="0" w:color="004E5C"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004E5C" w:themeColor="accent5"/>
          <w:left w:val="single" w:sz="8" w:space="0" w:color="004E5C" w:themeColor="accent5"/>
          <w:bottom w:val="single" w:sz="18" w:space="0" w:color="004E5C" w:themeColor="accent5"/>
          <w:right w:val="single" w:sz="8" w:space="0" w:color="004E5C" w:themeColor="accent5"/>
          <w:insideH w:val="nil"/>
          <w:insideV w:val="single" w:sz="8" w:space="0" w:color="004E5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E5C" w:themeColor="accent5"/>
          <w:left w:val="single" w:sz="8" w:space="0" w:color="004E5C" w:themeColor="accent5"/>
          <w:bottom w:val="single" w:sz="8" w:space="0" w:color="004E5C" w:themeColor="accent5"/>
          <w:right w:val="single" w:sz="8" w:space="0" w:color="004E5C" w:themeColor="accent5"/>
          <w:insideH w:val="nil"/>
          <w:insideV w:val="single" w:sz="8" w:space="0" w:color="004E5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E5C" w:themeColor="accent5"/>
          <w:left w:val="single" w:sz="8" w:space="0" w:color="004E5C" w:themeColor="accent5"/>
          <w:bottom w:val="single" w:sz="8" w:space="0" w:color="004E5C" w:themeColor="accent5"/>
          <w:right w:val="single" w:sz="8" w:space="0" w:color="004E5C" w:themeColor="accent5"/>
        </w:tcBorders>
      </w:tcPr>
    </w:tblStylePr>
    <w:tblStylePr w:type="band1Vert">
      <w:tblPr/>
      <w:tcPr>
        <w:tcBorders>
          <w:top w:val="single" w:sz="8" w:space="0" w:color="004E5C" w:themeColor="accent5"/>
          <w:left w:val="single" w:sz="8" w:space="0" w:color="004E5C" w:themeColor="accent5"/>
          <w:bottom w:val="single" w:sz="8" w:space="0" w:color="004E5C" w:themeColor="accent5"/>
          <w:right w:val="single" w:sz="8" w:space="0" w:color="004E5C" w:themeColor="accent5"/>
        </w:tcBorders>
        <w:shd w:val="clear" w:color="auto" w:fill="97EFFF" w:themeFill="accent5" w:themeFillTint="3F"/>
      </w:tcPr>
    </w:tblStylePr>
    <w:tblStylePr w:type="band1Horz">
      <w:tblPr/>
      <w:tcPr>
        <w:tcBorders>
          <w:top w:val="single" w:sz="8" w:space="0" w:color="004E5C" w:themeColor="accent5"/>
          <w:left w:val="single" w:sz="8" w:space="0" w:color="004E5C" w:themeColor="accent5"/>
          <w:bottom w:val="single" w:sz="8" w:space="0" w:color="004E5C" w:themeColor="accent5"/>
          <w:right w:val="single" w:sz="8" w:space="0" w:color="004E5C" w:themeColor="accent5"/>
          <w:insideV w:val="single" w:sz="8" w:space="0" w:color="004E5C" w:themeColor="accent5"/>
        </w:tcBorders>
        <w:shd w:val="clear" w:color="auto" w:fill="97EFFF" w:themeFill="accent5" w:themeFillTint="3F"/>
      </w:tcPr>
    </w:tblStylePr>
    <w:tblStylePr w:type="band2Horz">
      <w:tblPr/>
      <w:tcPr>
        <w:tcBorders>
          <w:top w:val="single" w:sz="8" w:space="0" w:color="004E5C" w:themeColor="accent5"/>
          <w:left w:val="single" w:sz="8" w:space="0" w:color="004E5C" w:themeColor="accent5"/>
          <w:bottom w:val="single" w:sz="8" w:space="0" w:color="004E5C" w:themeColor="accent5"/>
          <w:right w:val="single" w:sz="8" w:space="0" w:color="004E5C" w:themeColor="accent5"/>
          <w:insideV w:val="single" w:sz="8" w:space="0" w:color="004E5C" w:themeColor="accent5"/>
        </w:tcBorders>
      </w:tcPr>
    </w:tblStylePr>
  </w:style>
  <w:style w:type="table" w:styleId="LightGrid-Accent6">
    <w:name w:val="Light Grid Accent 6"/>
    <w:basedOn w:val="TableNormal"/>
    <w:uiPriority w:val="98"/>
    <w:rsid w:val="009629FA"/>
    <w:tblPr>
      <w:tblStyleRowBandSize w:val="1"/>
      <w:tblStyleColBandSize w:val="1"/>
      <w:tblBorders>
        <w:top w:val="single" w:sz="8" w:space="0" w:color="2D5638" w:themeColor="accent6"/>
        <w:left w:val="single" w:sz="8" w:space="0" w:color="2D5638" w:themeColor="accent6"/>
        <w:bottom w:val="single" w:sz="8" w:space="0" w:color="2D5638" w:themeColor="accent6"/>
        <w:right w:val="single" w:sz="8" w:space="0" w:color="2D5638" w:themeColor="accent6"/>
        <w:insideH w:val="single" w:sz="8" w:space="0" w:color="2D5638" w:themeColor="accent6"/>
        <w:insideV w:val="single" w:sz="8" w:space="0" w:color="2D5638"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2D5638" w:themeColor="accent6"/>
          <w:left w:val="single" w:sz="8" w:space="0" w:color="2D5638" w:themeColor="accent6"/>
          <w:bottom w:val="single" w:sz="18" w:space="0" w:color="2D5638" w:themeColor="accent6"/>
          <w:right w:val="single" w:sz="8" w:space="0" w:color="2D5638" w:themeColor="accent6"/>
          <w:insideH w:val="nil"/>
          <w:insideV w:val="single" w:sz="8" w:space="0" w:color="2D563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D5638" w:themeColor="accent6"/>
          <w:left w:val="single" w:sz="8" w:space="0" w:color="2D5638" w:themeColor="accent6"/>
          <w:bottom w:val="single" w:sz="8" w:space="0" w:color="2D5638" w:themeColor="accent6"/>
          <w:right w:val="single" w:sz="8" w:space="0" w:color="2D5638" w:themeColor="accent6"/>
          <w:insideH w:val="nil"/>
          <w:insideV w:val="single" w:sz="8" w:space="0" w:color="2D563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D5638" w:themeColor="accent6"/>
          <w:left w:val="single" w:sz="8" w:space="0" w:color="2D5638" w:themeColor="accent6"/>
          <w:bottom w:val="single" w:sz="8" w:space="0" w:color="2D5638" w:themeColor="accent6"/>
          <w:right w:val="single" w:sz="8" w:space="0" w:color="2D5638" w:themeColor="accent6"/>
        </w:tcBorders>
      </w:tcPr>
    </w:tblStylePr>
    <w:tblStylePr w:type="band1Vert">
      <w:tblPr/>
      <w:tcPr>
        <w:tcBorders>
          <w:top w:val="single" w:sz="8" w:space="0" w:color="2D5638" w:themeColor="accent6"/>
          <w:left w:val="single" w:sz="8" w:space="0" w:color="2D5638" w:themeColor="accent6"/>
          <w:bottom w:val="single" w:sz="8" w:space="0" w:color="2D5638" w:themeColor="accent6"/>
          <w:right w:val="single" w:sz="8" w:space="0" w:color="2D5638" w:themeColor="accent6"/>
        </w:tcBorders>
        <w:shd w:val="clear" w:color="auto" w:fill="C1DEC9" w:themeFill="accent6" w:themeFillTint="3F"/>
      </w:tcPr>
    </w:tblStylePr>
    <w:tblStylePr w:type="band1Horz">
      <w:tblPr/>
      <w:tcPr>
        <w:tcBorders>
          <w:top w:val="single" w:sz="8" w:space="0" w:color="2D5638" w:themeColor="accent6"/>
          <w:left w:val="single" w:sz="8" w:space="0" w:color="2D5638" w:themeColor="accent6"/>
          <w:bottom w:val="single" w:sz="8" w:space="0" w:color="2D5638" w:themeColor="accent6"/>
          <w:right w:val="single" w:sz="8" w:space="0" w:color="2D5638" w:themeColor="accent6"/>
          <w:insideV w:val="single" w:sz="8" w:space="0" w:color="2D5638" w:themeColor="accent6"/>
        </w:tcBorders>
        <w:shd w:val="clear" w:color="auto" w:fill="C1DEC9" w:themeFill="accent6" w:themeFillTint="3F"/>
      </w:tcPr>
    </w:tblStylePr>
    <w:tblStylePr w:type="band2Horz">
      <w:tblPr/>
      <w:tcPr>
        <w:tcBorders>
          <w:top w:val="single" w:sz="8" w:space="0" w:color="2D5638" w:themeColor="accent6"/>
          <w:left w:val="single" w:sz="8" w:space="0" w:color="2D5638" w:themeColor="accent6"/>
          <w:bottom w:val="single" w:sz="8" w:space="0" w:color="2D5638" w:themeColor="accent6"/>
          <w:right w:val="single" w:sz="8" w:space="0" w:color="2D5638" w:themeColor="accent6"/>
          <w:insideV w:val="single" w:sz="8" w:space="0" w:color="2D5638" w:themeColor="accent6"/>
        </w:tcBorders>
      </w:tcPr>
    </w:tblStylePr>
  </w:style>
  <w:style w:type="table" w:styleId="LightList">
    <w:name w:val="Light List"/>
    <w:basedOn w:val="TableNormal"/>
    <w:uiPriority w:val="98"/>
    <w:rsid w:val="009629F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9629FA"/>
    <w:tblPr>
      <w:tblStyleRowBandSize w:val="1"/>
      <w:tblStyleColBandSize w:val="1"/>
      <w:tblBorders>
        <w:top w:val="single" w:sz="8" w:space="0" w:color="6CBBA8" w:themeColor="accent1"/>
        <w:left w:val="single" w:sz="8" w:space="0" w:color="6CBBA8" w:themeColor="accent1"/>
        <w:bottom w:val="single" w:sz="8" w:space="0" w:color="6CBBA8" w:themeColor="accent1"/>
        <w:right w:val="single" w:sz="8" w:space="0" w:color="6CBBA8"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6CBBA8" w:themeFill="accent1"/>
      </w:tcPr>
    </w:tblStylePr>
    <w:tblStylePr w:type="lastRow">
      <w:pPr>
        <w:spacing w:before="0" w:after="0" w:line="240" w:lineRule="auto"/>
      </w:pPr>
      <w:rPr>
        <w:b/>
        <w:bCs/>
      </w:rPr>
      <w:tblPr/>
      <w:tcPr>
        <w:tcBorders>
          <w:top w:val="double" w:sz="6" w:space="0" w:color="6CBBA8" w:themeColor="accent1"/>
          <w:left w:val="single" w:sz="8" w:space="0" w:color="6CBBA8" w:themeColor="accent1"/>
          <w:bottom w:val="single" w:sz="8" w:space="0" w:color="6CBBA8" w:themeColor="accent1"/>
          <w:right w:val="single" w:sz="8" w:space="0" w:color="6CBBA8" w:themeColor="accent1"/>
        </w:tcBorders>
      </w:tcPr>
    </w:tblStylePr>
    <w:tblStylePr w:type="firstCol">
      <w:rPr>
        <w:b/>
        <w:bCs/>
      </w:rPr>
    </w:tblStylePr>
    <w:tblStylePr w:type="lastCol">
      <w:rPr>
        <w:b/>
        <w:bCs/>
      </w:rPr>
    </w:tblStylePr>
    <w:tblStylePr w:type="band1Vert">
      <w:tblPr/>
      <w:tcPr>
        <w:tcBorders>
          <w:top w:val="single" w:sz="8" w:space="0" w:color="6CBBA8" w:themeColor="accent1"/>
          <w:left w:val="single" w:sz="8" w:space="0" w:color="6CBBA8" w:themeColor="accent1"/>
          <w:bottom w:val="single" w:sz="8" w:space="0" w:color="6CBBA8" w:themeColor="accent1"/>
          <w:right w:val="single" w:sz="8" w:space="0" w:color="6CBBA8" w:themeColor="accent1"/>
        </w:tcBorders>
      </w:tcPr>
    </w:tblStylePr>
    <w:tblStylePr w:type="band1Horz">
      <w:tblPr/>
      <w:tcPr>
        <w:tcBorders>
          <w:top w:val="single" w:sz="8" w:space="0" w:color="6CBBA8" w:themeColor="accent1"/>
          <w:left w:val="single" w:sz="8" w:space="0" w:color="6CBBA8" w:themeColor="accent1"/>
          <w:bottom w:val="single" w:sz="8" w:space="0" w:color="6CBBA8" w:themeColor="accent1"/>
          <w:right w:val="single" w:sz="8" w:space="0" w:color="6CBBA8" w:themeColor="accent1"/>
        </w:tcBorders>
      </w:tcPr>
    </w:tblStylePr>
  </w:style>
  <w:style w:type="table" w:styleId="LightList-Accent2">
    <w:name w:val="Light List Accent 2"/>
    <w:basedOn w:val="TableNormal"/>
    <w:uiPriority w:val="98"/>
    <w:rsid w:val="009629FA"/>
    <w:tblPr>
      <w:tblStyleRowBandSize w:val="1"/>
      <w:tblStyleColBandSize w:val="1"/>
      <w:tblBorders>
        <w:top w:val="single" w:sz="8" w:space="0" w:color="2A3759" w:themeColor="accent2"/>
        <w:left w:val="single" w:sz="8" w:space="0" w:color="2A3759" w:themeColor="accent2"/>
        <w:bottom w:val="single" w:sz="8" w:space="0" w:color="2A3759" w:themeColor="accent2"/>
        <w:right w:val="single" w:sz="8" w:space="0" w:color="2A3759"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2A3759" w:themeFill="accent2"/>
      </w:tcPr>
    </w:tblStylePr>
    <w:tblStylePr w:type="lastRow">
      <w:pPr>
        <w:spacing w:before="0" w:after="0" w:line="240" w:lineRule="auto"/>
      </w:pPr>
      <w:rPr>
        <w:b/>
        <w:bCs/>
      </w:rPr>
      <w:tblPr/>
      <w:tcPr>
        <w:tcBorders>
          <w:top w:val="double" w:sz="6" w:space="0" w:color="2A3759" w:themeColor="accent2"/>
          <w:left w:val="single" w:sz="8" w:space="0" w:color="2A3759" w:themeColor="accent2"/>
          <w:bottom w:val="single" w:sz="8" w:space="0" w:color="2A3759" w:themeColor="accent2"/>
          <w:right w:val="single" w:sz="8" w:space="0" w:color="2A3759" w:themeColor="accent2"/>
        </w:tcBorders>
      </w:tcPr>
    </w:tblStylePr>
    <w:tblStylePr w:type="firstCol">
      <w:rPr>
        <w:b/>
        <w:bCs/>
      </w:rPr>
    </w:tblStylePr>
    <w:tblStylePr w:type="lastCol">
      <w:rPr>
        <w:b/>
        <w:bCs/>
      </w:rPr>
    </w:tblStylePr>
    <w:tblStylePr w:type="band1Vert">
      <w:tblPr/>
      <w:tcPr>
        <w:tcBorders>
          <w:top w:val="single" w:sz="8" w:space="0" w:color="2A3759" w:themeColor="accent2"/>
          <w:left w:val="single" w:sz="8" w:space="0" w:color="2A3759" w:themeColor="accent2"/>
          <w:bottom w:val="single" w:sz="8" w:space="0" w:color="2A3759" w:themeColor="accent2"/>
          <w:right w:val="single" w:sz="8" w:space="0" w:color="2A3759" w:themeColor="accent2"/>
        </w:tcBorders>
      </w:tcPr>
    </w:tblStylePr>
    <w:tblStylePr w:type="band1Horz">
      <w:tblPr/>
      <w:tcPr>
        <w:tcBorders>
          <w:top w:val="single" w:sz="8" w:space="0" w:color="2A3759" w:themeColor="accent2"/>
          <w:left w:val="single" w:sz="8" w:space="0" w:color="2A3759" w:themeColor="accent2"/>
          <w:bottom w:val="single" w:sz="8" w:space="0" w:color="2A3759" w:themeColor="accent2"/>
          <w:right w:val="single" w:sz="8" w:space="0" w:color="2A3759" w:themeColor="accent2"/>
        </w:tcBorders>
      </w:tcPr>
    </w:tblStylePr>
  </w:style>
  <w:style w:type="table" w:styleId="LightList-Accent3">
    <w:name w:val="Light List Accent 3"/>
    <w:basedOn w:val="TableNormal"/>
    <w:uiPriority w:val="98"/>
    <w:rsid w:val="009629FA"/>
    <w:tblPr>
      <w:tblStyleRowBandSize w:val="1"/>
      <w:tblStyleColBandSize w:val="1"/>
      <w:tblBorders>
        <w:top w:val="single" w:sz="8" w:space="0" w:color="81BD00" w:themeColor="accent3"/>
        <w:left w:val="single" w:sz="8" w:space="0" w:color="81BD00" w:themeColor="accent3"/>
        <w:bottom w:val="single" w:sz="8" w:space="0" w:color="81BD00" w:themeColor="accent3"/>
        <w:right w:val="single" w:sz="8" w:space="0" w:color="81BD00"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81BD00" w:themeFill="accent3"/>
      </w:tcPr>
    </w:tblStylePr>
    <w:tblStylePr w:type="lastRow">
      <w:pPr>
        <w:spacing w:before="0" w:after="0" w:line="240" w:lineRule="auto"/>
      </w:pPr>
      <w:rPr>
        <w:b/>
        <w:bCs/>
      </w:rPr>
      <w:tblPr/>
      <w:tcPr>
        <w:tcBorders>
          <w:top w:val="double" w:sz="6" w:space="0" w:color="81BD00" w:themeColor="accent3"/>
          <w:left w:val="single" w:sz="8" w:space="0" w:color="81BD00" w:themeColor="accent3"/>
          <w:bottom w:val="single" w:sz="8" w:space="0" w:color="81BD00" w:themeColor="accent3"/>
          <w:right w:val="single" w:sz="8" w:space="0" w:color="81BD00" w:themeColor="accent3"/>
        </w:tcBorders>
      </w:tcPr>
    </w:tblStylePr>
    <w:tblStylePr w:type="firstCol">
      <w:rPr>
        <w:b/>
        <w:bCs/>
      </w:rPr>
    </w:tblStylePr>
    <w:tblStylePr w:type="lastCol">
      <w:rPr>
        <w:b/>
        <w:bCs/>
      </w:rPr>
    </w:tblStylePr>
    <w:tblStylePr w:type="band1Vert">
      <w:tblPr/>
      <w:tcPr>
        <w:tcBorders>
          <w:top w:val="single" w:sz="8" w:space="0" w:color="81BD00" w:themeColor="accent3"/>
          <w:left w:val="single" w:sz="8" w:space="0" w:color="81BD00" w:themeColor="accent3"/>
          <w:bottom w:val="single" w:sz="8" w:space="0" w:color="81BD00" w:themeColor="accent3"/>
          <w:right w:val="single" w:sz="8" w:space="0" w:color="81BD00" w:themeColor="accent3"/>
        </w:tcBorders>
      </w:tcPr>
    </w:tblStylePr>
    <w:tblStylePr w:type="band1Horz">
      <w:tblPr/>
      <w:tcPr>
        <w:tcBorders>
          <w:top w:val="single" w:sz="8" w:space="0" w:color="81BD00" w:themeColor="accent3"/>
          <w:left w:val="single" w:sz="8" w:space="0" w:color="81BD00" w:themeColor="accent3"/>
          <w:bottom w:val="single" w:sz="8" w:space="0" w:color="81BD00" w:themeColor="accent3"/>
          <w:right w:val="single" w:sz="8" w:space="0" w:color="81BD00" w:themeColor="accent3"/>
        </w:tcBorders>
      </w:tcPr>
    </w:tblStylePr>
  </w:style>
  <w:style w:type="table" w:styleId="LightList-Accent4">
    <w:name w:val="Light List Accent 4"/>
    <w:basedOn w:val="TableNormal"/>
    <w:uiPriority w:val="98"/>
    <w:rsid w:val="009629FA"/>
    <w:tblPr>
      <w:tblStyleRowBandSize w:val="1"/>
      <w:tblStyleColBandSize w:val="1"/>
      <w:tblBorders>
        <w:top w:val="single" w:sz="8" w:space="0" w:color="D1BEBA" w:themeColor="accent4"/>
        <w:left w:val="single" w:sz="8" w:space="0" w:color="D1BEBA" w:themeColor="accent4"/>
        <w:bottom w:val="single" w:sz="8" w:space="0" w:color="D1BEBA" w:themeColor="accent4"/>
        <w:right w:val="single" w:sz="8" w:space="0" w:color="D1BEBA"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D1BEBA" w:themeFill="accent4"/>
      </w:tcPr>
    </w:tblStylePr>
    <w:tblStylePr w:type="lastRow">
      <w:pPr>
        <w:spacing w:before="0" w:after="0" w:line="240" w:lineRule="auto"/>
      </w:pPr>
      <w:rPr>
        <w:b/>
        <w:bCs/>
      </w:rPr>
      <w:tblPr/>
      <w:tcPr>
        <w:tcBorders>
          <w:top w:val="double" w:sz="6" w:space="0" w:color="D1BEBA" w:themeColor="accent4"/>
          <w:left w:val="single" w:sz="8" w:space="0" w:color="D1BEBA" w:themeColor="accent4"/>
          <w:bottom w:val="single" w:sz="8" w:space="0" w:color="D1BEBA" w:themeColor="accent4"/>
          <w:right w:val="single" w:sz="8" w:space="0" w:color="D1BEBA" w:themeColor="accent4"/>
        </w:tcBorders>
      </w:tcPr>
    </w:tblStylePr>
    <w:tblStylePr w:type="firstCol">
      <w:rPr>
        <w:b/>
        <w:bCs/>
      </w:rPr>
    </w:tblStylePr>
    <w:tblStylePr w:type="lastCol">
      <w:rPr>
        <w:b/>
        <w:bCs/>
      </w:rPr>
    </w:tblStylePr>
    <w:tblStylePr w:type="band1Vert">
      <w:tblPr/>
      <w:tcPr>
        <w:tcBorders>
          <w:top w:val="single" w:sz="8" w:space="0" w:color="D1BEBA" w:themeColor="accent4"/>
          <w:left w:val="single" w:sz="8" w:space="0" w:color="D1BEBA" w:themeColor="accent4"/>
          <w:bottom w:val="single" w:sz="8" w:space="0" w:color="D1BEBA" w:themeColor="accent4"/>
          <w:right w:val="single" w:sz="8" w:space="0" w:color="D1BEBA" w:themeColor="accent4"/>
        </w:tcBorders>
      </w:tcPr>
    </w:tblStylePr>
    <w:tblStylePr w:type="band1Horz">
      <w:tblPr/>
      <w:tcPr>
        <w:tcBorders>
          <w:top w:val="single" w:sz="8" w:space="0" w:color="D1BEBA" w:themeColor="accent4"/>
          <w:left w:val="single" w:sz="8" w:space="0" w:color="D1BEBA" w:themeColor="accent4"/>
          <w:bottom w:val="single" w:sz="8" w:space="0" w:color="D1BEBA" w:themeColor="accent4"/>
          <w:right w:val="single" w:sz="8" w:space="0" w:color="D1BEBA" w:themeColor="accent4"/>
        </w:tcBorders>
      </w:tcPr>
    </w:tblStylePr>
  </w:style>
  <w:style w:type="table" w:styleId="LightList-Accent5">
    <w:name w:val="Light List Accent 5"/>
    <w:basedOn w:val="TableNormal"/>
    <w:uiPriority w:val="98"/>
    <w:rsid w:val="009629FA"/>
    <w:tblPr>
      <w:tblStyleRowBandSize w:val="1"/>
      <w:tblStyleColBandSize w:val="1"/>
      <w:tblBorders>
        <w:top w:val="single" w:sz="8" w:space="0" w:color="004E5C" w:themeColor="accent5"/>
        <w:left w:val="single" w:sz="8" w:space="0" w:color="004E5C" w:themeColor="accent5"/>
        <w:bottom w:val="single" w:sz="8" w:space="0" w:color="004E5C" w:themeColor="accent5"/>
        <w:right w:val="single" w:sz="8" w:space="0" w:color="004E5C"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004E5C" w:themeFill="accent5"/>
      </w:tcPr>
    </w:tblStylePr>
    <w:tblStylePr w:type="lastRow">
      <w:pPr>
        <w:spacing w:before="0" w:after="0" w:line="240" w:lineRule="auto"/>
      </w:pPr>
      <w:rPr>
        <w:b/>
        <w:bCs/>
      </w:rPr>
      <w:tblPr/>
      <w:tcPr>
        <w:tcBorders>
          <w:top w:val="double" w:sz="6" w:space="0" w:color="004E5C" w:themeColor="accent5"/>
          <w:left w:val="single" w:sz="8" w:space="0" w:color="004E5C" w:themeColor="accent5"/>
          <w:bottom w:val="single" w:sz="8" w:space="0" w:color="004E5C" w:themeColor="accent5"/>
          <w:right w:val="single" w:sz="8" w:space="0" w:color="004E5C" w:themeColor="accent5"/>
        </w:tcBorders>
      </w:tcPr>
    </w:tblStylePr>
    <w:tblStylePr w:type="firstCol">
      <w:rPr>
        <w:b/>
        <w:bCs/>
      </w:rPr>
    </w:tblStylePr>
    <w:tblStylePr w:type="lastCol">
      <w:rPr>
        <w:b/>
        <w:bCs/>
      </w:rPr>
    </w:tblStylePr>
    <w:tblStylePr w:type="band1Vert">
      <w:tblPr/>
      <w:tcPr>
        <w:tcBorders>
          <w:top w:val="single" w:sz="8" w:space="0" w:color="004E5C" w:themeColor="accent5"/>
          <w:left w:val="single" w:sz="8" w:space="0" w:color="004E5C" w:themeColor="accent5"/>
          <w:bottom w:val="single" w:sz="8" w:space="0" w:color="004E5C" w:themeColor="accent5"/>
          <w:right w:val="single" w:sz="8" w:space="0" w:color="004E5C" w:themeColor="accent5"/>
        </w:tcBorders>
      </w:tcPr>
    </w:tblStylePr>
    <w:tblStylePr w:type="band1Horz">
      <w:tblPr/>
      <w:tcPr>
        <w:tcBorders>
          <w:top w:val="single" w:sz="8" w:space="0" w:color="004E5C" w:themeColor="accent5"/>
          <w:left w:val="single" w:sz="8" w:space="0" w:color="004E5C" w:themeColor="accent5"/>
          <w:bottom w:val="single" w:sz="8" w:space="0" w:color="004E5C" w:themeColor="accent5"/>
          <w:right w:val="single" w:sz="8" w:space="0" w:color="004E5C" w:themeColor="accent5"/>
        </w:tcBorders>
      </w:tcPr>
    </w:tblStylePr>
  </w:style>
  <w:style w:type="table" w:styleId="LightList-Accent6">
    <w:name w:val="Light List Accent 6"/>
    <w:basedOn w:val="TableNormal"/>
    <w:uiPriority w:val="98"/>
    <w:rsid w:val="009629FA"/>
    <w:tblPr>
      <w:tblStyleRowBandSize w:val="1"/>
      <w:tblStyleColBandSize w:val="1"/>
      <w:tblBorders>
        <w:top w:val="single" w:sz="8" w:space="0" w:color="2D5638" w:themeColor="accent6"/>
        <w:left w:val="single" w:sz="8" w:space="0" w:color="2D5638" w:themeColor="accent6"/>
        <w:bottom w:val="single" w:sz="8" w:space="0" w:color="2D5638" w:themeColor="accent6"/>
        <w:right w:val="single" w:sz="8" w:space="0" w:color="2D5638"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2D5638" w:themeFill="accent6"/>
      </w:tcPr>
    </w:tblStylePr>
    <w:tblStylePr w:type="lastRow">
      <w:pPr>
        <w:spacing w:before="0" w:after="0" w:line="240" w:lineRule="auto"/>
      </w:pPr>
      <w:rPr>
        <w:b/>
        <w:bCs/>
      </w:rPr>
      <w:tblPr/>
      <w:tcPr>
        <w:tcBorders>
          <w:top w:val="double" w:sz="6" w:space="0" w:color="2D5638" w:themeColor="accent6"/>
          <w:left w:val="single" w:sz="8" w:space="0" w:color="2D5638" w:themeColor="accent6"/>
          <w:bottom w:val="single" w:sz="8" w:space="0" w:color="2D5638" w:themeColor="accent6"/>
          <w:right w:val="single" w:sz="8" w:space="0" w:color="2D5638" w:themeColor="accent6"/>
        </w:tcBorders>
      </w:tcPr>
    </w:tblStylePr>
    <w:tblStylePr w:type="firstCol">
      <w:rPr>
        <w:b/>
        <w:bCs/>
      </w:rPr>
    </w:tblStylePr>
    <w:tblStylePr w:type="lastCol">
      <w:rPr>
        <w:b/>
        <w:bCs/>
      </w:rPr>
    </w:tblStylePr>
    <w:tblStylePr w:type="band1Vert">
      <w:tblPr/>
      <w:tcPr>
        <w:tcBorders>
          <w:top w:val="single" w:sz="8" w:space="0" w:color="2D5638" w:themeColor="accent6"/>
          <w:left w:val="single" w:sz="8" w:space="0" w:color="2D5638" w:themeColor="accent6"/>
          <w:bottom w:val="single" w:sz="8" w:space="0" w:color="2D5638" w:themeColor="accent6"/>
          <w:right w:val="single" w:sz="8" w:space="0" w:color="2D5638" w:themeColor="accent6"/>
        </w:tcBorders>
      </w:tcPr>
    </w:tblStylePr>
    <w:tblStylePr w:type="band1Horz">
      <w:tblPr/>
      <w:tcPr>
        <w:tcBorders>
          <w:top w:val="single" w:sz="8" w:space="0" w:color="2D5638" w:themeColor="accent6"/>
          <w:left w:val="single" w:sz="8" w:space="0" w:color="2D5638" w:themeColor="accent6"/>
          <w:bottom w:val="single" w:sz="8" w:space="0" w:color="2D5638" w:themeColor="accent6"/>
          <w:right w:val="single" w:sz="8" w:space="0" w:color="2D5638" w:themeColor="accent6"/>
        </w:tcBorders>
      </w:tcPr>
    </w:tblStylePr>
  </w:style>
  <w:style w:type="table" w:styleId="LightShading">
    <w:name w:val="Light Shading"/>
    <w:basedOn w:val="TableNormal"/>
    <w:uiPriority w:val="98"/>
    <w:rsid w:val="009629FA"/>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9629FA"/>
    <w:rPr>
      <w:color w:val="459683" w:themeColor="accent1" w:themeShade="BF"/>
    </w:rPr>
    <w:tblPr>
      <w:tblStyleRowBandSize w:val="1"/>
      <w:tblStyleColBandSize w:val="1"/>
      <w:tblBorders>
        <w:top w:val="single" w:sz="8" w:space="0" w:color="6CBBA8" w:themeColor="accent1"/>
        <w:bottom w:val="single" w:sz="8" w:space="0" w:color="6CBBA8"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6CBBA8" w:themeColor="accent1"/>
          <w:left w:val="nil"/>
          <w:bottom w:val="single" w:sz="8" w:space="0" w:color="6CBBA8" w:themeColor="accent1"/>
          <w:right w:val="nil"/>
          <w:insideH w:val="nil"/>
          <w:insideV w:val="nil"/>
        </w:tcBorders>
      </w:tcPr>
    </w:tblStylePr>
    <w:tblStylePr w:type="lastRow">
      <w:pPr>
        <w:spacing w:before="0" w:after="0" w:line="240" w:lineRule="auto"/>
      </w:pPr>
      <w:rPr>
        <w:b/>
        <w:bCs/>
      </w:rPr>
      <w:tblPr/>
      <w:tcPr>
        <w:tcBorders>
          <w:top w:val="single" w:sz="8" w:space="0" w:color="6CBBA8" w:themeColor="accent1"/>
          <w:left w:val="nil"/>
          <w:bottom w:val="single" w:sz="8" w:space="0" w:color="6CBBA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E9" w:themeFill="accent1" w:themeFillTint="3F"/>
      </w:tcPr>
    </w:tblStylePr>
    <w:tblStylePr w:type="band1Horz">
      <w:tblPr/>
      <w:tcPr>
        <w:tcBorders>
          <w:left w:val="nil"/>
          <w:right w:val="nil"/>
          <w:insideH w:val="nil"/>
          <w:insideV w:val="nil"/>
        </w:tcBorders>
        <w:shd w:val="clear" w:color="auto" w:fill="DAEEE9" w:themeFill="accent1" w:themeFillTint="3F"/>
      </w:tcPr>
    </w:tblStylePr>
  </w:style>
  <w:style w:type="table" w:styleId="LightShading-Accent2">
    <w:name w:val="Light Shading Accent 2"/>
    <w:basedOn w:val="TableNormal"/>
    <w:uiPriority w:val="98"/>
    <w:rsid w:val="009629FA"/>
    <w:rPr>
      <w:color w:val="1F2942" w:themeColor="accent2" w:themeShade="BF"/>
    </w:rPr>
    <w:tblPr>
      <w:tblStyleRowBandSize w:val="1"/>
      <w:tblStyleColBandSize w:val="1"/>
      <w:tblBorders>
        <w:top w:val="single" w:sz="8" w:space="0" w:color="2A3759" w:themeColor="accent2"/>
        <w:bottom w:val="single" w:sz="8" w:space="0" w:color="2A3759"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2A3759" w:themeColor="accent2"/>
          <w:left w:val="nil"/>
          <w:bottom w:val="single" w:sz="8" w:space="0" w:color="2A3759" w:themeColor="accent2"/>
          <w:right w:val="nil"/>
          <w:insideH w:val="nil"/>
          <w:insideV w:val="nil"/>
        </w:tcBorders>
      </w:tcPr>
    </w:tblStylePr>
    <w:tblStylePr w:type="lastRow">
      <w:pPr>
        <w:spacing w:before="0" w:after="0" w:line="240" w:lineRule="auto"/>
      </w:pPr>
      <w:rPr>
        <w:b/>
        <w:bCs/>
      </w:rPr>
      <w:tblPr/>
      <w:tcPr>
        <w:tcBorders>
          <w:top w:val="single" w:sz="8" w:space="0" w:color="2A3759" w:themeColor="accent2"/>
          <w:left w:val="nil"/>
          <w:bottom w:val="single" w:sz="8" w:space="0" w:color="2A375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C8E1" w:themeFill="accent2" w:themeFillTint="3F"/>
      </w:tcPr>
    </w:tblStylePr>
    <w:tblStylePr w:type="band1Horz">
      <w:tblPr/>
      <w:tcPr>
        <w:tcBorders>
          <w:left w:val="nil"/>
          <w:right w:val="nil"/>
          <w:insideH w:val="nil"/>
          <w:insideV w:val="nil"/>
        </w:tcBorders>
        <w:shd w:val="clear" w:color="auto" w:fill="BFC8E1" w:themeFill="accent2" w:themeFillTint="3F"/>
      </w:tcPr>
    </w:tblStylePr>
  </w:style>
  <w:style w:type="table" w:styleId="LightShading-Accent3">
    <w:name w:val="Light Shading Accent 3"/>
    <w:basedOn w:val="TableNormal"/>
    <w:uiPriority w:val="98"/>
    <w:rsid w:val="009629FA"/>
    <w:rPr>
      <w:color w:val="608D00" w:themeColor="accent3" w:themeShade="BF"/>
    </w:rPr>
    <w:tblPr>
      <w:tblStyleRowBandSize w:val="1"/>
      <w:tblStyleColBandSize w:val="1"/>
      <w:tblBorders>
        <w:top w:val="single" w:sz="8" w:space="0" w:color="81BD00" w:themeColor="accent3"/>
        <w:bottom w:val="single" w:sz="8" w:space="0" w:color="81BD00"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81BD00" w:themeColor="accent3"/>
          <w:left w:val="nil"/>
          <w:bottom w:val="single" w:sz="8" w:space="0" w:color="81BD00" w:themeColor="accent3"/>
          <w:right w:val="nil"/>
          <w:insideH w:val="nil"/>
          <w:insideV w:val="nil"/>
        </w:tcBorders>
      </w:tcPr>
    </w:tblStylePr>
    <w:tblStylePr w:type="lastRow">
      <w:pPr>
        <w:spacing w:before="0" w:after="0" w:line="240" w:lineRule="auto"/>
      </w:pPr>
      <w:rPr>
        <w:b/>
        <w:bCs/>
      </w:rPr>
      <w:tblPr/>
      <w:tcPr>
        <w:tcBorders>
          <w:top w:val="single" w:sz="8" w:space="0" w:color="81BD00" w:themeColor="accent3"/>
          <w:left w:val="nil"/>
          <w:bottom w:val="single" w:sz="8" w:space="0" w:color="81BD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FAF" w:themeFill="accent3" w:themeFillTint="3F"/>
      </w:tcPr>
    </w:tblStylePr>
    <w:tblStylePr w:type="band1Horz">
      <w:tblPr/>
      <w:tcPr>
        <w:tcBorders>
          <w:left w:val="nil"/>
          <w:right w:val="nil"/>
          <w:insideH w:val="nil"/>
          <w:insideV w:val="nil"/>
        </w:tcBorders>
        <w:shd w:val="clear" w:color="auto" w:fill="E5FFAF" w:themeFill="accent3" w:themeFillTint="3F"/>
      </w:tcPr>
    </w:tblStylePr>
  </w:style>
  <w:style w:type="table" w:styleId="LightShading-Accent4">
    <w:name w:val="Light Shading Accent 4"/>
    <w:basedOn w:val="TableNormal"/>
    <w:uiPriority w:val="98"/>
    <w:rsid w:val="009629FA"/>
    <w:rPr>
      <w:color w:val="A9857E" w:themeColor="accent4" w:themeShade="BF"/>
    </w:rPr>
    <w:tblPr>
      <w:tblStyleRowBandSize w:val="1"/>
      <w:tblStyleColBandSize w:val="1"/>
      <w:tblBorders>
        <w:top w:val="single" w:sz="8" w:space="0" w:color="D1BEBA" w:themeColor="accent4"/>
        <w:bottom w:val="single" w:sz="8" w:space="0" w:color="D1BEBA"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D1BEBA" w:themeColor="accent4"/>
          <w:left w:val="nil"/>
          <w:bottom w:val="single" w:sz="8" w:space="0" w:color="D1BEBA" w:themeColor="accent4"/>
          <w:right w:val="nil"/>
          <w:insideH w:val="nil"/>
          <w:insideV w:val="nil"/>
        </w:tcBorders>
      </w:tcPr>
    </w:tblStylePr>
    <w:tblStylePr w:type="lastRow">
      <w:pPr>
        <w:spacing w:before="0" w:after="0" w:line="240" w:lineRule="auto"/>
      </w:pPr>
      <w:rPr>
        <w:b/>
        <w:bCs/>
      </w:rPr>
      <w:tblPr/>
      <w:tcPr>
        <w:tcBorders>
          <w:top w:val="single" w:sz="8" w:space="0" w:color="D1BEBA" w:themeColor="accent4"/>
          <w:left w:val="nil"/>
          <w:bottom w:val="single" w:sz="8" w:space="0" w:color="D1BEB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EEED" w:themeFill="accent4" w:themeFillTint="3F"/>
      </w:tcPr>
    </w:tblStylePr>
    <w:tblStylePr w:type="band1Horz">
      <w:tblPr/>
      <w:tcPr>
        <w:tcBorders>
          <w:left w:val="nil"/>
          <w:right w:val="nil"/>
          <w:insideH w:val="nil"/>
          <w:insideV w:val="nil"/>
        </w:tcBorders>
        <w:shd w:val="clear" w:color="auto" w:fill="F3EEED" w:themeFill="accent4" w:themeFillTint="3F"/>
      </w:tcPr>
    </w:tblStylePr>
  </w:style>
  <w:style w:type="table" w:styleId="LightShading-Accent5">
    <w:name w:val="Light Shading Accent 5"/>
    <w:basedOn w:val="TableNormal"/>
    <w:uiPriority w:val="98"/>
    <w:rsid w:val="009629FA"/>
    <w:rPr>
      <w:color w:val="003A44" w:themeColor="accent5" w:themeShade="BF"/>
    </w:rPr>
    <w:tblPr>
      <w:tblStyleRowBandSize w:val="1"/>
      <w:tblStyleColBandSize w:val="1"/>
      <w:tblBorders>
        <w:top w:val="single" w:sz="8" w:space="0" w:color="004E5C" w:themeColor="accent5"/>
        <w:bottom w:val="single" w:sz="8" w:space="0" w:color="004E5C"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004E5C" w:themeColor="accent5"/>
          <w:left w:val="nil"/>
          <w:bottom w:val="single" w:sz="8" w:space="0" w:color="004E5C" w:themeColor="accent5"/>
          <w:right w:val="nil"/>
          <w:insideH w:val="nil"/>
          <w:insideV w:val="nil"/>
        </w:tcBorders>
      </w:tcPr>
    </w:tblStylePr>
    <w:tblStylePr w:type="lastRow">
      <w:pPr>
        <w:spacing w:before="0" w:after="0" w:line="240" w:lineRule="auto"/>
      </w:pPr>
      <w:rPr>
        <w:b/>
        <w:bCs/>
      </w:rPr>
      <w:tblPr/>
      <w:tcPr>
        <w:tcBorders>
          <w:top w:val="single" w:sz="8" w:space="0" w:color="004E5C" w:themeColor="accent5"/>
          <w:left w:val="nil"/>
          <w:bottom w:val="single" w:sz="8" w:space="0" w:color="004E5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7EFFF" w:themeFill="accent5" w:themeFillTint="3F"/>
      </w:tcPr>
    </w:tblStylePr>
    <w:tblStylePr w:type="band1Horz">
      <w:tblPr/>
      <w:tcPr>
        <w:tcBorders>
          <w:left w:val="nil"/>
          <w:right w:val="nil"/>
          <w:insideH w:val="nil"/>
          <w:insideV w:val="nil"/>
        </w:tcBorders>
        <w:shd w:val="clear" w:color="auto" w:fill="97EFFF" w:themeFill="accent5" w:themeFillTint="3F"/>
      </w:tcPr>
    </w:tblStylePr>
  </w:style>
  <w:style w:type="table" w:styleId="LightShading-Accent6">
    <w:name w:val="Light Shading Accent 6"/>
    <w:basedOn w:val="TableNormal"/>
    <w:uiPriority w:val="98"/>
    <w:rsid w:val="009629FA"/>
    <w:rPr>
      <w:color w:val="214029" w:themeColor="accent6" w:themeShade="BF"/>
    </w:rPr>
    <w:tblPr>
      <w:tblStyleRowBandSize w:val="1"/>
      <w:tblStyleColBandSize w:val="1"/>
      <w:tblBorders>
        <w:top w:val="single" w:sz="8" w:space="0" w:color="2D5638" w:themeColor="accent6"/>
        <w:bottom w:val="single" w:sz="8" w:space="0" w:color="2D5638"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2D5638" w:themeColor="accent6"/>
          <w:left w:val="nil"/>
          <w:bottom w:val="single" w:sz="8" w:space="0" w:color="2D5638" w:themeColor="accent6"/>
          <w:right w:val="nil"/>
          <w:insideH w:val="nil"/>
          <w:insideV w:val="nil"/>
        </w:tcBorders>
      </w:tcPr>
    </w:tblStylePr>
    <w:tblStylePr w:type="lastRow">
      <w:pPr>
        <w:spacing w:before="0" w:after="0" w:line="240" w:lineRule="auto"/>
      </w:pPr>
      <w:rPr>
        <w:b/>
        <w:bCs/>
      </w:rPr>
      <w:tblPr/>
      <w:tcPr>
        <w:tcBorders>
          <w:top w:val="single" w:sz="8" w:space="0" w:color="2D5638" w:themeColor="accent6"/>
          <w:left w:val="nil"/>
          <w:bottom w:val="single" w:sz="8" w:space="0" w:color="2D563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DEC9" w:themeFill="accent6" w:themeFillTint="3F"/>
      </w:tcPr>
    </w:tblStylePr>
    <w:tblStylePr w:type="band1Horz">
      <w:tblPr/>
      <w:tcPr>
        <w:tcBorders>
          <w:left w:val="nil"/>
          <w:right w:val="nil"/>
          <w:insideH w:val="nil"/>
          <w:insideV w:val="nil"/>
        </w:tcBorders>
        <w:shd w:val="clear" w:color="auto" w:fill="C1DEC9" w:themeFill="accent6" w:themeFillTint="3F"/>
      </w:tcPr>
    </w:tblStylePr>
  </w:style>
  <w:style w:type="character" w:styleId="LineNumber">
    <w:name w:val="line number"/>
    <w:basedOn w:val="DefaultParagraphFont"/>
    <w:uiPriority w:val="97"/>
    <w:semiHidden/>
    <w:rsid w:val="009629FA"/>
    <w:rPr>
      <w:rFonts w:asciiTheme="minorHAnsi" w:hAnsiTheme="minorHAnsi" w:cstheme="minorHAnsi"/>
    </w:rPr>
  </w:style>
  <w:style w:type="paragraph" w:styleId="List">
    <w:name w:val="List"/>
    <w:basedOn w:val="Normal"/>
    <w:uiPriority w:val="4"/>
    <w:semiHidden/>
    <w:rsid w:val="009629FA"/>
    <w:pPr>
      <w:ind w:left="283" w:hanging="283"/>
      <w:contextualSpacing/>
    </w:pPr>
  </w:style>
  <w:style w:type="paragraph" w:styleId="List2">
    <w:name w:val="List 2"/>
    <w:basedOn w:val="Normal"/>
    <w:uiPriority w:val="4"/>
    <w:semiHidden/>
    <w:rsid w:val="009629FA"/>
    <w:pPr>
      <w:ind w:left="566" w:hanging="283"/>
      <w:contextualSpacing/>
    </w:pPr>
  </w:style>
  <w:style w:type="paragraph" w:styleId="List3">
    <w:name w:val="List 3"/>
    <w:basedOn w:val="Normal"/>
    <w:uiPriority w:val="4"/>
    <w:semiHidden/>
    <w:rsid w:val="009629FA"/>
    <w:pPr>
      <w:ind w:left="849" w:hanging="283"/>
      <w:contextualSpacing/>
    </w:pPr>
  </w:style>
  <w:style w:type="paragraph" w:styleId="List4">
    <w:name w:val="List 4"/>
    <w:basedOn w:val="Normal"/>
    <w:uiPriority w:val="4"/>
    <w:semiHidden/>
    <w:rsid w:val="009629FA"/>
    <w:pPr>
      <w:ind w:left="1132" w:hanging="283"/>
      <w:contextualSpacing/>
    </w:pPr>
  </w:style>
  <w:style w:type="numbering" w:customStyle="1" w:styleId="ListNumbers">
    <w:name w:val="ListNumbers"/>
    <w:uiPriority w:val="99"/>
    <w:rsid w:val="009629FA"/>
    <w:pPr>
      <w:numPr>
        <w:numId w:val="4"/>
      </w:numPr>
    </w:pPr>
  </w:style>
  <w:style w:type="paragraph" w:styleId="ListBullet2">
    <w:name w:val="List Bullet 2"/>
    <w:basedOn w:val="Normal"/>
    <w:uiPriority w:val="3"/>
    <w:qFormat/>
    <w:rsid w:val="00EC2A8C"/>
    <w:pPr>
      <w:numPr>
        <w:ilvl w:val="1"/>
        <w:numId w:val="16"/>
      </w:numPr>
    </w:pPr>
  </w:style>
  <w:style w:type="paragraph" w:styleId="ListBullet3">
    <w:name w:val="List Bullet 3"/>
    <w:basedOn w:val="Normal"/>
    <w:uiPriority w:val="3"/>
    <w:qFormat/>
    <w:rsid w:val="00EC2A8C"/>
    <w:pPr>
      <w:numPr>
        <w:ilvl w:val="2"/>
        <w:numId w:val="16"/>
      </w:numPr>
    </w:pPr>
  </w:style>
  <w:style w:type="paragraph" w:styleId="ListBullet4">
    <w:name w:val="List Bullet 4"/>
    <w:basedOn w:val="Normal"/>
    <w:uiPriority w:val="2"/>
    <w:semiHidden/>
    <w:rsid w:val="009629FA"/>
    <w:pPr>
      <w:numPr>
        <w:numId w:val="8"/>
      </w:numPr>
      <w:contextualSpacing/>
    </w:pPr>
  </w:style>
  <w:style w:type="paragraph" w:styleId="ListBullet5">
    <w:name w:val="List Bullet 5"/>
    <w:basedOn w:val="Normal"/>
    <w:uiPriority w:val="2"/>
    <w:semiHidden/>
    <w:rsid w:val="009629FA"/>
    <w:pPr>
      <w:numPr>
        <w:numId w:val="9"/>
      </w:numPr>
      <w:contextualSpacing/>
    </w:pPr>
  </w:style>
  <w:style w:type="paragraph" w:styleId="ListContinue">
    <w:name w:val="List Continue"/>
    <w:basedOn w:val="Normal"/>
    <w:uiPriority w:val="18"/>
    <w:semiHidden/>
    <w:rsid w:val="009629FA"/>
    <w:pPr>
      <w:ind w:left="283"/>
      <w:contextualSpacing/>
    </w:pPr>
  </w:style>
  <w:style w:type="paragraph" w:styleId="ListContinue2">
    <w:name w:val="List Continue 2"/>
    <w:basedOn w:val="Normal"/>
    <w:uiPriority w:val="18"/>
    <w:semiHidden/>
    <w:rsid w:val="009629FA"/>
    <w:pPr>
      <w:ind w:left="566"/>
      <w:contextualSpacing/>
    </w:pPr>
  </w:style>
  <w:style w:type="paragraph" w:styleId="ListContinue3">
    <w:name w:val="List Continue 3"/>
    <w:basedOn w:val="Normal"/>
    <w:uiPriority w:val="18"/>
    <w:semiHidden/>
    <w:rsid w:val="009629FA"/>
    <w:pPr>
      <w:ind w:left="849"/>
      <w:contextualSpacing/>
    </w:pPr>
  </w:style>
  <w:style w:type="paragraph" w:styleId="ListContinue4">
    <w:name w:val="List Continue 4"/>
    <w:basedOn w:val="Normal"/>
    <w:uiPriority w:val="18"/>
    <w:semiHidden/>
    <w:rsid w:val="009629FA"/>
    <w:pPr>
      <w:ind w:left="1132"/>
      <w:contextualSpacing/>
    </w:pPr>
  </w:style>
  <w:style w:type="paragraph" w:styleId="ListContinue5">
    <w:name w:val="List Continue 5"/>
    <w:basedOn w:val="Normal"/>
    <w:uiPriority w:val="18"/>
    <w:semiHidden/>
    <w:rsid w:val="009629FA"/>
    <w:pPr>
      <w:ind w:left="1415"/>
      <w:contextualSpacing/>
    </w:pPr>
  </w:style>
  <w:style w:type="paragraph" w:styleId="ListNumber">
    <w:name w:val="List Number"/>
    <w:basedOn w:val="Normal"/>
    <w:uiPriority w:val="4"/>
    <w:qFormat/>
    <w:rsid w:val="006807C7"/>
    <w:pPr>
      <w:numPr>
        <w:numId w:val="17"/>
      </w:numPr>
    </w:pPr>
  </w:style>
  <w:style w:type="paragraph" w:styleId="ListNumber2">
    <w:name w:val="List Number 2"/>
    <w:basedOn w:val="Normal"/>
    <w:uiPriority w:val="4"/>
    <w:qFormat/>
    <w:rsid w:val="006807C7"/>
    <w:pPr>
      <w:numPr>
        <w:ilvl w:val="1"/>
        <w:numId w:val="17"/>
      </w:numPr>
    </w:pPr>
  </w:style>
  <w:style w:type="paragraph" w:styleId="ListNumber4">
    <w:name w:val="List Number 4"/>
    <w:basedOn w:val="Normal"/>
    <w:uiPriority w:val="3"/>
    <w:semiHidden/>
    <w:rsid w:val="009629FA"/>
    <w:pPr>
      <w:numPr>
        <w:numId w:val="10"/>
      </w:numPr>
      <w:contextualSpacing/>
    </w:pPr>
  </w:style>
  <w:style w:type="paragraph" w:styleId="ListNumber5">
    <w:name w:val="List Number 5"/>
    <w:basedOn w:val="Normal"/>
    <w:uiPriority w:val="3"/>
    <w:semiHidden/>
    <w:rsid w:val="009629FA"/>
    <w:pPr>
      <w:numPr>
        <w:numId w:val="11"/>
      </w:numPr>
      <w:contextualSpacing/>
    </w:pPr>
  </w:style>
  <w:style w:type="paragraph" w:styleId="ListParagraph">
    <w:name w:val="List Paragraph"/>
    <w:basedOn w:val="Normal"/>
    <w:uiPriority w:val="34"/>
    <w:qFormat/>
    <w:rsid w:val="009629FA"/>
    <w:pPr>
      <w:ind w:left="720"/>
      <w:contextualSpacing/>
    </w:pPr>
  </w:style>
  <w:style w:type="paragraph" w:styleId="MacroText">
    <w:name w:val="macro"/>
    <w:link w:val="MacroTextChar"/>
    <w:uiPriority w:val="97"/>
    <w:semiHidden/>
    <w:rsid w:val="009629FA"/>
    <w:pPr>
      <w:tabs>
        <w:tab w:val="left" w:pos="480"/>
        <w:tab w:val="left" w:pos="960"/>
        <w:tab w:val="left" w:pos="1440"/>
        <w:tab w:val="left" w:pos="1920"/>
        <w:tab w:val="left" w:pos="2400"/>
        <w:tab w:val="left" w:pos="2880"/>
        <w:tab w:val="left" w:pos="3360"/>
        <w:tab w:val="left" w:pos="3840"/>
        <w:tab w:val="left" w:pos="4320"/>
      </w:tabs>
      <w:adjustRightInd w:val="0"/>
      <w:snapToGrid w:val="0"/>
      <w:spacing w:line="240" w:lineRule="atLeast"/>
    </w:pPr>
    <w:rPr>
      <w:rFonts w:asciiTheme="minorHAnsi" w:hAnsiTheme="minorHAnsi" w:cstheme="minorHAnsi"/>
      <w:kern w:val="20"/>
      <w:lang w:val="en-AU" w:eastAsia="zh-CN"/>
    </w:rPr>
  </w:style>
  <w:style w:type="character" w:customStyle="1" w:styleId="MacroTextChar">
    <w:name w:val="Macro Text Char"/>
    <w:basedOn w:val="DefaultParagraphFont"/>
    <w:link w:val="MacroText"/>
    <w:uiPriority w:val="97"/>
    <w:semiHidden/>
    <w:rsid w:val="009629FA"/>
    <w:rPr>
      <w:rFonts w:asciiTheme="minorHAnsi" w:hAnsiTheme="minorHAnsi" w:cstheme="minorHAnsi"/>
      <w:kern w:val="20"/>
      <w:lang w:val="en-AU" w:eastAsia="zh-CN"/>
    </w:rPr>
  </w:style>
  <w:style w:type="table" w:styleId="MediumGrid1">
    <w:name w:val="Medium Grid 1"/>
    <w:basedOn w:val="TableNormal"/>
    <w:uiPriority w:val="98"/>
    <w:rsid w:val="009629F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9629FA"/>
    <w:tblPr>
      <w:tblStyleRowBandSize w:val="1"/>
      <w:tblStyleColBandSize w:val="1"/>
      <w:tblBorders>
        <w:top w:val="single" w:sz="8" w:space="0" w:color="90CCBD" w:themeColor="accent1" w:themeTint="BF"/>
        <w:left w:val="single" w:sz="8" w:space="0" w:color="90CCBD" w:themeColor="accent1" w:themeTint="BF"/>
        <w:bottom w:val="single" w:sz="8" w:space="0" w:color="90CCBD" w:themeColor="accent1" w:themeTint="BF"/>
        <w:right w:val="single" w:sz="8" w:space="0" w:color="90CCBD" w:themeColor="accent1" w:themeTint="BF"/>
        <w:insideH w:val="single" w:sz="8" w:space="0" w:color="90CCBD" w:themeColor="accent1" w:themeTint="BF"/>
        <w:insideV w:val="single" w:sz="8" w:space="0" w:color="90CCBD" w:themeColor="accent1" w:themeTint="BF"/>
      </w:tblBorders>
    </w:tblPr>
    <w:tcPr>
      <w:shd w:val="clear" w:color="auto" w:fill="DAEEE9" w:themeFill="accent1"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90CCBD" w:themeColor="accent1" w:themeTint="BF"/>
        </w:tcBorders>
      </w:tcPr>
    </w:tblStylePr>
    <w:tblStylePr w:type="firstCol">
      <w:rPr>
        <w:b/>
        <w:bCs/>
      </w:rPr>
    </w:tblStylePr>
    <w:tblStylePr w:type="lastCol">
      <w:rPr>
        <w:b/>
        <w:bCs/>
      </w:rPr>
    </w:tblStylePr>
    <w:tblStylePr w:type="band1Vert">
      <w:tblPr/>
      <w:tcPr>
        <w:shd w:val="clear" w:color="auto" w:fill="B5DDD3" w:themeFill="accent1" w:themeFillTint="7F"/>
      </w:tcPr>
    </w:tblStylePr>
    <w:tblStylePr w:type="band1Horz">
      <w:tblPr/>
      <w:tcPr>
        <w:shd w:val="clear" w:color="auto" w:fill="B5DDD3" w:themeFill="accent1" w:themeFillTint="7F"/>
      </w:tcPr>
    </w:tblStylePr>
  </w:style>
  <w:style w:type="table" w:styleId="MediumGrid1-Accent2">
    <w:name w:val="Medium Grid 1 Accent 2"/>
    <w:basedOn w:val="TableNormal"/>
    <w:uiPriority w:val="98"/>
    <w:rsid w:val="009629FA"/>
    <w:tblPr>
      <w:tblStyleRowBandSize w:val="1"/>
      <w:tblStyleColBandSize w:val="1"/>
      <w:tblBorders>
        <w:top w:val="single" w:sz="8" w:space="0" w:color="485E99" w:themeColor="accent2" w:themeTint="BF"/>
        <w:left w:val="single" w:sz="8" w:space="0" w:color="485E99" w:themeColor="accent2" w:themeTint="BF"/>
        <w:bottom w:val="single" w:sz="8" w:space="0" w:color="485E99" w:themeColor="accent2" w:themeTint="BF"/>
        <w:right w:val="single" w:sz="8" w:space="0" w:color="485E99" w:themeColor="accent2" w:themeTint="BF"/>
        <w:insideH w:val="single" w:sz="8" w:space="0" w:color="485E99" w:themeColor="accent2" w:themeTint="BF"/>
        <w:insideV w:val="single" w:sz="8" w:space="0" w:color="485E99" w:themeColor="accent2" w:themeTint="BF"/>
      </w:tblBorders>
    </w:tblPr>
    <w:tcPr>
      <w:shd w:val="clear" w:color="auto" w:fill="BFC8E1" w:themeFill="accent2"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485E99" w:themeColor="accent2" w:themeTint="BF"/>
        </w:tcBorders>
      </w:tcPr>
    </w:tblStylePr>
    <w:tblStylePr w:type="firstCol">
      <w:rPr>
        <w:b/>
        <w:bCs/>
      </w:rPr>
    </w:tblStylePr>
    <w:tblStylePr w:type="lastCol">
      <w:rPr>
        <w:b/>
        <w:bCs/>
      </w:rPr>
    </w:tblStylePr>
    <w:tblStylePr w:type="band1Vert">
      <w:tblPr/>
      <w:tcPr>
        <w:shd w:val="clear" w:color="auto" w:fill="7E91C2" w:themeFill="accent2" w:themeFillTint="7F"/>
      </w:tcPr>
    </w:tblStylePr>
    <w:tblStylePr w:type="band1Horz">
      <w:tblPr/>
      <w:tcPr>
        <w:shd w:val="clear" w:color="auto" w:fill="7E91C2" w:themeFill="accent2" w:themeFillTint="7F"/>
      </w:tcPr>
    </w:tblStylePr>
  </w:style>
  <w:style w:type="table" w:styleId="MediumGrid1-Accent3">
    <w:name w:val="Medium Grid 1 Accent 3"/>
    <w:basedOn w:val="TableNormal"/>
    <w:uiPriority w:val="98"/>
    <w:rsid w:val="009629FA"/>
    <w:tblPr>
      <w:tblStyleRowBandSize w:val="1"/>
      <w:tblStyleColBandSize w:val="1"/>
      <w:tblBorders>
        <w:top w:val="single" w:sz="8" w:space="0" w:color="B2FF0E" w:themeColor="accent3" w:themeTint="BF"/>
        <w:left w:val="single" w:sz="8" w:space="0" w:color="B2FF0E" w:themeColor="accent3" w:themeTint="BF"/>
        <w:bottom w:val="single" w:sz="8" w:space="0" w:color="B2FF0E" w:themeColor="accent3" w:themeTint="BF"/>
        <w:right w:val="single" w:sz="8" w:space="0" w:color="B2FF0E" w:themeColor="accent3" w:themeTint="BF"/>
        <w:insideH w:val="single" w:sz="8" w:space="0" w:color="B2FF0E" w:themeColor="accent3" w:themeTint="BF"/>
        <w:insideV w:val="single" w:sz="8" w:space="0" w:color="B2FF0E" w:themeColor="accent3" w:themeTint="BF"/>
      </w:tblBorders>
    </w:tblPr>
    <w:tcPr>
      <w:shd w:val="clear" w:color="auto" w:fill="E5FFAF" w:themeFill="accent3"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B2FF0E" w:themeColor="accent3" w:themeTint="BF"/>
        </w:tcBorders>
      </w:tcPr>
    </w:tblStylePr>
    <w:tblStylePr w:type="firstCol">
      <w:rPr>
        <w:b/>
        <w:bCs/>
      </w:rPr>
    </w:tblStylePr>
    <w:tblStylePr w:type="lastCol">
      <w:rPr>
        <w:b/>
        <w:bCs/>
      </w:rPr>
    </w:tblStylePr>
    <w:tblStylePr w:type="band1Vert">
      <w:tblPr/>
      <w:tcPr>
        <w:shd w:val="clear" w:color="auto" w:fill="CCFF5F" w:themeFill="accent3" w:themeFillTint="7F"/>
      </w:tcPr>
    </w:tblStylePr>
    <w:tblStylePr w:type="band1Horz">
      <w:tblPr/>
      <w:tcPr>
        <w:shd w:val="clear" w:color="auto" w:fill="CCFF5F" w:themeFill="accent3" w:themeFillTint="7F"/>
      </w:tcPr>
    </w:tblStylePr>
  </w:style>
  <w:style w:type="table" w:styleId="MediumGrid1-Accent4">
    <w:name w:val="Medium Grid 1 Accent 4"/>
    <w:basedOn w:val="TableNormal"/>
    <w:uiPriority w:val="98"/>
    <w:rsid w:val="009629FA"/>
    <w:tblPr>
      <w:tblStyleRowBandSize w:val="1"/>
      <w:tblStyleColBandSize w:val="1"/>
      <w:tblBorders>
        <w:top w:val="single" w:sz="8" w:space="0" w:color="DCCECB" w:themeColor="accent4" w:themeTint="BF"/>
        <w:left w:val="single" w:sz="8" w:space="0" w:color="DCCECB" w:themeColor="accent4" w:themeTint="BF"/>
        <w:bottom w:val="single" w:sz="8" w:space="0" w:color="DCCECB" w:themeColor="accent4" w:themeTint="BF"/>
        <w:right w:val="single" w:sz="8" w:space="0" w:color="DCCECB" w:themeColor="accent4" w:themeTint="BF"/>
        <w:insideH w:val="single" w:sz="8" w:space="0" w:color="DCCECB" w:themeColor="accent4" w:themeTint="BF"/>
        <w:insideV w:val="single" w:sz="8" w:space="0" w:color="DCCECB" w:themeColor="accent4" w:themeTint="BF"/>
      </w:tblBorders>
    </w:tblPr>
    <w:tcPr>
      <w:shd w:val="clear" w:color="auto" w:fill="F3EEED" w:themeFill="accent4"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DCCECB" w:themeColor="accent4" w:themeTint="BF"/>
        </w:tcBorders>
      </w:tcPr>
    </w:tblStylePr>
    <w:tblStylePr w:type="firstCol">
      <w:rPr>
        <w:b/>
        <w:bCs/>
      </w:rPr>
    </w:tblStylePr>
    <w:tblStylePr w:type="lastCol">
      <w:rPr>
        <w:b/>
        <w:bCs/>
      </w:rPr>
    </w:tblStylePr>
    <w:tblStylePr w:type="band1Vert">
      <w:tblPr/>
      <w:tcPr>
        <w:shd w:val="clear" w:color="auto" w:fill="E8DEDC" w:themeFill="accent4" w:themeFillTint="7F"/>
      </w:tcPr>
    </w:tblStylePr>
    <w:tblStylePr w:type="band1Horz">
      <w:tblPr/>
      <w:tcPr>
        <w:shd w:val="clear" w:color="auto" w:fill="E8DEDC" w:themeFill="accent4" w:themeFillTint="7F"/>
      </w:tcPr>
    </w:tblStylePr>
  </w:style>
  <w:style w:type="table" w:styleId="MediumGrid1-Accent5">
    <w:name w:val="Medium Grid 1 Accent 5"/>
    <w:basedOn w:val="TableNormal"/>
    <w:uiPriority w:val="98"/>
    <w:rsid w:val="009629FA"/>
    <w:tblPr>
      <w:tblStyleRowBandSize w:val="1"/>
      <w:tblStyleColBandSize w:val="1"/>
      <w:tblBorders>
        <w:top w:val="single" w:sz="8" w:space="0" w:color="00A6C4" w:themeColor="accent5" w:themeTint="BF"/>
        <w:left w:val="single" w:sz="8" w:space="0" w:color="00A6C4" w:themeColor="accent5" w:themeTint="BF"/>
        <w:bottom w:val="single" w:sz="8" w:space="0" w:color="00A6C4" w:themeColor="accent5" w:themeTint="BF"/>
        <w:right w:val="single" w:sz="8" w:space="0" w:color="00A6C4" w:themeColor="accent5" w:themeTint="BF"/>
        <w:insideH w:val="single" w:sz="8" w:space="0" w:color="00A6C4" w:themeColor="accent5" w:themeTint="BF"/>
        <w:insideV w:val="single" w:sz="8" w:space="0" w:color="00A6C4" w:themeColor="accent5" w:themeTint="BF"/>
      </w:tblBorders>
    </w:tblPr>
    <w:tcPr>
      <w:shd w:val="clear" w:color="auto" w:fill="97EFFF" w:themeFill="accent5"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00A6C4" w:themeColor="accent5" w:themeTint="BF"/>
        </w:tcBorders>
      </w:tcPr>
    </w:tblStylePr>
    <w:tblStylePr w:type="firstCol">
      <w:rPr>
        <w:b/>
        <w:bCs/>
      </w:rPr>
    </w:tblStylePr>
    <w:tblStylePr w:type="lastCol">
      <w:rPr>
        <w:b/>
        <w:bCs/>
      </w:rPr>
    </w:tblStylePr>
    <w:tblStylePr w:type="band1Vert">
      <w:tblPr/>
      <w:tcPr>
        <w:shd w:val="clear" w:color="auto" w:fill="2EDFFF" w:themeFill="accent5" w:themeFillTint="7F"/>
      </w:tcPr>
    </w:tblStylePr>
    <w:tblStylePr w:type="band1Horz">
      <w:tblPr/>
      <w:tcPr>
        <w:shd w:val="clear" w:color="auto" w:fill="2EDFFF" w:themeFill="accent5" w:themeFillTint="7F"/>
      </w:tcPr>
    </w:tblStylePr>
  </w:style>
  <w:style w:type="table" w:styleId="MediumGrid1-Accent6">
    <w:name w:val="Medium Grid 1 Accent 6"/>
    <w:basedOn w:val="TableNormal"/>
    <w:uiPriority w:val="98"/>
    <w:rsid w:val="009629FA"/>
    <w:tblPr>
      <w:tblStyleRowBandSize w:val="1"/>
      <w:tblStyleColBandSize w:val="1"/>
      <w:tblBorders>
        <w:top w:val="single" w:sz="8" w:space="0" w:color="4D9460" w:themeColor="accent6" w:themeTint="BF"/>
        <w:left w:val="single" w:sz="8" w:space="0" w:color="4D9460" w:themeColor="accent6" w:themeTint="BF"/>
        <w:bottom w:val="single" w:sz="8" w:space="0" w:color="4D9460" w:themeColor="accent6" w:themeTint="BF"/>
        <w:right w:val="single" w:sz="8" w:space="0" w:color="4D9460" w:themeColor="accent6" w:themeTint="BF"/>
        <w:insideH w:val="single" w:sz="8" w:space="0" w:color="4D9460" w:themeColor="accent6" w:themeTint="BF"/>
        <w:insideV w:val="single" w:sz="8" w:space="0" w:color="4D9460" w:themeColor="accent6" w:themeTint="BF"/>
      </w:tblBorders>
    </w:tblPr>
    <w:tcPr>
      <w:shd w:val="clear" w:color="auto" w:fill="C1DEC9" w:themeFill="accent6"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4D9460" w:themeColor="accent6" w:themeTint="BF"/>
        </w:tcBorders>
      </w:tcPr>
    </w:tblStylePr>
    <w:tblStylePr w:type="firstCol">
      <w:rPr>
        <w:b/>
        <w:bCs/>
      </w:rPr>
    </w:tblStylePr>
    <w:tblStylePr w:type="lastCol">
      <w:rPr>
        <w:b/>
        <w:bCs/>
      </w:rPr>
    </w:tblStylePr>
    <w:tblStylePr w:type="band1Vert">
      <w:tblPr/>
      <w:tcPr>
        <w:shd w:val="clear" w:color="auto" w:fill="82BE92" w:themeFill="accent6" w:themeFillTint="7F"/>
      </w:tcPr>
    </w:tblStylePr>
    <w:tblStylePr w:type="band1Horz">
      <w:tblPr/>
      <w:tcPr>
        <w:shd w:val="clear" w:color="auto" w:fill="82BE92" w:themeFill="accent6" w:themeFillTint="7F"/>
      </w:tcPr>
    </w:tblStylePr>
  </w:style>
  <w:style w:type="table" w:styleId="MediumGrid2">
    <w:name w:val="Medium Grid 2"/>
    <w:basedOn w:val="TableNormal"/>
    <w:uiPriority w:val="98"/>
    <w:rsid w:val="009629FA"/>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9629FA"/>
    <w:rPr>
      <w:rFonts w:eastAsiaTheme="majorEastAsia"/>
      <w:color w:val="000000" w:themeColor="text1"/>
    </w:rPr>
    <w:tblPr>
      <w:tblStyleRowBandSize w:val="1"/>
      <w:tblStyleColBandSize w:val="1"/>
      <w:tblBorders>
        <w:top w:val="single" w:sz="8" w:space="0" w:color="6CBBA8" w:themeColor="accent1"/>
        <w:left w:val="single" w:sz="8" w:space="0" w:color="6CBBA8" w:themeColor="accent1"/>
        <w:bottom w:val="single" w:sz="8" w:space="0" w:color="6CBBA8" w:themeColor="accent1"/>
        <w:right w:val="single" w:sz="8" w:space="0" w:color="6CBBA8" w:themeColor="accent1"/>
        <w:insideH w:val="single" w:sz="8" w:space="0" w:color="6CBBA8" w:themeColor="accent1"/>
        <w:insideV w:val="single" w:sz="8" w:space="0" w:color="6CBBA8" w:themeColor="accent1"/>
      </w:tblBorders>
    </w:tblPr>
    <w:tcPr>
      <w:shd w:val="clear" w:color="auto" w:fill="DAEEE9" w:themeFill="accent1"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0F8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ED" w:themeFill="accent1" w:themeFillTint="33"/>
      </w:tcPr>
    </w:tblStylePr>
    <w:tblStylePr w:type="band1Vert">
      <w:tblPr/>
      <w:tcPr>
        <w:shd w:val="clear" w:color="auto" w:fill="B5DDD3" w:themeFill="accent1" w:themeFillTint="7F"/>
      </w:tcPr>
    </w:tblStylePr>
    <w:tblStylePr w:type="band1Horz">
      <w:tblPr/>
      <w:tcPr>
        <w:tcBorders>
          <w:insideH w:val="single" w:sz="6" w:space="0" w:color="6CBBA8" w:themeColor="accent1"/>
          <w:insideV w:val="single" w:sz="6" w:space="0" w:color="6CBBA8" w:themeColor="accent1"/>
        </w:tcBorders>
        <w:shd w:val="clear" w:color="auto" w:fill="B5DD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9629FA"/>
    <w:rPr>
      <w:rFonts w:eastAsiaTheme="majorEastAsia"/>
      <w:color w:val="000000" w:themeColor="text1"/>
    </w:rPr>
    <w:tblPr>
      <w:tblStyleRowBandSize w:val="1"/>
      <w:tblStyleColBandSize w:val="1"/>
      <w:tblBorders>
        <w:top w:val="single" w:sz="8" w:space="0" w:color="2A3759" w:themeColor="accent2"/>
        <w:left w:val="single" w:sz="8" w:space="0" w:color="2A3759" w:themeColor="accent2"/>
        <w:bottom w:val="single" w:sz="8" w:space="0" w:color="2A3759" w:themeColor="accent2"/>
        <w:right w:val="single" w:sz="8" w:space="0" w:color="2A3759" w:themeColor="accent2"/>
        <w:insideH w:val="single" w:sz="8" w:space="0" w:color="2A3759" w:themeColor="accent2"/>
        <w:insideV w:val="single" w:sz="8" w:space="0" w:color="2A3759" w:themeColor="accent2"/>
      </w:tblBorders>
    </w:tblPr>
    <w:tcPr>
      <w:shd w:val="clear" w:color="auto" w:fill="BFC8E1" w:themeFill="accent2"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5E9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BD2E6" w:themeFill="accent2" w:themeFillTint="33"/>
      </w:tcPr>
    </w:tblStylePr>
    <w:tblStylePr w:type="band1Vert">
      <w:tblPr/>
      <w:tcPr>
        <w:shd w:val="clear" w:color="auto" w:fill="7E91C2" w:themeFill="accent2" w:themeFillTint="7F"/>
      </w:tcPr>
    </w:tblStylePr>
    <w:tblStylePr w:type="band1Horz">
      <w:tblPr/>
      <w:tcPr>
        <w:tcBorders>
          <w:insideH w:val="single" w:sz="6" w:space="0" w:color="2A3759" w:themeColor="accent2"/>
          <w:insideV w:val="single" w:sz="6" w:space="0" w:color="2A3759" w:themeColor="accent2"/>
        </w:tcBorders>
        <w:shd w:val="clear" w:color="auto" w:fill="7E91C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9629FA"/>
    <w:rPr>
      <w:rFonts w:eastAsiaTheme="majorEastAsia"/>
      <w:color w:val="000000" w:themeColor="text1"/>
    </w:rPr>
    <w:tblPr>
      <w:tblStyleRowBandSize w:val="1"/>
      <w:tblStyleColBandSize w:val="1"/>
      <w:tblBorders>
        <w:top w:val="single" w:sz="8" w:space="0" w:color="81BD00" w:themeColor="accent3"/>
        <w:left w:val="single" w:sz="8" w:space="0" w:color="81BD00" w:themeColor="accent3"/>
        <w:bottom w:val="single" w:sz="8" w:space="0" w:color="81BD00" w:themeColor="accent3"/>
        <w:right w:val="single" w:sz="8" w:space="0" w:color="81BD00" w:themeColor="accent3"/>
        <w:insideH w:val="single" w:sz="8" w:space="0" w:color="81BD00" w:themeColor="accent3"/>
        <w:insideV w:val="single" w:sz="8" w:space="0" w:color="81BD00" w:themeColor="accent3"/>
      </w:tblBorders>
    </w:tblPr>
    <w:tcPr>
      <w:shd w:val="clear" w:color="auto" w:fill="E5FFAF" w:themeFill="accent3"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4FFD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FBE" w:themeFill="accent3" w:themeFillTint="33"/>
      </w:tcPr>
    </w:tblStylePr>
    <w:tblStylePr w:type="band1Vert">
      <w:tblPr/>
      <w:tcPr>
        <w:shd w:val="clear" w:color="auto" w:fill="CCFF5F" w:themeFill="accent3" w:themeFillTint="7F"/>
      </w:tcPr>
    </w:tblStylePr>
    <w:tblStylePr w:type="band1Horz">
      <w:tblPr/>
      <w:tcPr>
        <w:tcBorders>
          <w:insideH w:val="single" w:sz="6" w:space="0" w:color="81BD00" w:themeColor="accent3"/>
          <w:insideV w:val="single" w:sz="6" w:space="0" w:color="81BD00" w:themeColor="accent3"/>
        </w:tcBorders>
        <w:shd w:val="clear" w:color="auto" w:fill="CCFF5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9629FA"/>
    <w:rPr>
      <w:rFonts w:eastAsiaTheme="majorEastAsia"/>
      <w:color w:val="000000" w:themeColor="text1"/>
    </w:rPr>
    <w:tblPr>
      <w:tblStyleRowBandSize w:val="1"/>
      <w:tblStyleColBandSize w:val="1"/>
      <w:tblBorders>
        <w:top w:val="single" w:sz="8" w:space="0" w:color="D1BEBA" w:themeColor="accent4"/>
        <w:left w:val="single" w:sz="8" w:space="0" w:color="D1BEBA" w:themeColor="accent4"/>
        <w:bottom w:val="single" w:sz="8" w:space="0" w:color="D1BEBA" w:themeColor="accent4"/>
        <w:right w:val="single" w:sz="8" w:space="0" w:color="D1BEBA" w:themeColor="accent4"/>
        <w:insideH w:val="single" w:sz="8" w:space="0" w:color="D1BEBA" w:themeColor="accent4"/>
        <w:insideV w:val="single" w:sz="8" w:space="0" w:color="D1BEBA" w:themeColor="accent4"/>
      </w:tblBorders>
    </w:tblPr>
    <w:tcPr>
      <w:shd w:val="clear" w:color="auto" w:fill="F3EEED" w:themeFill="accent4"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AF8F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1F1" w:themeFill="accent4" w:themeFillTint="33"/>
      </w:tcPr>
    </w:tblStylePr>
    <w:tblStylePr w:type="band1Vert">
      <w:tblPr/>
      <w:tcPr>
        <w:shd w:val="clear" w:color="auto" w:fill="E8DEDC" w:themeFill="accent4" w:themeFillTint="7F"/>
      </w:tcPr>
    </w:tblStylePr>
    <w:tblStylePr w:type="band1Horz">
      <w:tblPr/>
      <w:tcPr>
        <w:tcBorders>
          <w:insideH w:val="single" w:sz="6" w:space="0" w:color="D1BEBA" w:themeColor="accent4"/>
          <w:insideV w:val="single" w:sz="6" w:space="0" w:color="D1BEBA" w:themeColor="accent4"/>
        </w:tcBorders>
        <w:shd w:val="clear" w:color="auto" w:fill="E8DED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9629FA"/>
    <w:rPr>
      <w:rFonts w:eastAsiaTheme="majorEastAsia"/>
      <w:color w:val="000000" w:themeColor="text1"/>
    </w:rPr>
    <w:tblPr>
      <w:tblStyleRowBandSize w:val="1"/>
      <w:tblStyleColBandSize w:val="1"/>
      <w:tblBorders>
        <w:top w:val="single" w:sz="8" w:space="0" w:color="004E5C" w:themeColor="accent5"/>
        <w:left w:val="single" w:sz="8" w:space="0" w:color="004E5C" w:themeColor="accent5"/>
        <w:bottom w:val="single" w:sz="8" w:space="0" w:color="004E5C" w:themeColor="accent5"/>
        <w:right w:val="single" w:sz="8" w:space="0" w:color="004E5C" w:themeColor="accent5"/>
        <w:insideH w:val="single" w:sz="8" w:space="0" w:color="004E5C" w:themeColor="accent5"/>
        <w:insideV w:val="single" w:sz="8" w:space="0" w:color="004E5C" w:themeColor="accent5"/>
      </w:tblBorders>
    </w:tblPr>
    <w:tcPr>
      <w:shd w:val="clear" w:color="auto" w:fill="97EFFF" w:themeFill="accent5" w:themeFillTint="3F"/>
      <w:tcMar>
        <w:top w:w="57" w:type="dxa"/>
        <w:left w:w="57" w:type="dxa"/>
        <w:bottom w:w="57" w:type="dxa"/>
        <w:right w:w="57" w:type="dxa"/>
      </w:tcMar>
    </w:tcPr>
    <w:tblStylePr w:type="firstRow">
      <w:rPr>
        <w:rFonts w:asciiTheme="majorHAnsi" w:hAnsiTheme="majorHAnsi" w:cstheme="majorHAnsi"/>
        <w:b/>
        <w:bCs/>
      </w:rPr>
      <w:tblPr/>
      <w:tcPr>
        <w:shd w:val="clear" w:color="auto" w:fill="D6F8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BF2FF" w:themeFill="accent5" w:themeFillTint="33"/>
      </w:tcPr>
    </w:tblStylePr>
    <w:tblStylePr w:type="band1Vert">
      <w:tblPr/>
      <w:tcPr>
        <w:shd w:val="clear" w:color="auto" w:fill="2EDFFF" w:themeFill="accent5" w:themeFillTint="7F"/>
      </w:tcPr>
    </w:tblStylePr>
    <w:tblStylePr w:type="band1Horz">
      <w:tblPr/>
      <w:tcPr>
        <w:tcBorders>
          <w:insideH w:val="single" w:sz="6" w:space="0" w:color="004E5C" w:themeColor="accent5"/>
          <w:insideV w:val="single" w:sz="6" w:space="0" w:color="004E5C" w:themeColor="accent5"/>
        </w:tcBorders>
        <w:shd w:val="clear" w:color="auto" w:fill="2EDF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9629FA"/>
    <w:rPr>
      <w:rFonts w:eastAsiaTheme="majorEastAsia"/>
      <w:color w:val="000000" w:themeColor="text1"/>
    </w:rPr>
    <w:tblPr>
      <w:tblStyleRowBandSize w:val="1"/>
      <w:tblStyleColBandSize w:val="1"/>
      <w:tblBorders>
        <w:top w:val="single" w:sz="8" w:space="0" w:color="2D5638" w:themeColor="accent6"/>
        <w:left w:val="single" w:sz="8" w:space="0" w:color="2D5638" w:themeColor="accent6"/>
        <w:bottom w:val="single" w:sz="8" w:space="0" w:color="2D5638" w:themeColor="accent6"/>
        <w:right w:val="single" w:sz="8" w:space="0" w:color="2D5638" w:themeColor="accent6"/>
        <w:insideH w:val="single" w:sz="8" w:space="0" w:color="2D5638" w:themeColor="accent6"/>
        <w:insideV w:val="single" w:sz="8" w:space="0" w:color="2D5638" w:themeColor="accent6"/>
      </w:tblBorders>
    </w:tblPr>
    <w:tcPr>
      <w:shd w:val="clear" w:color="auto" w:fill="C1DEC9" w:themeFill="accent6"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6F2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E5D3" w:themeFill="accent6" w:themeFillTint="33"/>
      </w:tcPr>
    </w:tblStylePr>
    <w:tblStylePr w:type="band1Vert">
      <w:tblPr/>
      <w:tcPr>
        <w:shd w:val="clear" w:color="auto" w:fill="82BE92" w:themeFill="accent6" w:themeFillTint="7F"/>
      </w:tcPr>
    </w:tblStylePr>
    <w:tblStylePr w:type="band1Horz">
      <w:tblPr/>
      <w:tcPr>
        <w:tcBorders>
          <w:insideH w:val="single" w:sz="6" w:space="0" w:color="2D5638" w:themeColor="accent6"/>
          <w:insideV w:val="single" w:sz="6" w:space="0" w:color="2D5638" w:themeColor="accent6"/>
        </w:tcBorders>
        <w:shd w:val="clear" w:color="auto" w:fill="82BE9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E9" w:themeFill="accent1"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BBA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BBA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BBA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BBA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DD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DDD3" w:themeFill="accent1" w:themeFillTint="7F"/>
      </w:tcPr>
    </w:tblStylePr>
  </w:style>
  <w:style w:type="table" w:styleId="MediumGrid3-Accent2">
    <w:name w:val="Medium Grid 3 Accent 2"/>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FC8E1" w:themeFill="accent2"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A375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A375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A375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A375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E91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E91C2" w:themeFill="accent2" w:themeFillTint="7F"/>
      </w:tcPr>
    </w:tblStylePr>
  </w:style>
  <w:style w:type="table" w:styleId="MediumGrid3-Accent3">
    <w:name w:val="Medium Grid 3 Accent 3"/>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FAF" w:themeFill="accent3"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1BD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1BD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1BD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1BD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F5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F5F" w:themeFill="accent3" w:themeFillTint="7F"/>
      </w:tcPr>
    </w:tblStylePr>
  </w:style>
  <w:style w:type="table" w:styleId="MediumGrid3-Accent4">
    <w:name w:val="Medium Grid 3 Accent 4"/>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EEED" w:themeFill="accent4"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BEB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BEB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BEB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BEB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DED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DEDC" w:themeFill="accent4" w:themeFillTint="7F"/>
      </w:tcPr>
    </w:tblStylePr>
  </w:style>
  <w:style w:type="table" w:styleId="MediumGrid3-Accent5">
    <w:name w:val="Medium Grid 3 Accent 5"/>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EFFF" w:themeFill="accent5"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E5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E5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E5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E5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DF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DFFF" w:themeFill="accent5" w:themeFillTint="7F"/>
      </w:tcPr>
    </w:tblStylePr>
  </w:style>
  <w:style w:type="table" w:styleId="MediumGrid3-Accent6">
    <w:name w:val="Medium Grid 3 Accent 6"/>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DEC9" w:themeFill="accent6"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D563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D563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D563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D563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BE9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BE92" w:themeFill="accent6" w:themeFillTint="7F"/>
      </w:tcPr>
    </w:tblStylePr>
  </w:style>
  <w:style w:type="table" w:styleId="MediumList1">
    <w:name w:val="Medium List 1"/>
    <w:basedOn w:val="TableNormal"/>
    <w:uiPriority w:val="98"/>
    <w:rsid w:val="009629FA"/>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000000" w:themeColor="text1"/>
        </w:tcBorders>
      </w:tcPr>
    </w:tblStylePr>
    <w:tblStylePr w:type="lastRow">
      <w:rPr>
        <w:b/>
        <w:bCs/>
        <w:color w:val="004E5C"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9629FA"/>
    <w:rPr>
      <w:color w:val="000000" w:themeColor="text1"/>
    </w:rPr>
    <w:tblPr>
      <w:tblStyleRowBandSize w:val="1"/>
      <w:tblStyleColBandSize w:val="1"/>
      <w:tblBorders>
        <w:top w:val="single" w:sz="8" w:space="0" w:color="6CBBA8" w:themeColor="accent1"/>
        <w:bottom w:val="single" w:sz="8" w:space="0" w:color="6CBBA8" w:themeColor="accent1"/>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6CBBA8" w:themeColor="accent1"/>
        </w:tcBorders>
      </w:tcPr>
    </w:tblStylePr>
    <w:tblStylePr w:type="lastRow">
      <w:rPr>
        <w:b/>
        <w:bCs/>
        <w:color w:val="004E5C" w:themeColor="text2"/>
      </w:rPr>
      <w:tblPr/>
      <w:tcPr>
        <w:tcBorders>
          <w:top w:val="single" w:sz="8" w:space="0" w:color="6CBBA8" w:themeColor="accent1"/>
          <w:bottom w:val="single" w:sz="8" w:space="0" w:color="6CBBA8" w:themeColor="accent1"/>
        </w:tcBorders>
      </w:tcPr>
    </w:tblStylePr>
    <w:tblStylePr w:type="firstCol">
      <w:rPr>
        <w:b/>
        <w:bCs/>
      </w:rPr>
    </w:tblStylePr>
    <w:tblStylePr w:type="lastCol">
      <w:rPr>
        <w:b/>
        <w:bCs/>
      </w:rPr>
      <w:tblPr/>
      <w:tcPr>
        <w:tcBorders>
          <w:top w:val="single" w:sz="8" w:space="0" w:color="6CBBA8" w:themeColor="accent1"/>
          <w:bottom w:val="single" w:sz="8" w:space="0" w:color="6CBBA8" w:themeColor="accent1"/>
        </w:tcBorders>
      </w:tcPr>
    </w:tblStylePr>
    <w:tblStylePr w:type="band1Vert">
      <w:tblPr/>
      <w:tcPr>
        <w:shd w:val="clear" w:color="auto" w:fill="DAEEE9" w:themeFill="accent1" w:themeFillTint="3F"/>
      </w:tcPr>
    </w:tblStylePr>
    <w:tblStylePr w:type="band1Horz">
      <w:tblPr/>
      <w:tcPr>
        <w:shd w:val="clear" w:color="auto" w:fill="DAEEE9" w:themeFill="accent1" w:themeFillTint="3F"/>
      </w:tcPr>
    </w:tblStylePr>
  </w:style>
  <w:style w:type="table" w:styleId="MediumList1-Accent2">
    <w:name w:val="Medium List 1 Accent 2"/>
    <w:basedOn w:val="TableNormal"/>
    <w:uiPriority w:val="98"/>
    <w:rsid w:val="009629FA"/>
    <w:rPr>
      <w:color w:val="000000" w:themeColor="text1"/>
    </w:rPr>
    <w:tblPr>
      <w:tblStyleRowBandSize w:val="1"/>
      <w:tblStyleColBandSize w:val="1"/>
      <w:tblBorders>
        <w:top w:val="single" w:sz="8" w:space="0" w:color="2A3759" w:themeColor="accent2"/>
        <w:bottom w:val="single" w:sz="8" w:space="0" w:color="2A3759" w:themeColor="accent2"/>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2A3759" w:themeColor="accent2"/>
        </w:tcBorders>
      </w:tcPr>
    </w:tblStylePr>
    <w:tblStylePr w:type="lastRow">
      <w:rPr>
        <w:b/>
        <w:bCs/>
        <w:color w:val="004E5C" w:themeColor="text2"/>
      </w:rPr>
      <w:tblPr/>
      <w:tcPr>
        <w:tcBorders>
          <w:top w:val="single" w:sz="8" w:space="0" w:color="2A3759" w:themeColor="accent2"/>
          <w:bottom w:val="single" w:sz="8" w:space="0" w:color="2A3759" w:themeColor="accent2"/>
        </w:tcBorders>
      </w:tcPr>
    </w:tblStylePr>
    <w:tblStylePr w:type="firstCol">
      <w:rPr>
        <w:b/>
        <w:bCs/>
      </w:rPr>
    </w:tblStylePr>
    <w:tblStylePr w:type="lastCol">
      <w:rPr>
        <w:b/>
        <w:bCs/>
      </w:rPr>
      <w:tblPr/>
      <w:tcPr>
        <w:tcBorders>
          <w:top w:val="single" w:sz="8" w:space="0" w:color="2A3759" w:themeColor="accent2"/>
          <w:bottom w:val="single" w:sz="8" w:space="0" w:color="2A3759" w:themeColor="accent2"/>
        </w:tcBorders>
      </w:tcPr>
    </w:tblStylePr>
    <w:tblStylePr w:type="band1Vert">
      <w:tblPr/>
      <w:tcPr>
        <w:shd w:val="clear" w:color="auto" w:fill="BFC8E1" w:themeFill="accent2" w:themeFillTint="3F"/>
      </w:tcPr>
    </w:tblStylePr>
    <w:tblStylePr w:type="band1Horz">
      <w:tblPr/>
      <w:tcPr>
        <w:shd w:val="clear" w:color="auto" w:fill="BFC8E1" w:themeFill="accent2" w:themeFillTint="3F"/>
      </w:tcPr>
    </w:tblStylePr>
  </w:style>
  <w:style w:type="table" w:styleId="MediumList1-Accent3">
    <w:name w:val="Medium List 1 Accent 3"/>
    <w:basedOn w:val="TableNormal"/>
    <w:uiPriority w:val="98"/>
    <w:rsid w:val="009629FA"/>
    <w:rPr>
      <w:color w:val="000000" w:themeColor="text1"/>
    </w:rPr>
    <w:tblPr>
      <w:tblStyleRowBandSize w:val="1"/>
      <w:tblStyleColBandSize w:val="1"/>
      <w:tblBorders>
        <w:top w:val="single" w:sz="8" w:space="0" w:color="81BD00" w:themeColor="accent3"/>
        <w:bottom w:val="single" w:sz="8" w:space="0" w:color="81BD00" w:themeColor="accent3"/>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81BD00" w:themeColor="accent3"/>
        </w:tcBorders>
      </w:tcPr>
    </w:tblStylePr>
    <w:tblStylePr w:type="lastRow">
      <w:rPr>
        <w:b/>
        <w:bCs/>
        <w:color w:val="004E5C" w:themeColor="text2"/>
      </w:rPr>
      <w:tblPr/>
      <w:tcPr>
        <w:tcBorders>
          <w:top w:val="single" w:sz="8" w:space="0" w:color="81BD00" w:themeColor="accent3"/>
          <w:bottom w:val="single" w:sz="8" w:space="0" w:color="81BD00" w:themeColor="accent3"/>
        </w:tcBorders>
      </w:tcPr>
    </w:tblStylePr>
    <w:tblStylePr w:type="firstCol">
      <w:rPr>
        <w:b/>
        <w:bCs/>
      </w:rPr>
    </w:tblStylePr>
    <w:tblStylePr w:type="lastCol">
      <w:rPr>
        <w:b/>
        <w:bCs/>
      </w:rPr>
      <w:tblPr/>
      <w:tcPr>
        <w:tcBorders>
          <w:top w:val="single" w:sz="8" w:space="0" w:color="81BD00" w:themeColor="accent3"/>
          <w:bottom w:val="single" w:sz="8" w:space="0" w:color="81BD00" w:themeColor="accent3"/>
        </w:tcBorders>
      </w:tcPr>
    </w:tblStylePr>
    <w:tblStylePr w:type="band1Vert">
      <w:tblPr/>
      <w:tcPr>
        <w:shd w:val="clear" w:color="auto" w:fill="E5FFAF" w:themeFill="accent3" w:themeFillTint="3F"/>
      </w:tcPr>
    </w:tblStylePr>
    <w:tblStylePr w:type="band1Horz">
      <w:tblPr/>
      <w:tcPr>
        <w:shd w:val="clear" w:color="auto" w:fill="E5FFAF" w:themeFill="accent3" w:themeFillTint="3F"/>
      </w:tcPr>
    </w:tblStylePr>
  </w:style>
  <w:style w:type="table" w:styleId="MediumList1-Accent4">
    <w:name w:val="Medium List 1 Accent 4"/>
    <w:basedOn w:val="TableNormal"/>
    <w:uiPriority w:val="98"/>
    <w:rsid w:val="009629FA"/>
    <w:rPr>
      <w:color w:val="000000" w:themeColor="text1"/>
    </w:rPr>
    <w:tblPr>
      <w:tblStyleRowBandSize w:val="1"/>
      <w:tblStyleColBandSize w:val="1"/>
      <w:tblBorders>
        <w:top w:val="single" w:sz="8" w:space="0" w:color="D1BEBA" w:themeColor="accent4"/>
        <w:bottom w:val="single" w:sz="8" w:space="0" w:color="D1BEBA" w:themeColor="accent4"/>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D1BEBA" w:themeColor="accent4"/>
        </w:tcBorders>
      </w:tcPr>
    </w:tblStylePr>
    <w:tblStylePr w:type="lastRow">
      <w:rPr>
        <w:b/>
        <w:bCs/>
        <w:color w:val="004E5C" w:themeColor="text2"/>
      </w:rPr>
      <w:tblPr/>
      <w:tcPr>
        <w:tcBorders>
          <w:top w:val="single" w:sz="8" w:space="0" w:color="D1BEBA" w:themeColor="accent4"/>
          <w:bottom w:val="single" w:sz="8" w:space="0" w:color="D1BEBA" w:themeColor="accent4"/>
        </w:tcBorders>
      </w:tcPr>
    </w:tblStylePr>
    <w:tblStylePr w:type="firstCol">
      <w:rPr>
        <w:b/>
        <w:bCs/>
      </w:rPr>
    </w:tblStylePr>
    <w:tblStylePr w:type="lastCol">
      <w:rPr>
        <w:b/>
        <w:bCs/>
      </w:rPr>
      <w:tblPr/>
      <w:tcPr>
        <w:tcBorders>
          <w:top w:val="single" w:sz="8" w:space="0" w:color="D1BEBA" w:themeColor="accent4"/>
          <w:bottom w:val="single" w:sz="8" w:space="0" w:color="D1BEBA" w:themeColor="accent4"/>
        </w:tcBorders>
      </w:tcPr>
    </w:tblStylePr>
    <w:tblStylePr w:type="band1Vert">
      <w:tblPr/>
      <w:tcPr>
        <w:shd w:val="clear" w:color="auto" w:fill="F3EEED" w:themeFill="accent4" w:themeFillTint="3F"/>
      </w:tcPr>
    </w:tblStylePr>
    <w:tblStylePr w:type="band1Horz">
      <w:tblPr/>
      <w:tcPr>
        <w:shd w:val="clear" w:color="auto" w:fill="F3EEED" w:themeFill="accent4" w:themeFillTint="3F"/>
      </w:tcPr>
    </w:tblStylePr>
  </w:style>
  <w:style w:type="table" w:styleId="MediumList1-Accent5">
    <w:name w:val="Medium List 1 Accent 5"/>
    <w:basedOn w:val="TableNormal"/>
    <w:uiPriority w:val="98"/>
    <w:rsid w:val="009629FA"/>
    <w:rPr>
      <w:color w:val="000000" w:themeColor="text1"/>
    </w:rPr>
    <w:tblPr>
      <w:tblStyleRowBandSize w:val="1"/>
      <w:tblStyleColBandSize w:val="1"/>
      <w:tblBorders>
        <w:top w:val="single" w:sz="8" w:space="0" w:color="004E5C" w:themeColor="accent5"/>
        <w:bottom w:val="single" w:sz="8" w:space="0" w:color="004E5C" w:themeColor="accent5"/>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004E5C" w:themeColor="accent5"/>
        </w:tcBorders>
      </w:tcPr>
    </w:tblStylePr>
    <w:tblStylePr w:type="lastRow">
      <w:rPr>
        <w:b/>
        <w:bCs/>
        <w:color w:val="004E5C" w:themeColor="text2"/>
      </w:rPr>
      <w:tblPr/>
      <w:tcPr>
        <w:tcBorders>
          <w:top w:val="single" w:sz="8" w:space="0" w:color="004E5C" w:themeColor="accent5"/>
          <w:bottom w:val="single" w:sz="8" w:space="0" w:color="004E5C" w:themeColor="accent5"/>
        </w:tcBorders>
      </w:tcPr>
    </w:tblStylePr>
    <w:tblStylePr w:type="firstCol">
      <w:rPr>
        <w:b/>
        <w:bCs/>
      </w:rPr>
    </w:tblStylePr>
    <w:tblStylePr w:type="lastCol">
      <w:rPr>
        <w:b/>
        <w:bCs/>
      </w:rPr>
      <w:tblPr/>
      <w:tcPr>
        <w:tcBorders>
          <w:top w:val="single" w:sz="8" w:space="0" w:color="004E5C" w:themeColor="accent5"/>
          <w:bottom w:val="single" w:sz="8" w:space="0" w:color="004E5C" w:themeColor="accent5"/>
        </w:tcBorders>
      </w:tcPr>
    </w:tblStylePr>
    <w:tblStylePr w:type="band1Vert">
      <w:tblPr/>
      <w:tcPr>
        <w:shd w:val="clear" w:color="auto" w:fill="97EFFF" w:themeFill="accent5" w:themeFillTint="3F"/>
      </w:tcPr>
    </w:tblStylePr>
    <w:tblStylePr w:type="band1Horz">
      <w:tblPr/>
      <w:tcPr>
        <w:shd w:val="clear" w:color="auto" w:fill="97EFFF" w:themeFill="accent5" w:themeFillTint="3F"/>
      </w:tcPr>
    </w:tblStylePr>
  </w:style>
  <w:style w:type="table" w:styleId="MediumList1-Accent6">
    <w:name w:val="Medium List 1 Accent 6"/>
    <w:basedOn w:val="TableNormal"/>
    <w:uiPriority w:val="98"/>
    <w:rsid w:val="009629FA"/>
    <w:rPr>
      <w:color w:val="000000" w:themeColor="text1"/>
    </w:rPr>
    <w:tblPr>
      <w:tblStyleRowBandSize w:val="1"/>
      <w:tblStyleColBandSize w:val="1"/>
      <w:tblBorders>
        <w:top w:val="single" w:sz="8" w:space="0" w:color="2D5638" w:themeColor="accent6"/>
        <w:bottom w:val="single" w:sz="8" w:space="0" w:color="2D5638" w:themeColor="accent6"/>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2D5638" w:themeColor="accent6"/>
        </w:tcBorders>
      </w:tcPr>
    </w:tblStylePr>
    <w:tblStylePr w:type="lastRow">
      <w:rPr>
        <w:b/>
        <w:bCs/>
        <w:color w:val="004E5C" w:themeColor="text2"/>
      </w:rPr>
      <w:tblPr/>
      <w:tcPr>
        <w:tcBorders>
          <w:top w:val="single" w:sz="8" w:space="0" w:color="2D5638" w:themeColor="accent6"/>
          <w:bottom w:val="single" w:sz="8" w:space="0" w:color="2D5638" w:themeColor="accent6"/>
        </w:tcBorders>
      </w:tcPr>
    </w:tblStylePr>
    <w:tblStylePr w:type="firstCol">
      <w:rPr>
        <w:b/>
        <w:bCs/>
      </w:rPr>
    </w:tblStylePr>
    <w:tblStylePr w:type="lastCol">
      <w:rPr>
        <w:b/>
        <w:bCs/>
      </w:rPr>
      <w:tblPr/>
      <w:tcPr>
        <w:tcBorders>
          <w:top w:val="single" w:sz="8" w:space="0" w:color="2D5638" w:themeColor="accent6"/>
          <w:bottom w:val="single" w:sz="8" w:space="0" w:color="2D5638" w:themeColor="accent6"/>
        </w:tcBorders>
      </w:tcPr>
    </w:tblStylePr>
    <w:tblStylePr w:type="band1Vert">
      <w:tblPr/>
      <w:tcPr>
        <w:shd w:val="clear" w:color="auto" w:fill="C1DEC9" w:themeFill="accent6" w:themeFillTint="3F"/>
      </w:tcPr>
    </w:tblStylePr>
    <w:tblStylePr w:type="band1Horz">
      <w:tblPr/>
      <w:tcPr>
        <w:shd w:val="clear" w:color="auto" w:fill="C1DEC9" w:themeFill="accent6" w:themeFillTint="3F"/>
      </w:tcPr>
    </w:tblStylePr>
  </w:style>
  <w:style w:type="table" w:styleId="MediumList2">
    <w:name w:val="Medium List 2"/>
    <w:basedOn w:val="TableNormal"/>
    <w:uiPriority w:val="98"/>
    <w:rsid w:val="009629FA"/>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9629FA"/>
    <w:rPr>
      <w:rFonts w:eastAsiaTheme="majorEastAsia"/>
      <w:color w:val="000000" w:themeColor="text1"/>
    </w:rPr>
    <w:tblPr>
      <w:tblStyleRowBandSize w:val="1"/>
      <w:tblStyleColBandSize w:val="1"/>
      <w:tblBorders>
        <w:top w:val="single" w:sz="8" w:space="0" w:color="6CBBA8" w:themeColor="accent1"/>
        <w:left w:val="single" w:sz="8" w:space="0" w:color="6CBBA8" w:themeColor="accent1"/>
        <w:bottom w:val="single" w:sz="8" w:space="0" w:color="6CBBA8" w:themeColor="accent1"/>
        <w:right w:val="single" w:sz="8" w:space="0" w:color="6CBBA8" w:themeColor="accent1"/>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6CBBA8" w:themeColor="accent1"/>
          <w:right w:val="nil"/>
          <w:insideH w:val="nil"/>
          <w:insideV w:val="nil"/>
        </w:tcBorders>
        <w:shd w:val="clear" w:color="auto" w:fill="FFFFFF" w:themeFill="background1"/>
      </w:tcPr>
    </w:tblStylePr>
    <w:tblStylePr w:type="lastRow">
      <w:tblPr/>
      <w:tcPr>
        <w:tcBorders>
          <w:top w:val="single" w:sz="8" w:space="0" w:color="6CBBA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BBA8" w:themeColor="accent1"/>
          <w:insideH w:val="nil"/>
          <w:insideV w:val="nil"/>
        </w:tcBorders>
        <w:shd w:val="clear" w:color="auto" w:fill="FFFFFF" w:themeFill="background1"/>
      </w:tcPr>
    </w:tblStylePr>
    <w:tblStylePr w:type="lastCol">
      <w:tblPr/>
      <w:tcPr>
        <w:tcBorders>
          <w:top w:val="nil"/>
          <w:left w:val="single" w:sz="8" w:space="0" w:color="6CBBA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E9" w:themeFill="accent1" w:themeFillTint="3F"/>
      </w:tcPr>
    </w:tblStylePr>
    <w:tblStylePr w:type="band1Horz">
      <w:tblPr/>
      <w:tcPr>
        <w:tcBorders>
          <w:top w:val="nil"/>
          <w:bottom w:val="nil"/>
          <w:insideH w:val="nil"/>
          <w:insideV w:val="nil"/>
        </w:tcBorders>
        <w:shd w:val="clear" w:color="auto" w:fill="DAEE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9629FA"/>
    <w:rPr>
      <w:rFonts w:eastAsiaTheme="majorEastAsia"/>
      <w:color w:val="000000" w:themeColor="text1"/>
    </w:rPr>
    <w:tblPr>
      <w:tblStyleRowBandSize w:val="1"/>
      <w:tblStyleColBandSize w:val="1"/>
      <w:tblBorders>
        <w:top w:val="single" w:sz="8" w:space="0" w:color="2A3759" w:themeColor="accent2"/>
        <w:left w:val="single" w:sz="8" w:space="0" w:color="2A3759" w:themeColor="accent2"/>
        <w:bottom w:val="single" w:sz="8" w:space="0" w:color="2A3759" w:themeColor="accent2"/>
        <w:right w:val="single" w:sz="8" w:space="0" w:color="2A3759" w:themeColor="accent2"/>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2A3759" w:themeColor="accent2"/>
          <w:right w:val="nil"/>
          <w:insideH w:val="nil"/>
          <w:insideV w:val="nil"/>
        </w:tcBorders>
        <w:shd w:val="clear" w:color="auto" w:fill="FFFFFF" w:themeFill="background1"/>
      </w:tcPr>
    </w:tblStylePr>
    <w:tblStylePr w:type="lastRow">
      <w:tblPr/>
      <w:tcPr>
        <w:tcBorders>
          <w:top w:val="single" w:sz="8" w:space="0" w:color="2A375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A3759" w:themeColor="accent2"/>
          <w:insideH w:val="nil"/>
          <w:insideV w:val="nil"/>
        </w:tcBorders>
        <w:shd w:val="clear" w:color="auto" w:fill="FFFFFF" w:themeFill="background1"/>
      </w:tcPr>
    </w:tblStylePr>
    <w:tblStylePr w:type="lastCol">
      <w:tblPr/>
      <w:tcPr>
        <w:tcBorders>
          <w:top w:val="nil"/>
          <w:left w:val="single" w:sz="8" w:space="0" w:color="2A375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C8E1" w:themeFill="accent2" w:themeFillTint="3F"/>
      </w:tcPr>
    </w:tblStylePr>
    <w:tblStylePr w:type="band1Horz">
      <w:tblPr/>
      <w:tcPr>
        <w:tcBorders>
          <w:top w:val="nil"/>
          <w:bottom w:val="nil"/>
          <w:insideH w:val="nil"/>
          <w:insideV w:val="nil"/>
        </w:tcBorders>
        <w:shd w:val="clear" w:color="auto" w:fill="BFC8E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9629FA"/>
    <w:rPr>
      <w:rFonts w:eastAsiaTheme="majorEastAsia"/>
      <w:color w:val="000000" w:themeColor="text1"/>
    </w:rPr>
    <w:tblPr>
      <w:tblStyleRowBandSize w:val="1"/>
      <w:tblStyleColBandSize w:val="1"/>
      <w:tblBorders>
        <w:top w:val="single" w:sz="8" w:space="0" w:color="81BD00" w:themeColor="accent3"/>
        <w:left w:val="single" w:sz="8" w:space="0" w:color="81BD00" w:themeColor="accent3"/>
        <w:bottom w:val="single" w:sz="8" w:space="0" w:color="81BD00" w:themeColor="accent3"/>
        <w:right w:val="single" w:sz="8" w:space="0" w:color="81BD00" w:themeColor="accent3"/>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81BD00" w:themeColor="accent3"/>
          <w:right w:val="nil"/>
          <w:insideH w:val="nil"/>
          <w:insideV w:val="nil"/>
        </w:tcBorders>
        <w:shd w:val="clear" w:color="auto" w:fill="FFFFFF" w:themeFill="background1"/>
      </w:tcPr>
    </w:tblStylePr>
    <w:tblStylePr w:type="lastRow">
      <w:tblPr/>
      <w:tcPr>
        <w:tcBorders>
          <w:top w:val="single" w:sz="8" w:space="0" w:color="81BD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1BD00" w:themeColor="accent3"/>
          <w:insideH w:val="nil"/>
          <w:insideV w:val="nil"/>
        </w:tcBorders>
        <w:shd w:val="clear" w:color="auto" w:fill="FFFFFF" w:themeFill="background1"/>
      </w:tcPr>
    </w:tblStylePr>
    <w:tblStylePr w:type="lastCol">
      <w:tblPr/>
      <w:tcPr>
        <w:tcBorders>
          <w:top w:val="nil"/>
          <w:left w:val="single" w:sz="8" w:space="0" w:color="81BD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FAF" w:themeFill="accent3" w:themeFillTint="3F"/>
      </w:tcPr>
    </w:tblStylePr>
    <w:tblStylePr w:type="band1Horz">
      <w:tblPr/>
      <w:tcPr>
        <w:tcBorders>
          <w:top w:val="nil"/>
          <w:bottom w:val="nil"/>
          <w:insideH w:val="nil"/>
          <w:insideV w:val="nil"/>
        </w:tcBorders>
        <w:shd w:val="clear" w:color="auto" w:fill="E5FFA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9629FA"/>
    <w:rPr>
      <w:rFonts w:eastAsiaTheme="majorEastAsia"/>
      <w:color w:val="000000" w:themeColor="text1"/>
    </w:rPr>
    <w:tblPr>
      <w:tblStyleRowBandSize w:val="1"/>
      <w:tblStyleColBandSize w:val="1"/>
      <w:tblBorders>
        <w:top w:val="single" w:sz="8" w:space="0" w:color="D1BEBA" w:themeColor="accent4"/>
        <w:left w:val="single" w:sz="8" w:space="0" w:color="D1BEBA" w:themeColor="accent4"/>
        <w:bottom w:val="single" w:sz="8" w:space="0" w:color="D1BEBA" w:themeColor="accent4"/>
        <w:right w:val="single" w:sz="8" w:space="0" w:color="D1BEBA" w:themeColor="accent4"/>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D1BEBA" w:themeColor="accent4"/>
          <w:right w:val="nil"/>
          <w:insideH w:val="nil"/>
          <w:insideV w:val="nil"/>
        </w:tcBorders>
        <w:shd w:val="clear" w:color="auto" w:fill="FFFFFF" w:themeFill="background1"/>
      </w:tcPr>
    </w:tblStylePr>
    <w:tblStylePr w:type="lastRow">
      <w:tblPr/>
      <w:tcPr>
        <w:tcBorders>
          <w:top w:val="single" w:sz="8" w:space="0" w:color="D1BEBA"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1BEBA" w:themeColor="accent4"/>
          <w:insideH w:val="nil"/>
          <w:insideV w:val="nil"/>
        </w:tcBorders>
        <w:shd w:val="clear" w:color="auto" w:fill="FFFFFF" w:themeFill="background1"/>
      </w:tcPr>
    </w:tblStylePr>
    <w:tblStylePr w:type="lastCol">
      <w:tblPr/>
      <w:tcPr>
        <w:tcBorders>
          <w:top w:val="nil"/>
          <w:left w:val="single" w:sz="8" w:space="0" w:color="D1BEB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EEED" w:themeFill="accent4" w:themeFillTint="3F"/>
      </w:tcPr>
    </w:tblStylePr>
    <w:tblStylePr w:type="band1Horz">
      <w:tblPr/>
      <w:tcPr>
        <w:tcBorders>
          <w:top w:val="nil"/>
          <w:bottom w:val="nil"/>
          <w:insideH w:val="nil"/>
          <w:insideV w:val="nil"/>
        </w:tcBorders>
        <w:shd w:val="clear" w:color="auto" w:fill="F3EE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9629FA"/>
    <w:rPr>
      <w:rFonts w:eastAsiaTheme="majorEastAsia"/>
      <w:color w:val="000000" w:themeColor="text1"/>
    </w:rPr>
    <w:tblPr>
      <w:tblStyleRowBandSize w:val="1"/>
      <w:tblStyleColBandSize w:val="1"/>
      <w:tblBorders>
        <w:top w:val="single" w:sz="8" w:space="0" w:color="004E5C" w:themeColor="accent5"/>
        <w:left w:val="single" w:sz="8" w:space="0" w:color="004E5C" w:themeColor="accent5"/>
        <w:bottom w:val="single" w:sz="8" w:space="0" w:color="004E5C" w:themeColor="accent5"/>
        <w:right w:val="single" w:sz="8" w:space="0" w:color="004E5C" w:themeColor="accent5"/>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004E5C" w:themeColor="accent5"/>
          <w:right w:val="nil"/>
          <w:insideH w:val="nil"/>
          <w:insideV w:val="nil"/>
        </w:tcBorders>
        <w:shd w:val="clear" w:color="auto" w:fill="FFFFFF" w:themeFill="background1"/>
      </w:tcPr>
    </w:tblStylePr>
    <w:tblStylePr w:type="lastRow">
      <w:tblPr/>
      <w:tcPr>
        <w:tcBorders>
          <w:top w:val="single" w:sz="8" w:space="0" w:color="004E5C"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E5C" w:themeColor="accent5"/>
          <w:insideH w:val="nil"/>
          <w:insideV w:val="nil"/>
        </w:tcBorders>
        <w:shd w:val="clear" w:color="auto" w:fill="FFFFFF" w:themeFill="background1"/>
      </w:tcPr>
    </w:tblStylePr>
    <w:tblStylePr w:type="lastCol">
      <w:tblPr/>
      <w:tcPr>
        <w:tcBorders>
          <w:top w:val="nil"/>
          <w:left w:val="single" w:sz="8" w:space="0" w:color="004E5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7EFFF" w:themeFill="accent5" w:themeFillTint="3F"/>
      </w:tcPr>
    </w:tblStylePr>
    <w:tblStylePr w:type="band1Horz">
      <w:tblPr/>
      <w:tcPr>
        <w:tcBorders>
          <w:top w:val="nil"/>
          <w:bottom w:val="nil"/>
          <w:insideH w:val="nil"/>
          <w:insideV w:val="nil"/>
        </w:tcBorders>
        <w:shd w:val="clear" w:color="auto" w:fill="97EF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9629FA"/>
    <w:rPr>
      <w:rFonts w:eastAsiaTheme="majorEastAsia"/>
      <w:color w:val="000000" w:themeColor="text1"/>
    </w:rPr>
    <w:tblPr>
      <w:tblStyleRowBandSize w:val="1"/>
      <w:tblStyleColBandSize w:val="1"/>
      <w:tblBorders>
        <w:top w:val="single" w:sz="8" w:space="0" w:color="2D5638" w:themeColor="accent6"/>
        <w:left w:val="single" w:sz="8" w:space="0" w:color="2D5638" w:themeColor="accent6"/>
        <w:bottom w:val="single" w:sz="8" w:space="0" w:color="2D5638" w:themeColor="accent6"/>
        <w:right w:val="single" w:sz="8" w:space="0" w:color="2D5638" w:themeColor="accent6"/>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2D5638" w:themeColor="accent6"/>
          <w:right w:val="nil"/>
          <w:insideH w:val="nil"/>
          <w:insideV w:val="nil"/>
        </w:tcBorders>
        <w:shd w:val="clear" w:color="auto" w:fill="FFFFFF" w:themeFill="background1"/>
      </w:tcPr>
    </w:tblStylePr>
    <w:tblStylePr w:type="lastRow">
      <w:tblPr/>
      <w:tcPr>
        <w:tcBorders>
          <w:top w:val="single" w:sz="8" w:space="0" w:color="2D563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D5638" w:themeColor="accent6"/>
          <w:insideH w:val="nil"/>
          <w:insideV w:val="nil"/>
        </w:tcBorders>
        <w:shd w:val="clear" w:color="auto" w:fill="FFFFFF" w:themeFill="background1"/>
      </w:tcPr>
    </w:tblStylePr>
    <w:tblStylePr w:type="lastCol">
      <w:tblPr/>
      <w:tcPr>
        <w:tcBorders>
          <w:top w:val="nil"/>
          <w:left w:val="single" w:sz="8" w:space="0" w:color="2D563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DEC9" w:themeFill="accent6" w:themeFillTint="3F"/>
      </w:tcPr>
    </w:tblStylePr>
    <w:tblStylePr w:type="band1Horz">
      <w:tblPr/>
      <w:tcPr>
        <w:tcBorders>
          <w:top w:val="nil"/>
          <w:bottom w:val="nil"/>
          <w:insideH w:val="nil"/>
          <w:insideV w:val="nil"/>
        </w:tcBorders>
        <w:shd w:val="clear" w:color="auto" w:fill="C1DE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9629F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9629FA"/>
    <w:tblPr>
      <w:tblStyleRowBandSize w:val="1"/>
      <w:tblStyleColBandSize w:val="1"/>
      <w:tblBorders>
        <w:top w:val="single" w:sz="8" w:space="0" w:color="90CCBD" w:themeColor="accent1" w:themeTint="BF"/>
        <w:left w:val="single" w:sz="8" w:space="0" w:color="90CCBD" w:themeColor="accent1" w:themeTint="BF"/>
        <w:bottom w:val="single" w:sz="8" w:space="0" w:color="90CCBD" w:themeColor="accent1" w:themeTint="BF"/>
        <w:right w:val="single" w:sz="8" w:space="0" w:color="90CCBD" w:themeColor="accent1" w:themeTint="BF"/>
        <w:insideH w:val="single" w:sz="8" w:space="0" w:color="90CCB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90CCBD" w:themeColor="accent1" w:themeTint="BF"/>
          <w:left w:val="single" w:sz="8" w:space="0" w:color="90CCBD" w:themeColor="accent1" w:themeTint="BF"/>
          <w:bottom w:val="single" w:sz="8" w:space="0" w:color="90CCBD" w:themeColor="accent1" w:themeTint="BF"/>
          <w:right w:val="single" w:sz="8" w:space="0" w:color="90CCBD" w:themeColor="accent1" w:themeTint="BF"/>
          <w:insideH w:val="nil"/>
          <w:insideV w:val="nil"/>
        </w:tcBorders>
        <w:shd w:val="clear" w:color="auto" w:fill="6CBBA8" w:themeFill="accent1"/>
      </w:tcPr>
    </w:tblStylePr>
    <w:tblStylePr w:type="lastRow">
      <w:pPr>
        <w:spacing w:before="0" w:after="0" w:line="240" w:lineRule="auto"/>
      </w:pPr>
      <w:rPr>
        <w:b/>
        <w:bCs/>
      </w:rPr>
      <w:tblPr/>
      <w:tcPr>
        <w:tcBorders>
          <w:top w:val="double" w:sz="6" w:space="0" w:color="90CCBD" w:themeColor="accent1" w:themeTint="BF"/>
          <w:left w:val="single" w:sz="8" w:space="0" w:color="90CCBD" w:themeColor="accent1" w:themeTint="BF"/>
          <w:bottom w:val="single" w:sz="8" w:space="0" w:color="90CCBD" w:themeColor="accent1" w:themeTint="BF"/>
          <w:right w:val="single" w:sz="8" w:space="0" w:color="90CCB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AEEE9" w:themeFill="accent1" w:themeFillTint="3F"/>
      </w:tcPr>
    </w:tblStylePr>
    <w:tblStylePr w:type="band1Horz">
      <w:tblPr/>
      <w:tcPr>
        <w:tcBorders>
          <w:insideH w:val="nil"/>
          <w:insideV w:val="nil"/>
        </w:tcBorders>
        <w:shd w:val="clear" w:color="auto" w:fill="DAEE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9629FA"/>
    <w:tblPr>
      <w:tblStyleRowBandSize w:val="1"/>
      <w:tblStyleColBandSize w:val="1"/>
      <w:tblBorders>
        <w:top w:val="single" w:sz="8" w:space="0" w:color="485E99" w:themeColor="accent2" w:themeTint="BF"/>
        <w:left w:val="single" w:sz="8" w:space="0" w:color="485E99" w:themeColor="accent2" w:themeTint="BF"/>
        <w:bottom w:val="single" w:sz="8" w:space="0" w:color="485E99" w:themeColor="accent2" w:themeTint="BF"/>
        <w:right w:val="single" w:sz="8" w:space="0" w:color="485E99" w:themeColor="accent2" w:themeTint="BF"/>
        <w:insideH w:val="single" w:sz="8" w:space="0" w:color="485E9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485E99" w:themeColor="accent2" w:themeTint="BF"/>
          <w:left w:val="single" w:sz="8" w:space="0" w:color="485E99" w:themeColor="accent2" w:themeTint="BF"/>
          <w:bottom w:val="single" w:sz="8" w:space="0" w:color="485E99" w:themeColor="accent2" w:themeTint="BF"/>
          <w:right w:val="single" w:sz="8" w:space="0" w:color="485E99" w:themeColor="accent2" w:themeTint="BF"/>
          <w:insideH w:val="nil"/>
          <w:insideV w:val="nil"/>
        </w:tcBorders>
        <w:shd w:val="clear" w:color="auto" w:fill="2A3759" w:themeFill="accent2"/>
      </w:tcPr>
    </w:tblStylePr>
    <w:tblStylePr w:type="lastRow">
      <w:pPr>
        <w:spacing w:before="0" w:after="0" w:line="240" w:lineRule="auto"/>
      </w:pPr>
      <w:rPr>
        <w:b/>
        <w:bCs/>
      </w:rPr>
      <w:tblPr/>
      <w:tcPr>
        <w:tcBorders>
          <w:top w:val="double" w:sz="6" w:space="0" w:color="485E99" w:themeColor="accent2" w:themeTint="BF"/>
          <w:left w:val="single" w:sz="8" w:space="0" w:color="485E99" w:themeColor="accent2" w:themeTint="BF"/>
          <w:bottom w:val="single" w:sz="8" w:space="0" w:color="485E99" w:themeColor="accent2" w:themeTint="BF"/>
          <w:right w:val="single" w:sz="8" w:space="0" w:color="485E99" w:themeColor="accent2" w:themeTint="BF"/>
          <w:insideH w:val="nil"/>
          <w:insideV w:val="nil"/>
        </w:tcBorders>
      </w:tcPr>
    </w:tblStylePr>
    <w:tblStylePr w:type="firstCol">
      <w:rPr>
        <w:b/>
        <w:bCs/>
      </w:rPr>
    </w:tblStylePr>
    <w:tblStylePr w:type="lastCol">
      <w:rPr>
        <w:b/>
        <w:bCs/>
      </w:rPr>
    </w:tblStylePr>
    <w:tblStylePr w:type="band1Vert">
      <w:tblPr/>
      <w:tcPr>
        <w:shd w:val="clear" w:color="auto" w:fill="BFC8E1" w:themeFill="accent2" w:themeFillTint="3F"/>
      </w:tcPr>
    </w:tblStylePr>
    <w:tblStylePr w:type="band1Horz">
      <w:tblPr/>
      <w:tcPr>
        <w:tcBorders>
          <w:insideH w:val="nil"/>
          <w:insideV w:val="nil"/>
        </w:tcBorders>
        <w:shd w:val="clear" w:color="auto" w:fill="BFC8E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9629FA"/>
    <w:tblPr>
      <w:tblStyleRowBandSize w:val="1"/>
      <w:tblStyleColBandSize w:val="1"/>
      <w:tblBorders>
        <w:top w:val="single" w:sz="8" w:space="0" w:color="B2FF0E" w:themeColor="accent3" w:themeTint="BF"/>
        <w:left w:val="single" w:sz="8" w:space="0" w:color="B2FF0E" w:themeColor="accent3" w:themeTint="BF"/>
        <w:bottom w:val="single" w:sz="8" w:space="0" w:color="B2FF0E" w:themeColor="accent3" w:themeTint="BF"/>
        <w:right w:val="single" w:sz="8" w:space="0" w:color="B2FF0E" w:themeColor="accent3" w:themeTint="BF"/>
        <w:insideH w:val="single" w:sz="8" w:space="0" w:color="B2FF0E"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B2FF0E" w:themeColor="accent3" w:themeTint="BF"/>
          <w:left w:val="single" w:sz="8" w:space="0" w:color="B2FF0E" w:themeColor="accent3" w:themeTint="BF"/>
          <w:bottom w:val="single" w:sz="8" w:space="0" w:color="B2FF0E" w:themeColor="accent3" w:themeTint="BF"/>
          <w:right w:val="single" w:sz="8" w:space="0" w:color="B2FF0E" w:themeColor="accent3" w:themeTint="BF"/>
          <w:insideH w:val="nil"/>
          <w:insideV w:val="nil"/>
        </w:tcBorders>
        <w:shd w:val="clear" w:color="auto" w:fill="81BD00" w:themeFill="accent3"/>
      </w:tcPr>
    </w:tblStylePr>
    <w:tblStylePr w:type="lastRow">
      <w:pPr>
        <w:spacing w:before="0" w:after="0" w:line="240" w:lineRule="auto"/>
      </w:pPr>
      <w:rPr>
        <w:b/>
        <w:bCs/>
      </w:rPr>
      <w:tblPr/>
      <w:tcPr>
        <w:tcBorders>
          <w:top w:val="double" w:sz="6" w:space="0" w:color="B2FF0E" w:themeColor="accent3" w:themeTint="BF"/>
          <w:left w:val="single" w:sz="8" w:space="0" w:color="B2FF0E" w:themeColor="accent3" w:themeTint="BF"/>
          <w:bottom w:val="single" w:sz="8" w:space="0" w:color="B2FF0E" w:themeColor="accent3" w:themeTint="BF"/>
          <w:right w:val="single" w:sz="8" w:space="0" w:color="B2FF0E"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FFAF" w:themeFill="accent3" w:themeFillTint="3F"/>
      </w:tcPr>
    </w:tblStylePr>
    <w:tblStylePr w:type="band1Horz">
      <w:tblPr/>
      <w:tcPr>
        <w:tcBorders>
          <w:insideH w:val="nil"/>
          <w:insideV w:val="nil"/>
        </w:tcBorders>
        <w:shd w:val="clear" w:color="auto" w:fill="E5FFA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9629FA"/>
    <w:tblPr>
      <w:tblStyleRowBandSize w:val="1"/>
      <w:tblStyleColBandSize w:val="1"/>
      <w:tblBorders>
        <w:top w:val="single" w:sz="8" w:space="0" w:color="DCCECB" w:themeColor="accent4" w:themeTint="BF"/>
        <w:left w:val="single" w:sz="8" w:space="0" w:color="DCCECB" w:themeColor="accent4" w:themeTint="BF"/>
        <w:bottom w:val="single" w:sz="8" w:space="0" w:color="DCCECB" w:themeColor="accent4" w:themeTint="BF"/>
        <w:right w:val="single" w:sz="8" w:space="0" w:color="DCCECB" w:themeColor="accent4" w:themeTint="BF"/>
        <w:insideH w:val="single" w:sz="8" w:space="0" w:color="DCCECB"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DCCECB" w:themeColor="accent4" w:themeTint="BF"/>
          <w:left w:val="single" w:sz="8" w:space="0" w:color="DCCECB" w:themeColor="accent4" w:themeTint="BF"/>
          <w:bottom w:val="single" w:sz="8" w:space="0" w:color="DCCECB" w:themeColor="accent4" w:themeTint="BF"/>
          <w:right w:val="single" w:sz="8" w:space="0" w:color="DCCECB" w:themeColor="accent4" w:themeTint="BF"/>
          <w:insideH w:val="nil"/>
          <w:insideV w:val="nil"/>
        </w:tcBorders>
        <w:shd w:val="clear" w:color="auto" w:fill="D1BEBA" w:themeFill="accent4"/>
      </w:tcPr>
    </w:tblStylePr>
    <w:tblStylePr w:type="lastRow">
      <w:pPr>
        <w:spacing w:before="0" w:after="0" w:line="240" w:lineRule="auto"/>
      </w:pPr>
      <w:rPr>
        <w:b/>
        <w:bCs/>
      </w:rPr>
      <w:tblPr/>
      <w:tcPr>
        <w:tcBorders>
          <w:top w:val="double" w:sz="6" w:space="0" w:color="DCCECB" w:themeColor="accent4" w:themeTint="BF"/>
          <w:left w:val="single" w:sz="8" w:space="0" w:color="DCCECB" w:themeColor="accent4" w:themeTint="BF"/>
          <w:bottom w:val="single" w:sz="8" w:space="0" w:color="DCCECB" w:themeColor="accent4" w:themeTint="BF"/>
          <w:right w:val="single" w:sz="8" w:space="0" w:color="DCCECB" w:themeColor="accent4" w:themeTint="BF"/>
          <w:insideH w:val="nil"/>
          <w:insideV w:val="nil"/>
        </w:tcBorders>
      </w:tcPr>
    </w:tblStylePr>
    <w:tblStylePr w:type="firstCol">
      <w:rPr>
        <w:b/>
        <w:bCs/>
      </w:rPr>
    </w:tblStylePr>
    <w:tblStylePr w:type="lastCol">
      <w:rPr>
        <w:b/>
        <w:bCs/>
      </w:rPr>
    </w:tblStylePr>
    <w:tblStylePr w:type="band1Vert">
      <w:tblPr/>
      <w:tcPr>
        <w:shd w:val="clear" w:color="auto" w:fill="F3EEED" w:themeFill="accent4" w:themeFillTint="3F"/>
      </w:tcPr>
    </w:tblStylePr>
    <w:tblStylePr w:type="band1Horz">
      <w:tblPr/>
      <w:tcPr>
        <w:tcBorders>
          <w:insideH w:val="nil"/>
          <w:insideV w:val="nil"/>
        </w:tcBorders>
        <w:shd w:val="clear" w:color="auto" w:fill="F3EE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9629FA"/>
    <w:tblPr>
      <w:tblStyleRowBandSize w:val="1"/>
      <w:tblStyleColBandSize w:val="1"/>
      <w:tblBorders>
        <w:top w:val="single" w:sz="8" w:space="0" w:color="00A6C4" w:themeColor="accent5" w:themeTint="BF"/>
        <w:left w:val="single" w:sz="8" w:space="0" w:color="00A6C4" w:themeColor="accent5" w:themeTint="BF"/>
        <w:bottom w:val="single" w:sz="8" w:space="0" w:color="00A6C4" w:themeColor="accent5" w:themeTint="BF"/>
        <w:right w:val="single" w:sz="8" w:space="0" w:color="00A6C4" w:themeColor="accent5" w:themeTint="BF"/>
        <w:insideH w:val="single" w:sz="8" w:space="0" w:color="00A6C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00A6C4" w:themeColor="accent5" w:themeTint="BF"/>
          <w:left w:val="single" w:sz="8" w:space="0" w:color="00A6C4" w:themeColor="accent5" w:themeTint="BF"/>
          <w:bottom w:val="single" w:sz="8" w:space="0" w:color="00A6C4" w:themeColor="accent5" w:themeTint="BF"/>
          <w:right w:val="single" w:sz="8" w:space="0" w:color="00A6C4" w:themeColor="accent5" w:themeTint="BF"/>
          <w:insideH w:val="nil"/>
          <w:insideV w:val="nil"/>
        </w:tcBorders>
        <w:shd w:val="clear" w:color="auto" w:fill="004E5C" w:themeFill="accent5"/>
      </w:tcPr>
    </w:tblStylePr>
    <w:tblStylePr w:type="lastRow">
      <w:pPr>
        <w:spacing w:before="0" w:after="0" w:line="240" w:lineRule="auto"/>
      </w:pPr>
      <w:rPr>
        <w:b/>
        <w:bCs/>
      </w:rPr>
      <w:tblPr/>
      <w:tcPr>
        <w:tcBorders>
          <w:top w:val="double" w:sz="6" w:space="0" w:color="00A6C4" w:themeColor="accent5" w:themeTint="BF"/>
          <w:left w:val="single" w:sz="8" w:space="0" w:color="00A6C4" w:themeColor="accent5" w:themeTint="BF"/>
          <w:bottom w:val="single" w:sz="8" w:space="0" w:color="00A6C4" w:themeColor="accent5" w:themeTint="BF"/>
          <w:right w:val="single" w:sz="8" w:space="0" w:color="00A6C4" w:themeColor="accent5" w:themeTint="BF"/>
          <w:insideH w:val="nil"/>
          <w:insideV w:val="nil"/>
        </w:tcBorders>
      </w:tcPr>
    </w:tblStylePr>
    <w:tblStylePr w:type="firstCol">
      <w:rPr>
        <w:b/>
        <w:bCs/>
      </w:rPr>
    </w:tblStylePr>
    <w:tblStylePr w:type="lastCol">
      <w:rPr>
        <w:b/>
        <w:bCs/>
      </w:rPr>
    </w:tblStylePr>
    <w:tblStylePr w:type="band1Vert">
      <w:tblPr/>
      <w:tcPr>
        <w:shd w:val="clear" w:color="auto" w:fill="97EFFF" w:themeFill="accent5" w:themeFillTint="3F"/>
      </w:tcPr>
    </w:tblStylePr>
    <w:tblStylePr w:type="band1Horz">
      <w:tblPr/>
      <w:tcPr>
        <w:tcBorders>
          <w:insideH w:val="nil"/>
          <w:insideV w:val="nil"/>
        </w:tcBorders>
        <w:shd w:val="clear" w:color="auto" w:fill="97EF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9629FA"/>
    <w:tblPr>
      <w:tblStyleRowBandSize w:val="1"/>
      <w:tblStyleColBandSize w:val="1"/>
      <w:tblBorders>
        <w:top w:val="single" w:sz="8" w:space="0" w:color="4D9460" w:themeColor="accent6" w:themeTint="BF"/>
        <w:left w:val="single" w:sz="8" w:space="0" w:color="4D9460" w:themeColor="accent6" w:themeTint="BF"/>
        <w:bottom w:val="single" w:sz="8" w:space="0" w:color="4D9460" w:themeColor="accent6" w:themeTint="BF"/>
        <w:right w:val="single" w:sz="8" w:space="0" w:color="4D9460" w:themeColor="accent6" w:themeTint="BF"/>
        <w:insideH w:val="single" w:sz="8" w:space="0" w:color="4D9460"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4D9460" w:themeColor="accent6" w:themeTint="BF"/>
          <w:left w:val="single" w:sz="8" w:space="0" w:color="4D9460" w:themeColor="accent6" w:themeTint="BF"/>
          <w:bottom w:val="single" w:sz="8" w:space="0" w:color="4D9460" w:themeColor="accent6" w:themeTint="BF"/>
          <w:right w:val="single" w:sz="8" w:space="0" w:color="4D9460" w:themeColor="accent6" w:themeTint="BF"/>
          <w:insideH w:val="nil"/>
          <w:insideV w:val="nil"/>
        </w:tcBorders>
        <w:shd w:val="clear" w:color="auto" w:fill="2D5638" w:themeFill="accent6"/>
      </w:tcPr>
    </w:tblStylePr>
    <w:tblStylePr w:type="lastRow">
      <w:pPr>
        <w:spacing w:before="0" w:after="0" w:line="240" w:lineRule="auto"/>
      </w:pPr>
      <w:rPr>
        <w:b/>
        <w:bCs/>
      </w:rPr>
      <w:tblPr/>
      <w:tcPr>
        <w:tcBorders>
          <w:top w:val="double" w:sz="6" w:space="0" w:color="4D9460" w:themeColor="accent6" w:themeTint="BF"/>
          <w:left w:val="single" w:sz="8" w:space="0" w:color="4D9460" w:themeColor="accent6" w:themeTint="BF"/>
          <w:bottom w:val="single" w:sz="8" w:space="0" w:color="4D9460" w:themeColor="accent6" w:themeTint="BF"/>
          <w:right w:val="single" w:sz="8" w:space="0" w:color="4D946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1DEC9" w:themeFill="accent6" w:themeFillTint="3F"/>
      </w:tcPr>
    </w:tblStylePr>
    <w:tblStylePr w:type="band1Horz">
      <w:tblPr/>
      <w:tcPr>
        <w:tcBorders>
          <w:insideH w:val="nil"/>
          <w:insideV w:val="nil"/>
        </w:tcBorders>
        <w:shd w:val="clear" w:color="auto" w:fill="C1DE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6CBBA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BBA8" w:themeFill="accent1"/>
      </w:tcPr>
    </w:tblStylePr>
    <w:tblStylePr w:type="lastCol">
      <w:rPr>
        <w:b/>
        <w:bCs/>
        <w:color w:val="FFFFFF" w:themeColor="background1"/>
      </w:rPr>
      <w:tblPr/>
      <w:tcPr>
        <w:tcBorders>
          <w:left w:val="nil"/>
          <w:right w:val="nil"/>
          <w:insideH w:val="nil"/>
          <w:insideV w:val="nil"/>
        </w:tcBorders>
        <w:shd w:val="clear" w:color="auto" w:fill="6CBBA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2A375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A3759" w:themeFill="accent2"/>
      </w:tcPr>
    </w:tblStylePr>
    <w:tblStylePr w:type="lastCol">
      <w:rPr>
        <w:b/>
        <w:bCs/>
        <w:color w:val="FFFFFF" w:themeColor="background1"/>
      </w:rPr>
      <w:tblPr/>
      <w:tcPr>
        <w:tcBorders>
          <w:left w:val="nil"/>
          <w:right w:val="nil"/>
          <w:insideH w:val="nil"/>
          <w:insideV w:val="nil"/>
        </w:tcBorders>
        <w:shd w:val="clear" w:color="auto" w:fill="2A375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1BD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1BD00" w:themeFill="accent3"/>
      </w:tcPr>
    </w:tblStylePr>
    <w:tblStylePr w:type="lastCol">
      <w:rPr>
        <w:b/>
        <w:bCs/>
        <w:color w:val="FFFFFF" w:themeColor="background1"/>
      </w:rPr>
      <w:tblPr/>
      <w:tcPr>
        <w:tcBorders>
          <w:left w:val="nil"/>
          <w:right w:val="nil"/>
          <w:insideH w:val="nil"/>
          <w:insideV w:val="nil"/>
        </w:tcBorders>
        <w:shd w:val="clear" w:color="auto" w:fill="81BD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D1BEB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BEBA" w:themeFill="accent4"/>
      </w:tcPr>
    </w:tblStylePr>
    <w:tblStylePr w:type="lastCol">
      <w:rPr>
        <w:b/>
        <w:bCs/>
        <w:color w:val="FFFFFF" w:themeColor="background1"/>
      </w:rPr>
      <w:tblPr/>
      <w:tcPr>
        <w:tcBorders>
          <w:left w:val="nil"/>
          <w:right w:val="nil"/>
          <w:insideH w:val="nil"/>
          <w:insideV w:val="nil"/>
        </w:tcBorders>
        <w:shd w:val="clear" w:color="auto" w:fill="D1BEB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4E5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E5C" w:themeFill="accent5"/>
      </w:tcPr>
    </w:tblStylePr>
    <w:tblStylePr w:type="lastCol">
      <w:rPr>
        <w:b/>
        <w:bCs/>
        <w:color w:val="FFFFFF" w:themeColor="background1"/>
      </w:rPr>
      <w:tblPr/>
      <w:tcPr>
        <w:tcBorders>
          <w:left w:val="nil"/>
          <w:right w:val="nil"/>
          <w:insideH w:val="nil"/>
          <w:insideV w:val="nil"/>
        </w:tcBorders>
        <w:shd w:val="clear" w:color="auto" w:fill="004E5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2D563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D5638" w:themeFill="accent6"/>
      </w:tcPr>
    </w:tblStylePr>
    <w:tblStylePr w:type="lastCol">
      <w:rPr>
        <w:b/>
        <w:bCs/>
        <w:color w:val="FFFFFF" w:themeColor="background1"/>
      </w:rPr>
      <w:tblPr/>
      <w:tcPr>
        <w:tcBorders>
          <w:left w:val="nil"/>
          <w:right w:val="nil"/>
          <w:insideH w:val="nil"/>
          <w:insideV w:val="nil"/>
        </w:tcBorders>
        <w:shd w:val="clear" w:color="auto" w:fill="2D563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9629F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rPr>
  </w:style>
  <w:style w:type="character" w:customStyle="1" w:styleId="MessageHeaderChar">
    <w:name w:val="Message Header Char"/>
    <w:basedOn w:val="DefaultParagraphFont"/>
    <w:link w:val="MessageHeader"/>
    <w:uiPriority w:val="97"/>
    <w:semiHidden/>
    <w:rsid w:val="009629FA"/>
    <w:rPr>
      <w:rFonts w:asciiTheme="minorHAnsi" w:eastAsiaTheme="majorEastAsia" w:hAnsiTheme="minorHAnsi"/>
      <w:color w:val="000000" w:themeColor="text1"/>
      <w:sz w:val="24"/>
      <w:shd w:val="pct20" w:color="auto" w:fill="auto"/>
      <w:lang w:val="en-AU" w:eastAsia="ja-JP"/>
    </w:rPr>
  </w:style>
  <w:style w:type="paragraph" w:styleId="NoSpacing">
    <w:name w:val="No Spacing"/>
    <w:uiPriority w:val="97"/>
    <w:qFormat/>
    <w:rsid w:val="00E035B3"/>
    <w:pPr>
      <w:adjustRightInd w:val="0"/>
      <w:snapToGrid w:val="0"/>
    </w:pPr>
    <w:rPr>
      <w:rFonts w:asciiTheme="minorHAnsi" w:hAnsiTheme="minorHAnsi" w:cstheme="minorHAnsi"/>
      <w:color w:val="004E5C" w:themeColor="text2"/>
      <w:kern w:val="20"/>
      <w:szCs w:val="24"/>
      <w:lang w:val="en-AU" w:eastAsia="zh-CN"/>
    </w:rPr>
  </w:style>
  <w:style w:type="paragraph" w:styleId="NormalWeb">
    <w:name w:val="Normal (Web)"/>
    <w:basedOn w:val="Normal"/>
    <w:uiPriority w:val="99"/>
    <w:rsid w:val="009629FA"/>
  </w:style>
  <w:style w:type="paragraph" w:styleId="NormalIndent">
    <w:name w:val="Normal Indent"/>
    <w:basedOn w:val="Normal"/>
    <w:uiPriority w:val="97"/>
    <w:semiHidden/>
    <w:rsid w:val="009629FA"/>
    <w:pPr>
      <w:ind w:left="720"/>
    </w:pPr>
  </w:style>
  <w:style w:type="paragraph" w:styleId="NoteHeading">
    <w:name w:val="Note Heading"/>
    <w:basedOn w:val="Normal"/>
    <w:next w:val="Normal"/>
    <w:link w:val="NoteHeadingChar"/>
    <w:uiPriority w:val="97"/>
    <w:semiHidden/>
    <w:rsid w:val="009629FA"/>
    <w:pPr>
      <w:spacing w:after="0" w:line="240" w:lineRule="auto"/>
    </w:pPr>
    <w:rPr>
      <w:rFonts w:asciiTheme="majorHAnsi" w:hAnsiTheme="majorHAnsi" w:cstheme="majorHAnsi"/>
    </w:rPr>
  </w:style>
  <w:style w:type="character" w:customStyle="1" w:styleId="NoteHeadingChar">
    <w:name w:val="Note Heading Char"/>
    <w:basedOn w:val="DefaultParagraphFont"/>
    <w:link w:val="NoteHeading"/>
    <w:uiPriority w:val="97"/>
    <w:semiHidden/>
    <w:rsid w:val="009629FA"/>
    <w:rPr>
      <w:rFonts w:asciiTheme="majorHAnsi" w:eastAsia="MS Mincho" w:hAnsiTheme="majorHAnsi" w:cstheme="majorHAnsi"/>
      <w:color w:val="000000" w:themeColor="text1"/>
      <w:sz w:val="22"/>
      <w:lang w:val="en-AU" w:eastAsia="ja-JP"/>
    </w:rPr>
  </w:style>
  <w:style w:type="character" w:styleId="PlaceholderText">
    <w:name w:val="Placeholder Text"/>
    <w:basedOn w:val="DefaultParagraphFont"/>
    <w:uiPriority w:val="99"/>
    <w:semiHidden/>
    <w:rsid w:val="009629FA"/>
    <w:rPr>
      <w:rFonts w:asciiTheme="minorHAnsi" w:hAnsiTheme="minorHAnsi" w:cstheme="minorHAnsi"/>
      <w:color w:val="808080"/>
    </w:rPr>
  </w:style>
  <w:style w:type="paragraph" w:styleId="PlainText">
    <w:name w:val="Plain Text"/>
    <w:basedOn w:val="Normal"/>
    <w:link w:val="PlainTextChar"/>
    <w:uiPriority w:val="97"/>
    <w:semiHidden/>
    <w:rsid w:val="009629FA"/>
    <w:pPr>
      <w:spacing w:after="0" w:line="240" w:lineRule="auto"/>
    </w:pPr>
    <w:rPr>
      <w:sz w:val="21"/>
      <w:szCs w:val="21"/>
    </w:rPr>
  </w:style>
  <w:style w:type="character" w:customStyle="1" w:styleId="PlainTextChar">
    <w:name w:val="Plain Text Char"/>
    <w:basedOn w:val="DefaultParagraphFont"/>
    <w:link w:val="PlainText"/>
    <w:uiPriority w:val="97"/>
    <w:semiHidden/>
    <w:rsid w:val="009629FA"/>
    <w:rPr>
      <w:rFonts w:asciiTheme="minorHAnsi" w:eastAsia="MS Mincho" w:hAnsiTheme="minorHAnsi"/>
      <w:color w:val="000000" w:themeColor="text1"/>
      <w:sz w:val="21"/>
      <w:szCs w:val="21"/>
      <w:lang w:val="en-AU" w:eastAsia="ja-JP"/>
    </w:rPr>
  </w:style>
  <w:style w:type="paragraph" w:styleId="Quote">
    <w:name w:val="Quote"/>
    <w:basedOn w:val="Normal"/>
    <w:next w:val="Normal"/>
    <w:link w:val="QuoteChar"/>
    <w:uiPriority w:val="5"/>
    <w:qFormat/>
    <w:rsid w:val="009629FA"/>
    <w:pPr>
      <w:spacing w:before="280" w:line="300" w:lineRule="atLeast"/>
    </w:pPr>
    <w:rPr>
      <w:b/>
      <w:iCs/>
    </w:rPr>
  </w:style>
  <w:style w:type="character" w:customStyle="1" w:styleId="QuoteChar">
    <w:name w:val="Quote Char"/>
    <w:basedOn w:val="DefaultParagraphFont"/>
    <w:link w:val="Quote"/>
    <w:uiPriority w:val="5"/>
    <w:rsid w:val="004F046B"/>
    <w:rPr>
      <w:rFonts w:asciiTheme="minorHAnsi" w:eastAsia="MS Mincho" w:hAnsiTheme="minorHAnsi"/>
      <w:b/>
      <w:iCs/>
      <w:color w:val="004E5C" w:themeColor="text2"/>
      <w:sz w:val="24"/>
      <w:lang w:val="en-AU" w:eastAsia="ja-JP"/>
    </w:rPr>
  </w:style>
  <w:style w:type="paragraph" w:styleId="Salutation">
    <w:name w:val="Salutation"/>
    <w:basedOn w:val="Normal"/>
    <w:next w:val="Normal"/>
    <w:link w:val="SalutationChar"/>
    <w:uiPriority w:val="97"/>
    <w:semiHidden/>
    <w:rsid w:val="009629FA"/>
  </w:style>
  <w:style w:type="character" w:customStyle="1" w:styleId="SalutationChar">
    <w:name w:val="Salutation Char"/>
    <w:basedOn w:val="DefaultParagraphFont"/>
    <w:link w:val="Salutation"/>
    <w:uiPriority w:val="97"/>
    <w:semiHidden/>
    <w:rsid w:val="009629FA"/>
    <w:rPr>
      <w:rFonts w:asciiTheme="minorHAnsi" w:eastAsia="MS Mincho" w:hAnsiTheme="minorHAnsi"/>
      <w:color w:val="000000" w:themeColor="text1"/>
      <w:sz w:val="22"/>
      <w:lang w:val="en-AU" w:eastAsia="ja-JP"/>
    </w:rPr>
  </w:style>
  <w:style w:type="paragraph" w:styleId="Signature">
    <w:name w:val="Signature"/>
    <w:basedOn w:val="Normal"/>
    <w:link w:val="SignatureChar"/>
    <w:uiPriority w:val="97"/>
    <w:semiHidden/>
    <w:rsid w:val="009629FA"/>
    <w:pPr>
      <w:spacing w:after="0" w:line="240" w:lineRule="auto"/>
      <w:ind w:left="4252"/>
    </w:pPr>
  </w:style>
  <w:style w:type="character" w:customStyle="1" w:styleId="SignatureChar">
    <w:name w:val="Signature Char"/>
    <w:basedOn w:val="DefaultParagraphFont"/>
    <w:link w:val="Signature"/>
    <w:uiPriority w:val="97"/>
    <w:semiHidden/>
    <w:rsid w:val="009629FA"/>
    <w:rPr>
      <w:rFonts w:asciiTheme="minorHAnsi" w:eastAsia="MS Mincho" w:hAnsiTheme="minorHAnsi"/>
      <w:color w:val="000000" w:themeColor="text1"/>
      <w:sz w:val="22"/>
      <w:lang w:val="en-AU" w:eastAsia="ja-JP"/>
    </w:rPr>
  </w:style>
  <w:style w:type="character" w:styleId="Strong">
    <w:name w:val="Strong"/>
    <w:basedOn w:val="DefaultParagraphFont"/>
    <w:uiPriority w:val="22"/>
    <w:qFormat/>
    <w:rsid w:val="009629FA"/>
    <w:rPr>
      <w:rFonts w:asciiTheme="minorHAnsi" w:hAnsiTheme="minorHAnsi" w:cstheme="minorHAnsi"/>
      <w:b/>
      <w:bCs/>
    </w:rPr>
  </w:style>
  <w:style w:type="paragraph" w:styleId="Subtitle">
    <w:name w:val="Subtitle"/>
    <w:basedOn w:val="Normal"/>
    <w:next w:val="Normal"/>
    <w:link w:val="SubtitleChar"/>
    <w:uiPriority w:val="11"/>
    <w:qFormat/>
    <w:rsid w:val="009629FA"/>
    <w:pPr>
      <w:numPr>
        <w:ilvl w:val="1"/>
      </w:numPr>
    </w:pPr>
    <w:rPr>
      <w:rFonts w:eastAsiaTheme="majorEastAsia"/>
      <w:i/>
      <w:iCs/>
      <w:color w:val="6CBBA8" w:themeColor="accent1"/>
      <w:spacing w:val="15"/>
    </w:rPr>
  </w:style>
  <w:style w:type="character" w:customStyle="1" w:styleId="SubtitleChar">
    <w:name w:val="Subtitle Char"/>
    <w:basedOn w:val="DefaultParagraphFont"/>
    <w:link w:val="Subtitle"/>
    <w:uiPriority w:val="11"/>
    <w:rsid w:val="009629FA"/>
    <w:rPr>
      <w:rFonts w:asciiTheme="minorHAnsi" w:eastAsiaTheme="majorEastAsia" w:hAnsiTheme="minorHAnsi"/>
      <w:i/>
      <w:iCs/>
      <w:color w:val="6CBBA8" w:themeColor="accent1"/>
      <w:spacing w:val="15"/>
      <w:sz w:val="24"/>
      <w:lang w:val="en-AU" w:eastAsia="ja-JP"/>
    </w:rPr>
  </w:style>
  <w:style w:type="character" w:styleId="SubtleEmphasis">
    <w:name w:val="Subtle Emphasis"/>
    <w:basedOn w:val="DefaultParagraphFont"/>
    <w:uiPriority w:val="97"/>
    <w:semiHidden/>
    <w:rsid w:val="009629FA"/>
    <w:rPr>
      <w:rFonts w:asciiTheme="minorHAnsi" w:hAnsiTheme="minorHAnsi" w:cstheme="minorHAnsi"/>
      <w:i/>
      <w:iCs/>
      <w:color w:val="808080" w:themeColor="text1" w:themeTint="7F"/>
    </w:rPr>
  </w:style>
  <w:style w:type="character" w:styleId="SubtleReference">
    <w:name w:val="Subtle Reference"/>
    <w:basedOn w:val="DefaultParagraphFont"/>
    <w:uiPriority w:val="97"/>
    <w:semiHidden/>
    <w:rsid w:val="009629FA"/>
    <w:rPr>
      <w:rFonts w:asciiTheme="minorHAnsi" w:hAnsiTheme="minorHAnsi" w:cstheme="minorHAnsi"/>
      <w:smallCaps/>
      <w:color w:val="2A3759" w:themeColor="accent2"/>
      <w:u w:val="single"/>
    </w:rPr>
  </w:style>
  <w:style w:type="table" w:styleId="Table3Deffects1">
    <w:name w:val="Table 3D effects 1"/>
    <w:basedOn w:val="TableNormal"/>
    <w:uiPriority w:val="98"/>
    <w:rsid w:val="009629FA"/>
    <w:pPr>
      <w:adjustRightInd w:val="0"/>
      <w:snapToGrid w:val="0"/>
      <w:spacing w:after="80" w:line="240" w:lineRule="atLeast"/>
    </w:pPr>
    <w:tblPr/>
    <w:tcPr>
      <w:shd w:val="solid" w:color="C0C0C0" w:fill="FFFFFF"/>
      <w:tcMar>
        <w:top w:w="57" w:type="dxa"/>
        <w:left w:w="57" w:type="dxa"/>
        <w:bottom w:w="57" w:type="dxa"/>
        <w:right w:w="57" w:type="dxa"/>
      </w:tcMar>
    </w:tcPr>
    <w:tblStylePr w:type="firstRow">
      <w:rPr>
        <w:rFonts w:asciiTheme="majorHAnsi" w:hAnsiTheme="majorHAnsi" w:cs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9629FA"/>
    <w:pPr>
      <w:adjustRightInd w:val="0"/>
      <w:snapToGrid w:val="0"/>
      <w:spacing w:after="80" w:line="240" w:lineRule="atLeast"/>
    </w:pPr>
    <w:tblPr>
      <w:tblStyleRowBandSize w:val="1"/>
    </w:tblPr>
    <w:tcPr>
      <w:shd w:val="solid" w:color="C0C0C0" w:fill="FFFFFF"/>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9629FA"/>
    <w:pPr>
      <w:adjustRightInd w:val="0"/>
      <w:snapToGrid w:val="0"/>
      <w:spacing w:after="80" w:line="240" w:lineRule="atLeast"/>
    </w:pPr>
    <w:tblPr>
      <w:tblStyleRowBandSize w:val="1"/>
      <w:tblStyleColBandSize w:val="1"/>
    </w:tblPr>
    <w:tcPr>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9629FA"/>
    <w:pPr>
      <w:adjustRightInd w:val="0"/>
      <w:snapToGrid w:val="0"/>
      <w:spacing w:after="80" w:line="240" w:lineRule="atLeast"/>
    </w:p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9629FA"/>
    <w:pPr>
      <w:adjustRightInd w:val="0"/>
      <w:snapToGrid w:val="0"/>
      <w:spacing w:after="80" w:line="240" w:lineRule="atLeast"/>
    </w:p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9629FA"/>
    <w:pPr>
      <w:adjustRightInd w:val="0"/>
      <w:snapToGrid w:val="0"/>
      <w:spacing w:after="8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9629FA"/>
    <w:pPr>
      <w:adjustRightInd w:val="0"/>
      <w:snapToGrid w:val="0"/>
      <w:spacing w:after="8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9629FA"/>
    <w:pPr>
      <w:adjustRightInd w:val="0"/>
      <w:snapToGrid w:val="0"/>
      <w:spacing w:after="8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cs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9629FA"/>
    <w:pPr>
      <w:adjustRightInd w:val="0"/>
      <w:snapToGrid w:val="0"/>
      <w:spacing w:after="80" w:line="240" w:lineRule="atLeast"/>
    </w:p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9629FA"/>
    <w:pPr>
      <w:adjustRightInd w:val="0"/>
      <w:snapToGrid w:val="0"/>
      <w:spacing w:after="8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9629FA"/>
    <w:pPr>
      <w:adjustRightInd w:val="0"/>
      <w:snapToGrid w:val="0"/>
      <w:spacing w:after="8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cs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9629FA"/>
    <w:pPr>
      <w:adjustRightInd w:val="0"/>
      <w:snapToGrid w:val="0"/>
      <w:spacing w:after="80" w:line="240" w:lineRule="atLeast"/>
    </w:pPr>
    <w:rPr>
      <w:b/>
      <w:bCs/>
    </w:rPr>
    <w:tblPr>
      <w:tblStyleColBandSize w:val="1"/>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9629FA"/>
    <w:pPr>
      <w:adjustRightInd w:val="0"/>
      <w:snapToGrid w:val="0"/>
      <w:spacing w:after="8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9629FA"/>
    <w:pPr>
      <w:adjustRightInd w:val="0"/>
      <w:snapToGrid w:val="0"/>
      <w:spacing w:after="80" w:line="240" w:lineRule="atLeast"/>
    </w:pPr>
    <w:tblPr>
      <w:tblStyleColBandSize w:val="1"/>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9629FA"/>
    <w:pPr>
      <w:adjustRightInd w:val="0"/>
      <w:snapToGrid w:val="0"/>
      <w:spacing w:after="8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cs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9629FA"/>
    <w:pPr>
      <w:adjustRightInd w:val="0"/>
      <w:snapToGrid w:val="0"/>
      <w:spacing w:after="80" w:line="240" w:lineRule="atLeast"/>
    </w:p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9629FA"/>
    <w:pPr>
      <w:adjustRightInd w:val="0"/>
      <w:snapToGrid w:val="0"/>
      <w:spacing w:after="8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9629FA"/>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9629FA"/>
    <w:pPr>
      <w:adjustRightInd w:val="0"/>
      <w:snapToGrid w:val="0"/>
      <w:spacing w:after="80" w:line="240" w:lineRule="atLeast"/>
    </w:p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9629FA"/>
    <w:pPr>
      <w:adjustRightInd w:val="0"/>
      <w:snapToGrid w:val="0"/>
      <w:spacing w:after="8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9629FA"/>
    <w:pPr>
      <w:adjustRightInd w:val="0"/>
      <w:snapToGrid w:val="0"/>
      <w:spacing w:after="8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9629FA"/>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9629FA"/>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9629FA"/>
    <w:pPr>
      <w:adjustRightInd w:val="0"/>
      <w:snapToGrid w:val="0"/>
      <w:spacing w:after="8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9629FA"/>
    <w:pPr>
      <w:adjustRightInd w:val="0"/>
      <w:snapToGrid w:val="0"/>
      <w:spacing w:after="8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9629FA"/>
    <w:pPr>
      <w:adjustRightInd w:val="0"/>
      <w:snapToGrid w:val="0"/>
      <w:spacing w:after="80" w:line="240" w:lineRule="atLeast"/>
    </w:p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cs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9629FA"/>
    <w:pPr>
      <w:adjustRightInd w:val="0"/>
      <w:snapToGrid w:val="0"/>
      <w:spacing w:after="80" w:line="240" w:lineRule="atLeast"/>
    </w:p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cs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9629FA"/>
    <w:pPr>
      <w:adjustRightInd w:val="0"/>
      <w:snapToGrid w:val="0"/>
      <w:spacing w:after="80" w:line="240" w:lineRule="atLeast"/>
    </w:p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9629FA"/>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9629FA"/>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9629FA"/>
    <w:pPr>
      <w:adjustRightInd w:val="0"/>
      <w:snapToGrid w:val="0"/>
      <w:spacing w:after="8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9629FA"/>
    <w:pPr>
      <w:adjustRightInd w:val="0"/>
      <w:snapToGrid w:val="0"/>
      <w:spacing w:after="8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9629FA"/>
    <w:pPr>
      <w:adjustRightInd w:val="0"/>
      <w:snapToGrid w:val="0"/>
      <w:spacing w:after="8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cs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9629FA"/>
    <w:pPr>
      <w:spacing w:after="0"/>
      <w:ind w:left="200" w:hanging="200"/>
    </w:pPr>
  </w:style>
  <w:style w:type="paragraph" w:styleId="TableofFigures">
    <w:name w:val="table of figures"/>
    <w:basedOn w:val="Normal"/>
    <w:next w:val="Normal"/>
    <w:uiPriority w:val="97"/>
    <w:semiHidden/>
    <w:rsid w:val="009629FA"/>
    <w:pPr>
      <w:spacing w:after="0"/>
    </w:pPr>
  </w:style>
  <w:style w:type="table" w:styleId="TableProfessional">
    <w:name w:val="Table Professional"/>
    <w:basedOn w:val="TableNormal"/>
    <w:uiPriority w:val="98"/>
    <w:rsid w:val="009629FA"/>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9629FA"/>
    <w:pPr>
      <w:adjustRightInd w:val="0"/>
      <w:snapToGrid w:val="0"/>
      <w:spacing w:after="80" w:line="240" w:lineRule="atLeast"/>
    </w:p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9629FA"/>
    <w:pPr>
      <w:adjustRightInd w:val="0"/>
      <w:snapToGrid w:val="0"/>
      <w:spacing w:after="80" w:line="240" w:lineRule="atLeast"/>
    </w:pPr>
    <w:tblPr/>
    <w:tcPr>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9629FA"/>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9629FA"/>
    <w:pPr>
      <w:adjustRightInd w:val="0"/>
      <w:snapToGrid w:val="0"/>
      <w:spacing w:after="80" w:line="240" w:lineRule="atLeast"/>
    </w:pPr>
    <w:tblPr>
      <w:tblStyleRowBandSize w:val="1"/>
    </w:tblPr>
    <w:tcPr>
      <w:tcMar>
        <w:top w:w="57" w:type="dxa"/>
        <w:left w:w="57" w:type="dxa"/>
        <w:bottom w:w="57" w:type="dxa"/>
        <w:right w:w="57" w:type="dxa"/>
      </w:tcMar>
    </w:tcPr>
    <w:tblStylePr w:type="firstRow">
      <w:rPr>
        <w:rFonts w:asciiTheme="majorHAnsi" w:hAnsiTheme="majorHAnsi" w:cs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9629FA"/>
    <w:pPr>
      <w:adjustRightInd w:val="0"/>
      <w:snapToGrid w:val="0"/>
      <w:spacing w:after="80" w:line="240" w:lineRule="atLeast"/>
    </w:p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cs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9629FA"/>
    <w:pPr>
      <w:adjustRightInd w:val="0"/>
      <w:snapToGrid w:val="0"/>
      <w:spacing w:after="8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cstheme="majorHAnsi"/>
      </w:rPr>
    </w:tblStylePr>
  </w:style>
  <w:style w:type="table" w:styleId="TableWeb1">
    <w:name w:val="Table Web 1"/>
    <w:basedOn w:val="TableNormal"/>
    <w:uiPriority w:val="98"/>
    <w:rsid w:val="009629FA"/>
    <w:pPr>
      <w:adjustRightInd w:val="0"/>
      <w:snapToGrid w:val="0"/>
      <w:spacing w:after="8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table" w:styleId="TableWeb2">
    <w:name w:val="Table Web 2"/>
    <w:basedOn w:val="TableNormal"/>
    <w:uiPriority w:val="98"/>
    <w:rsid w:val="009629FA"/>
    <w:pPr>
      <w:adjustRightInd w:val="0"/>
      <w:snapToGrid w:val="0"/>
      <w:spacing w:after="8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table" w:styleId="TableWeb3">
    <w:name w:val="Table Web 3"/>
    <w:basedOn w:val="TableNormal"/>
    <w:uiPriority w:val="98"/>
    <w:rsid w:val="009629FA"/>
    <w:pPr>
      <w:adjustRightInd w:val="0"/>
      <w:snapToGrid w:val="0"/>
      <w:spacing w:after="8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97"/>
    <w:semiHidden/>
    <w:rsid w:val="009629FA"/>
    <w:pPr>
      <w:pBdr>
        <w:bottom w:val="single" w:sz="8" w:space="4" w:color="6CBBA8" w:themeColor="accent1"/>
      </w:pBdr>
      <w:spacing w:after="300" w:line="240" w:lineRule="auto"/>
      <w:contextualSpacing/>
    </w:pPr>
    <w:rPr>
      <w:rFonts w:eastAsiaTheme="majorEastAsia"/>
      <w:color w:val="003A44" w:themeColor="text2" w:themeShade="BF"/>
      <w:spacing w:val="5"/>
      <w:kern w:val="28"/>
      <w:sz w:val="52"/>
      <w:szCs w:val="52"/>
    </w:rPr>
  </w:style>
  <w:style w:type="character" w:customStyle="1" w:styleId="TitleChar">
    <w:name w:val="Title Char"/>
    <w:basedOn w:val="DefaultParagraphFont"/>
    <w:link w:val="Title"/>
    <w:uiPriority w:val="97"/>
    <w:semiHidden/>
    <w:rsid w:val="009629FA"/>
    <w:rPr>
      <w:rFonts w:asciiTheme="minorHAnsi" w:eastAsiaTheme="majorEastAsia" w:hAnsiTheme="minorHAnsi"/>
      <w:color w:val="003A44" w:themeColor="text2" w:themeShade="BF"/>
      <w:spacing w:val="5"/>
      <w:kern w:val="28"/>
      <w:sz w:val="52"/>
      <w:szCs w:val="52"/>
      <w:lang w:val="en-AU" w:eastAsia="ja-JP"/>
    </w:rPr>
  </w:style>
  <w:style w:type="paragraph" w:styleId="TOAHeading">
    <w:name w:val="toa heading"/>
    <w:basedOn w:val="Normal"/>
    <w:next w:val="Normal"/>
    <w:uiPriority w:val="97"/>
    <w:semiHidden/>
    <w:rsid w:val="009629FA"/>
    <w:rPr>
      <w:rFonts w:asciiTheme="majorHAnsi" w:eastAsiaTheme="majorEastAsia" w:hAnsiTheme="majorHAnsi" w:cstheme="majorHAnsi"/>
      <w:b/>
      <w:bCs/>
    </w:rPr>
  </w:style>
  <w:style w:type="paragraph" w:styleId="TOC5">
    <w:name w:val="toc 5"/>
    <w:basedOn w:val="Normal"/>
    <w:next w:val="Normal"/>
    <w:autoRedefine/>
    <w:uiPriority w:val="97"/>
    <w:semiHidden/>
    <w:rsid w:val="009629FA"/>
    <w:pPr>
      <w:spacing w:after="100"/>
      <w:ind w:left="800"/>
    </w:pPr>
  </w:style>
  <w:style w:type="paragraph" w:styleId="TOC6">
    <w:name w:val="toc 6"/>
    <w:basedOn w:val="Normal"/>
    <w:next w:val="Normal"/>
    <w:autoRedefine/>
    <w:uiPriority w:val="97"/>
    <w:semiHidden/>
    <w:rsid w:val="009629FA"/>
    <w:pPr>
      <w:spacing w:after="100"/>
      <w:ind w:left="1000"/>
    </w:pPr>
  </w:style>
  <w:style w:type="paragraph" w:styleId="TOC7">
    <w:name w:val="toc 7"/>
    <w:basedOn w:val="Normal"/>
    <w:next w:val="Normal"/>
    <w:autoRedefine/>
    <w:uiPriority w:val="97"/>
    <w:semiHidden/>
    <w:rsid w:val="009629FA"/>
    <w:pPr>
      <w:spacing w:after="100"/>
      <w:ind w:left="1200"/>
    </w:pPr>
  </w:style>
  <w:style w:type="paragraph" w:styleId="TOC8">
    <w:name w:val="toc 8"/>
    <w:basedOn w:val="Normal"/>
    <w:next w:val="Normal"/>
    <w:autoRedefine/>
    <w:uiPriority w:val="97"/>
    <w:semiHidden/>
    <w:rsid w:val="009629FA"/>
    <w:pPr>
      <w:spacing w:after="100"/>
      <w:ind w:left="1400"/>
    </w:pPr>
  </w:style>
  <w:style w:type="paragraph" w:styleId="TOC9">
    <w:name w:val="toc 9"/>
    <w:basedOn w:val="Normal"/>
    <w:next w:val="Normal"/>
    <w:autoRedefine/>
    <w:uiPriority w:val="97"/>
    <w:semiHidden/>
    <w:rsid w:val="009629FA"/>
    <w:pPr>
      <w:spacing w:after="100"/>
      <w:ind w:left="1600"/>
    </w:pPr>
  </w:style>
  <w:style w:type="paragraph" w:styleId="TOCHeading">
    <w:name w:val="TOC Heading"/>
    <w:basedOn w:val="Normal"/>
    <w:next w:val="Normal"/>
    <w:uiPriority w:val="39"/>
    <w:qFormat/>
    <w:rsid w:val="00F444AA"/>
    <w:pPr>
      <w:pageBreakBefore/>
      <w:spacing w:after="2500"/>
      <w:contextualSpacing/>
    </w:pPr>
    <w:rPr>
      <w:sz w:val="44"/>
    </w:rPr>
  </w:style>
  <w:style w:type="table" w:customStyle="1" w:styleId="LayoutGrid">
    <w:name w:val="Layout Grid"/>
    <w:basedOn w:val="TableNormal"/>
    <w:uiPriority w:val="99"/>
    <w:rsid w:val="009629FA"/>
    <w:rPr>
      <w:rFonts w:asciiTheme="minorHAnsi" w:hAnsiTheme="minorHAnsi"/>
    </w:rPr>
    <w:tblPr>
      <w:tblCellMar>
        <w:left w:w="0" w:type="dxa"/>
        <w:right w:w="0" w:type="dxa"/>
      </w:tblCellMar>
    </w:tblPr>
  </w:style>
  <w:style w:type="character" w:customStyle="1" w:styleId="HeaderChar">
    <w:name w:val="Header Char"/>
    <w:basedOn w:val="DefaultParagraphFont"/>
    <w:link w:val="Header"/>
    <w:uiPriority w:val="99"/>
    <w:rsid w:val="009629FA"/>
    <w:rPr>
      <w:rFonts w:asciiTheme="minorHAnsi" w:eastAsia="MS Mincho" w:hAnsiTheme="minorHAnsi"/>
      <w:caps/>
      <w:color w:val="000000" w:themeColor="text1"/>
      <w:kern w:val="60"/>
      <w:sz w:val="13"/>
      <w:lang w:val="en-AU" w:eastAsia="ja-JP"/>
    </w:rPr>
  </w:style>
  <w:style w:type="paragraph" w:styleId="TOC2">
    <w:name w:val="toc 2"/>
    <w:basedOn w:val="Normal"/>
    <w:next w:val="Normal"/>
    <w:uiPriority w:val="39"/>
    <w:unhideWhenUsed/>
    <w:rsid w:val="00A14020"/>
    <w:pPr>
      <w:tabs>
        <w:tab w:val="right" w:leader="underscore" w:pos="9639"/>
      </w:tabs>
    </w:pPr>
  </w:style>
  <w:style w:type="paragraph" w:customStyle="1" w:styleId="HeaderTitle">
    <w:name w:val="Header Title"/>
    <w:basedOn w:val="Header"/>
    <w:semiHidden/>
    <w:qFormat/>
    <w:rsid w:val="009629FA"/>
    <w:rPr>
      <w:b/>
      <w:caps w:val="0"/>
      <w:sz w:val="17"/>
    </w:rPr>
  </w:style>
  <w:style w:type="numbering" w:customStyle="1" w:styleId="ListBullets">
    <w:name w:val="ListBullets"/>
    <w:uiPriority w:val="99"/>
    <w:rsid w:val="009629FA"/>
    <w:pPr>
      <w:numPr>
        <w:numId w:val="5"/>
      </w:numPr>
    </w:pPr>
  </w:style>
  <w:style w:type="numbering" w:customStyle="1" w:styleId="NubmeredHeadings">
    <w:name w:val="Nubmered Headings"/>
    <w:uiPriority w:val="99"/>
    <w:rsid w:val="009629FA"/>
    <w:pPr>
      <w:numPr>
        <w:numId w:val="6"/>
      </w:numPr>
    </w:pPr>
  </w:style>
  <w:style w:type="numbering" w:customStyle="1" w:styleId="TicksList">
    <w:name w:val="Ticks_List"/>
    <w:uiPriority w:val="99"/>
    <w:rsid w:val="009629FA"/>
    <w:pPr>
      <w:numPr>
        <w:numId w:val="7"/>
      </w:numPr>
    </w:pPr>
  </w:style>
  <w:style w:type="character" w:customStyle="1" w:styleId="Heading4Char">
    <w:name w:val="Heading 4 Char"/>
    <w:basedOn w:val="DefaultParagraphFont"/>
    <w:link w:val="Heading4"/>
    <w:uiPriority w:val="9"/>
    <w:rsid w:val="004F046B"/>
    <w:rPr>
      <w:rFonts w:ascii="Arial" w:eastAsia="MS Mincho" w:hAnsi="Arial" w:cstheme="majorHAnsi"/>
      <w:bCs/>
      <w:color w:val="004E5C" w:themeColor="text2"/>
      <w:sz w:val="22"/>
      <w:szCs w:val="28"/>
      <w:lang w:val="en-AU" w:eastAsia="ja-JP"/>
    </w:rPr>
  </w:style>
  <w:style w:type="paragraph" w:customStyle="1" w:styleId="QuotePullOut2">
    <w:name w:val="Quote PullOut 2"/>
    <w:basedOn w:val="Normal"/>
    <w:uiPriority w:val="5"/>
    <w:qFormat/>
    <w:rsid w:val="00017F31"/>
    <w:pPr>
      <w:pBdr>
        <w:top w:val="single" w:sz="4" w:space="18" w:color="FFFFFF" w:themeColor="background2"/>
        <w:left w:val="single" w:sz="4" w:space="12" w:color="FFFFFF" w:themeColor="background2"/>
        <w:bottom w:val="single" w:sz="4" w:space="18" w:color="FFFFFF" w:themeColor="background2"/>
        <w:right w:val="single" w:sz="4" w:space="12" w:color="FFFFFF" w:themeColor="background2"/>
      </w:pBdr>
      <w:shd w:val="clear" w:color="auto" w:fill="2A3759" w:themeFill="accent2"/>
      <w:spacing w:before="200" w:after="200" w:line="300" w:lineRule="atLeast"/>
      <w:ind w:left="261" w:right="261"/>
      <w:contextualSpacing/>
    </w:pPr>
    <w:rPr>
      <w:rFonts w:ascii="Arial" w:hAnsi="Arial"/>
      <w:color w:val="FFFFFF" w:themeColor="background2"/>
    </w:rPr>
  </w:style>
  <w:style w:type="paragraph" w:styleId="TOC3">
    <w:name w:val="toc 3"/>
    <w:basedOn w:val="Normal"/>
    <w:next w:val="Normal"/>
    <w:uiPriority w:val="39"/>
    <w:unhideWhenUsed/>
    <w:rsid w:val="00A14020"/>
    <w:pPr>
      <w:tabs>
        <w:tab w:val="right" w:leader="underscore" w:pos="9639"/>
      </w:tabs>
      <w:spacing w:after="100"/>
      <w:ind w:left="440"/>
    </w:pPr>
  </w:style>
  <w:style w:type="paragraph" w:customStyle="1" w:styleId="QuotePullOut3">
    <w:name w:val="Quote PullOut 3"/>
    <w:basedOn w:val="QuotePullOut2"/>
    <w:uiPriority w:val="5"/>
    <w:qFormat/>
    <w:rsid w:val="009629FA"/>
    <w:pPr>
      <w:pBdr>
        <w:top w:val="single" w:sz="4" w:space="18" w:color="6CBBA8" w:themeColor="accent1"/>
        <w:left w:val="single" w:sz="4" w:space="12" w:color="6CBBA8" w:themeColor="accent1"/>
        <w:bottom w:val="single" w:sz="4" w:space="18" w:color="6CBBA8" w:themeColor="accent1"/>
        <w:right w:val="single" w:sz="4" w:space="12" w:color="6CBBA8" w:themeColor="accent1"/>
      </w:pBdr>
      <w:shd w:val="clear" w:color="auto" w:fill="6CBBA8" w:themeFill="accent1"/>
      <w:jc w:val="center"/>
    </w:pPr>
    <w:rPr>
      <w:color w:val="FFFFFF" w:themeColor="background1"/>
      <w:sz w:val="28"/>
    </w:rPr>
  </w:style>
  <w:style w:type="paragraph" w:styleId="ListNumber3">
    <w:name w:val="List Number 3"/>
    <w:basedOn w:val="Normal"/>
    <w:uiPriority w:val="4"/>
    <w:rsid w:val="006807C7"/>
    <w:pPr>
      <w:numPr>
        <w:ilvl w:val="2"/>
        <w:numId w:val="17"/>
      </w:numPr>
    </w:pPr>
  </w:style>
  <w:style w:type="paragraph" w:customStyle="1" w:styleId="QuotePullOut1">
    <w:name w:val="Quote PullOut 1"/>
    <w:basedOn w:val="Quote"/>
    <w:next w:val="Normal"/>
    <w:uiPriority w:val="5"/>
    <w:qFormat/>
    <w:rsid w:val="009629FA"/>
    <w:pPr>
      <w:pBdr>
        <w:top w:val="single" w:sz="12" w:space="1" w:color="004E5C" w:themeColor="text2"/>
      </w:pBdr>
      <w:contextualSpacing/>
    </w:pPr>
  </w:style>
  <w:style w:type="paragraph" w:customStyle="1" w:styleId="FooterInfo">
    <w:name w:val="Footer Info"/>
    <w:basedOn w:val="Footer"/>
    <w:uiPriority w:val="9"/>
    <w:qFormat/>
    <w:rsid w:val="009629FA"/>
    <w:rPr>
      <w:rFonts w:asciiTheme="minorHAnsi" w:hAnsiTheme="minorHAnsi"/>
      <w:color w:val="004E5C" w:themeColor="text2"/>
      <w:sz w:val="20"/>
    </w:rPr>
  </w:style>
  <w:style w:type="character" w:customStyle="1" w:styleId="Heading3Char">
    <w:name w:val="Heading 3 Char"/>
    <w:basedOn w:val="DefaultParagraphFont"/>
    <w:link w:val="Heading3"/>
    <w:uiPriority w:val="9"/>
    <w:rsid w:val="009B16B2"/>
    <w:rPr>
      <w:rFonts w:ascii="Arial" w:eastAsia="MS Mincho" w:hAnsi="Arial" w:cstheme="majorHAnsi"/>
      <w:bCs/>
      <w:color w:val="004E5C" w:themeColor="text2"/>
      <w:sz w:val="24"/>
      <w:szCs w:val="26"/>
      <w:lang w:val="en-AU" w:eastAsia="ja-JP"/>
    </w:rPr>
  </w:style>
  <w:style w:type="paragraph" w:customStyle="1" w:styleId="TableSubheading">
    <w:name w:val="Table Subheading"/>
    <w:basedOn w:val="TableText"/>
    <w:uiPriority w:val="6"/>
    <w:qFormat/>
    <w:rsid w:val="009629FA"/>
    <w:rPr>
      <w:b/>
    </w:rPr>
  </w:style>
  <w:style w:type="paragraph" w:customStyle="1" w:styleId="NonTocHeading1">
    <w:name w:val="NonToc_Heading1"/>
    <w:basedOn w:val="Normal"/>
    <w:next w:val="Normal"/>
    <w:uiPriority w:val="2"/>
    <w:qFormat/>
    <w:rsid w:val="00A14020"/>
    <w:rPr>
      <w:rFonts w:cstheme="majorHAnsi"/>
      <w:bCs/>
      <w:kern w:val="32"/>
      <w:sz w:val="40"/>
      <w:szCs w:val="32"/>
    </w:rPr>
  </w:style>
  <w:style w:type="numbering" w:customStyle="1" w:styleId="BulletedList">
    <w:name w:val="Bulleted List"/>
    <w:uiPriority w:val="99"/>
    <w:rsid w:val="008F1957"/>
    <w:pPr>
      <w:numPr>
        <w:numId w:val="14"/>
      </w:numPr>
    </w:pPr>
  </w:style>
  <w:style w:type="numbering" w:customStyle="1" w:styleId="NumberList">
    <w:name w:val="Number List"/>
    <w:uiPriority w:val="99"/>
    <w:rsid w:val="006807C7"/>
    <w:pPr>
      <w:numPr>
        <w:numId w:val="15"/>
      </w:numPr>
    </w:pPr>
  </w:style>
  <w:style w:type="character" w:customStyle="1" w:styleId="Heading2Char">
    <w:name w:val="Heading 2 Char"/>
    <w:basedOn w:val="DefaultParagraphFont"/>
    <w:link w:val="Heading2"/>
    <w:uiPriority w:val="9"/>
    <w:rsid w:val="00025830"/>
    <w:rPr>
      <w:rFonts w:ascii="Arial" w:eastAsia="MS Mincho" w:hAnsi="Arial" w:cstheme="majorHAnsi"/>
      <w:bCs/>
      <w:iCs/>
      <w:color w:val="004E5C" w:themeColor="text2"/>
      <w:sz w:val="28"/>
      <w:szCs w:val="28"/>
      <w:lang w:val="en-AU" w:eastAsia="ja-JP"/>
    </w:rPr>
  </w:style>
  <w:style w:type="character" w:customStyle="1" w:styleId="Heading1Char">
    <w:name w:val="Heading 1 Char"/>
    <w:basedOn w:val="DefaultParagraphFont"/>
    <w:link w:val="Heading1"/>
    <w:uiPriority w:val="9"/>
    <w:rsid w:val="00025830"/>
    <w:rPr>
      <w:rFonts w:asciiTheme="minorHAnsi" w:eastAsia="MS Mincho" w:hAnsiTheme="minorHAnsi" w:cstheme="majorHAnsi"/>
      <w:bCs/>
      <w:color w:val="004E5C" w:themeColor="text2"/>
      <w:kern w:val="32"/>
      <w:sz w:val="40"/>
      <w:szCs w:val="32"/>
      <w:lang w:val="en-AU" w:eastAsia="ja-JP"/>
    </w:rPr>
  </w:style>
  <w:style w:type="character" w:customStyle="1" w:styleId="FooterChar">
    <w:name w:val="Footer Char"/>
    <w:basedOn w:val="DefaultParagraphFont"/>
    <w:link w:val="Footer"/>
    <w:uiPriority w:val="99"/>
    <w:rsid w:val="00025830"/>
    <w:rPr>
      <w:rFonts w:ascii="Calibri" w:eastAsia="MS Mincho" w:hAnsi="Calibri"/>
      <w:caps/>
      <w:color w:val="FFFFFF" w:themeColor="background2"/>
      <w:sz w:val="19"/>
      <w:lang w:val="en-AU" w:eastAsia="ja-JP"/>
    </w:rPr>
  </w:style>
  <w:style w:type="table" w:customStyle="1" w:styleId="TableGrid10">
    <w:name w:val="Table Grid1"/>
    <w:basedOn w:val="TableNormal"/>
    <w:next w:val="TableGrid"/>
    <w:uiPriority w:val="59"/>
    <w:rsid w:val="00025830"/>
    <w:rPr>
      <w:rFonts w:asciiTheme="minorHAnsi" w:eastAsia="Calibr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025830"/>
    <w:rPr>
      <w:rFonts w:asciiTheme="minorHAnsi" w:eastAsia="Calibr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025830"/>
    <w:rPr>
      <w:rFonts w:asciiTheme="minorHAnsi" w:eastAsia="Calibr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025830"/>
    <w:rPr>
      <w:rFonts w:asciiTheme="minorHAnsi" w:eastAsia="Calibr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25830"/>
    <w:pPr>
      <w:autoSpaceDE w:val="0"/>
      <w:autoSpaceDN w:val="0"/>
      <w:adjustRightInd w:val="0"/>
    </w:pPr>
    <w:rPr>
      <w:rFonts w:ascii="Cambria" w:eastAsiaTheme="minorEastAsia" w:hAnsi="Cambria" w:cs="Cambria"/>
      <w:color w:val="000000"/>
      <w:sz w:val="24"/>
      <w:szCs w:val="24"/>
      <w:lang w:eastAsia="zh-CN"/>
    </w:rPr>
  </w:style>
  <w:style w:type="character" w:customStyle="1" w:styleId="Heading5Char">
    <w:name w:val="Heading 5 Char"/>
    <w:basedOn w:val="DefaultParagraphFont"/>
    <w:link w:val="Heading5"/>
    <w:uiPriority w:val="9"/>
    <w:rsid w:val="00025830"/>
    <w:rPr>
      <w:rFonts w:asciiTheme="majorHAnsi" w:eastAsia="MS Mincho" w:hAnsiTheme="majorHAnsi" w:cstheme="majorHAnsi"/>
      <w:b/>
      <w:bCs/>
      <w:i/>
      <w:iCs/>
      <w:color w:val="004E5C" w:themeColor="text2"/>
      <w:sz w:val="16"/>
      <w:szCs w:val="26"/>
      <w:lang w:val="en-AU" w:eastAsia="ja-JP"/>
    </w:rPr>
  </w:style>
  <w:style w:type="paragraph" w:customStyle="1" w:styleId="TextPI">
    <w:name w:val="Text PI"/>
    <w:basedOn w:val="Normal"/>
    <w:qFormat/>
    <w:rsid w:val="00025830"/>
    <w:rPr>
      <w:rFonts w:ascii="Flordian Regular" w:hAnsi="Flordian Regular"/>
      <w:lang w:eastAsia="en-US"/>
    </w:rPr>
  </w:style>
  <w:style w:type="character" w:customStyle="1" w:styleId="tx">
    <w:name w:val="tx"/>
    <w:basedOn w:val="DefaultParagraphFont"/>
    <w:rsid w:val="00025830"/>
  </w:style>
  <w:style w:type="table" w:customStyle="1" w:styleId="ListTable6Colorful1">
    <w:name w:val="List Table 6 Colorful1"/>
    <w:basedOn w:val="TableNormal"/>
    <w:uiPriority w:val="51"/>
    <w:rsid w:val="00025830"/>
    <w:rPr>
      <w:rFonts w:asciiTheme="minorHAnsi" w:eastAsiaTheme="minorEastAsia" w:hAnsiTheme="minorHAnsi" w:cstheme="minorBidi"/>
      <w:color w:val="000000" w:themeColor="text1"/>
      <w:sz w:val="22"/>
      <w:szCs w:val="22"/>
      <w:lang w:val="en-AU"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
    <w:name w:val="List Table 6 Colorful"/>
    <w:basedOn w:val="TableNormal"/>
    <w:uiPriority w:val="51"/>
    <w:rsid w:val="00025830"/>
    <w:rPr>
      <w:rFonts w:asciiTheme="minorHAnsi" w:eastAsiaTheme="minorEastAsia" w:hAnsiTheme="minorHAnsi" w:cstheme="minorBidi"/>
      <w:color w:val="000000" w:themeColor="text1"/>
      <w:sz w:val="22"/>
      <w:szCs w:val="22"/>
      <w:lang w:val="en-AU"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025830"/>
  </w:style>
  <w:style w:type="character" w:customStyle="1" w:styleId="TextChar">
    <w:name w:val="Text Char"/>
    <w:basedOn w:val="DefaultParagraphFont"/>
    <w:link w:val="Text"/>
    <w:locked/>
    <w:rsid w:val="00025830"/>
    <w:rPr>
      <w:lang w:eastAsia="de-DE"/>
    </w:rPr>
  </w:style>
  <w:style w:type="paragraph" w:customStyle="1" w:styleId="Text">
    <w:name w:val="Text"/>
    <w:basedOn w:val="Normal"/>
    <w:link w:val="TextChar"/>
    <w:rsid w:val="00025830"/>
    <w:pPr>
      <w:spacing w:before="0" w:after="0" w:line="240" w:lineRule="auto"/>
    </w:pPr>
    <w:rPr>
      <w:rFonts w:eastAsia="SimSun"/>
      <w:sz w:val="20"/>
      <w:szCs w:val="20"/>
      <w:lang w:val="en-GB" w:eastAsia="de-DE"/>
    </w:rPr>
  </w:style>
  <w:style w:type="paragraph" w:customStyle="1" w:styleId="TPDescriptions">
    <w:name w:val="TP: Descriptions"/>
    <w:basedOn w:val="Normal"/>
    <w:rsid w:val="00025830"/>
    <w:pPr>
      <w:spacing w:after="0" w:line="240" w:lineRule="auto"/>
      <w:ind w:left="142"/>
    </w:pPr>
    <w:rPr>
      <w:rFonts w:eastAsiaTheme="minorHAnsi"/>
      <w:b/>
      <w:bCs/>
      <w:lang w:val="en-AU" w:eastAsia="en-US"/>
    </w:rPr>
  </w:style>
  <w:style w:type="paragraph" w:customStyle="1" w:styleId="TPText10pt">
    <w:name w:val="TP Text 10pt"/>
    <w:basedOn w:val="Normal"/>
    <w:rsid w:val="00025830"/>
    <w:pPr>
      <w:spacing w:before="40" w:after="40" w:line="240" w:lineRule="auto"/>
      <w:ind w:left="113"/>
    </w:pPr>
    <w:rPr>
      <w:rFonts w:eastAsiaTheme="minorHAnsi"/>
      <w:sz w:val="20"/>
      <w:szCs w:val="20"/>
      <w:lang w:val="en-AU" w:eastAsia="en-US"/>
    </w:rPr>
  </w:style>
  <w:style w:type="paragraph" w:customStyle="1" w:styleId="A-H-U-Number">
    <w:name w:val="A-/H-/U-Number"/>
    <w:basedOn w:val="Normal"/>
    <w:rsid w:val="00025830"/>
    <w:pPr>
      <w:spacing w:before="0" w:after="0" w:line="240" w:lineRule="auto"/>
      <w:ind w:left="113" w:right="113"/>
      <w:jc w:val="center"/>
    </w:pPr>
    <w:rPr>
      <w:rFonts w:ascii="Calibri" w:eastAsiaTheme="minorHAnsi" w:hAnsi="Calibri"/>
      <w:b/>
      <w:bCs/>
      <w:lang w:val="en-AU" w:eastAsia="de-DE"/>
    </w:rPr>
  </w:style>
  <w:style w:type="paragraph" w:customStyle="1" w:styleId="BI-StudyNumber">
    <w:name w:val="BI-/Study Number"/>
    <w:basedOn w:val="Normal"/>
    <w:rsid w:val="00025830"/>
    <w:pPr>
      <w:spacing w:before="0" w:after="0" w:line="240" w:lineRule="auto"/>
      <w:ind w:left="113" w:right="113"/>
      <w:jc w:val="center"/>
    </w:pPr>
    <w:rPr>
      <w:rFonts w:ascii="Calibri" w:eastAsiaTheme="minorHAnsi" w:hAnsi="Calibri"/>
      <w:b/>
      <w:bCs/>
      <w:lang w:val="en-AU" w:eastAsia="de-DE"/>
    </w:rPr>
  </w:style>
  <w:style w:type="paragraph" w:customStyle="1" w:styleId="GMDDocumentName">
    <w:name w:val="GMD Document Name"/>
    <w:basedOn w:val="Normal"/>
    <w:next w:val="Text"/>
    <w:semiHidden/>
    <w:rsid w:val="00025830"/>
    <w:pPr>
      <w:spacing w:before="0" w:after="0" w:line="240" w:lineRule="auto"/>
    </w:pPr>
    <w:rPr>
      <w:rFonts w:ascii="BISans" w:eastAsia="Times New Roman" w:hAnsi="BISans"/>
      <w:b/>
      <w:lang w:eastAsia="en-US"/>
    </w:rPr>
  </w:style>
  <w:style w:type="character" w:customStyle="1" w:styleId="highlight2">
    <w:name w:val="highlight2"/>
    <w:basedOn w:val="DefaultParagraphFont"/>
    <w:rsid w:val="00025830"/>
  </w:style>
  <w:style w:type="character" w:customStyle="1" w:styleId="cit">
    <w:name w:val="cit"/>
    <w:basedOn w:val="DefaultParagraphFont"/>
    <w:rsid w:val="00025830"/>
  </w:style>
  <w:style w:type="character" w:customStyle="1" w:styleId="fm-citation-ids-label">
    <w:name w:val="fm-citation-ids-label"/>
    <w:basedOn w:val="DefaultParagraphFont"/>
    <w:rsid w:val="00025830"/>
  </w:style>
  <w:style w:type="paragraph" w:styleId="Revision">
    <w:name w:val="Revision"/>
    <w:hidden/>
    <w:uiPriority w:val="99"/>
    <w:semiHidden/>
    <w:rsid w:val="00025830"/>
    <w:rPr>
      <w:rFonts w:eastAsiaTheme="minorEastAsia"/>
      <w:sz w:val="24"/>
      <w:szCs w:val="24"/>
      <w:lang w:val="en-US" w:eastAsia="zh-CN"/>
    </w:rPr>
  </w:style>
  <w:style w:type="character" w:customStyle="1" w:styleId="mixed-citation">
    <w:name w:val="mixed-citation"/>
    <w:basedOn w:val="DefaultParagraphFont"/>
    <w:rsid w:val="005C1AD4"/>
  </w:style>
  <w:style w:type="character" w:customStyle="1" w:styleId="ref-title">
    <w:name w:val="ref-title"/>
    <w:basedOn w:val="DefaultParagraphFont"/>
    <w:rsid w:val="005C1AD4"/>
  </w:style>
  <w:style w:type="character" w:customStyle="1" w:styleId="ref-journal">
    <w:name w:val="ref-journal"/>
    <w:basedOn w:val="DefaultParagraphFont"/>
    <w:rsid w:val="005C1AD4"/>
  </w:style>
  <w:style w:type="character" w:customStyle="1" w:styleId="ref-vol">
    <w:name w:val="ref-vol"/>
    <w:basedOn w:val="DefaultParagraphFont"/>
    <w:rsid w:val="005C1AD4"/>
  </w:style>
  <w:style w:type="character" w:customStyle="1" w:styleId="element-citation">
    <w:name w:val="element-citation"/>
    <w:basedOn w:val="DefaultParagraphFont"/>
    <w:rsid w:val="005C1A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98"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1" w:unhideWhenUsed="0"/>
    <w:lsdException w:name="heading 7" w:uiPriority="1"/>
    <w:lsdException w:name="heading 8" w:uiPriority="1"/>
    <w:lsdException w:name="heading 9" w:uiPriority="1"/>
    <w:lsdException w:name="index 1" w:uiPriority="97"/>
    <w:lsdException w:name="index 2" w:uiPriority="97"/>
    <w:lsdException w:name="index 3" w:uiPriority="97"/>
    <w:lsdException w:name="index 4" w:uiPriority="97"/>
    <w:lsdException w:name="index 5" w:uiPriority="97"/>
    <w:lsdException w:name="index 6" w:uiPriority="97"/>
    <w:lsdException w:name="index 7" w:uiPriority="97"/>
    <w:lsdException w:name="index 8" w:uiPriority="97"/>
    <w:lsdException w:name="index 9" w:uiPriority="97"/>
    <w:lsdException w:name="toc 1" w:uiPriority="39"/>
    <w:lsdException w:name="toc 2" w:uiPriority="39"/>
    <w:lsdException w:name="toc 3" w:uiPriority="39"/>
    <w:lsdException w:name="toc 4" w:uiPriority="39"/>
    <w:lsdException w:name="toc 5" w:uiPriority="97"/>
    <w:lsdException w:name="toc 6" w:uiPriority="97"/>
    <w:lsdException w:name="toc 7" w:uiPriority="97"/>
    <w:lsdException w:name="toc 8" w:uiPriority="97"/>
    <w:lsdException w:name="toc 9" w:uiPriority="97"/>
    <w:lsdException w:name="Normal Indent" w:uiPriority="97"/>
    <w:lsdException w:name="footnote text" w:uiPriority="99"/>
    <w:lsdException w:name="annotation text" w:uiPriority="99"/>
    <w:lsdException w:name="header" w:uiPriority="99"/>
    <w:lsdException w:name="footer" w:uiPriority="99"/>
    <w:lsdException w:name="index heading" w:uiPriority="97"/>
    <w:lsdException w:name="caption" w:uiPriority="11" w:qFormat="1"/>
    <w:lsdException w:name="table of figures" w:uiPriority="97"/>
    <w:lsdException w:name="envelope address" w:uiPriority="97"/>
    <w:lsdException w:name="envelope return" w:uiPriority="97"/>
    <w:lsdException w:name="footnote reference" w:uiPriority="99"/>
    <w:lsdException w:name="annotation reference" w:uiPriority="99"/>
    <w:lsdException w:name="line number" w:uiPriority="97"/>
    <w:lsdException w:name="page number" w:uiPriority="11"/>
    <w:lsdException w:name="endnote reference" w:uiPriority="97"/>
    <w:lsdException w:name="endnote text" w:uiPriority="97"/>
    <w:lsdException w:name="table of authorities" w:uiPriority="97"/>
    <w:lsdException w:name="macro" w:uiPriority="97"/>
    <w:lsdException w:name="toa heading" w:uiPriority="97"/>
    <w:lsdException w:name="List" w:uiPriority="4"/>
    <w:lsdException w:name="List Bullet" w:uiPriority="2" w:qFormat="1"/>
    <w:lsdException w:name="List Number" w:semiHidden="0" w:uiPriority="3" w:unhideWhenUsed="0" w:qFormat="1"/>
    <w:lsdException w:name="List 2" w:uiPriority="4"/>
    <w:lsdException w:name="List 3" w:uiPriority="4"/>
    <w:lsdException w:name="List 4" w:semiHidden="0" w:uiPriority="4" w:unhideWhenUsed="0"/>
    <w:lsdException w:name="List 5" w:uiPriority="4" w:unhideWhenUsed="0"/>
    <w:lsdException w:name="List Bullet 2" w:uiPriority="2" w:qFormat="1"/>
    <w:lsdException w:name="List Bullet 3" w:uiPriority="2" w:qFormat="1"/>
    <w:lsdException w:name="List Bullet 4" w:uiPriority="2"/>
    <w:lsdException w:name="List Bullet 5" w:uiPriority="2"/>
    <w:lsdException w:name="List Number 2" w:uiPriority="3" w:qFormat="1"/>
    <w:lsdException w:name="List Number 3" w:uiPriority="3"/>
    <w:lsdException w:name="List Number 4" w:uiPriority="3"/>
    <w:lsdException w:name="List Number 5" w:uiPriority="3"/>
    <w:lsdException w:name="Title" w:semiHidden="0" w:uiPriority="97" w:unhideWhenUsed="0"/>
    <w:lsdException w:name="Closing" w:uiPriority="97"/>
    <w:lsdException w:name="Signature" w:uiPriority="97"/>
    <w:lsdException w:name="Default Paragraph Font" w:uiPriority="1"/>
    <w:lsdException w:name="Body Text" w:uiPriority="97"/>
    <w:lsdException w:name="Body Text Indent" w:uiPriority="97"/>
    <w:lsdException w:name="List Continue" w:uiPriority="18"/>
    <w:lsdException w:name="List Continue 2" w:uiPriority="18"/>
    <w:lsdException w:name="List Continue 3" w:uiPriority="18"/>
    <w:lsdException w:name="List Continue 4" w:uiPriority="18"/>
    <w:lsdException w:name="List Continue 5" w:uiPriority="18"/>
    <w:lsdException w:name="Message Header" w:uiPriority="97"/>
    <w:lsdException w:name="Subtitle" w:semiHidden="0" w:uiPriority="11" w:unhideWhenUsed="0" w:qFormat="1"/>
    <w:lsdException w:name="Salutation" w:semiHidden="0" w:uiPriority="97" w:unhideWhenUsed="0"/>
    <w:lsdException w:name="Date" w:semiHidden="0" w:uiPriority="97" w:unhideWhenUsed="0"/>
    <w:lsdException w:name="Body Text First Indent" w:semiHidden="0" w:uiPriority="97" w:unhideWhenUsed="0"/>
    <w:lsdException w:name="Body Text First Indent 2" w:uiPriority="97"/>
    <w:lsdException w:name="Note Heading" w:uiPriority="97"/>
    <w:lsdException w:name="Body Text 2" w:uiPriority="97"/>
    <w:lsdException w:name="Body Text 3" w:uiPriority="97"/>
    <w:lsdException w:name="Body Text Indent 2" w:uiPriority="97"/>
    <w:lsdException w:name="Body Text Indent 3" w:uiPriority="97"/>
    <w:lsdException w:name="Block Text" w:uiPriority="97"/>
    <w:lsdException w:name="Hyperlink" w:uiPriority="99"/>
    <w:lsdException w:name="FollowedHyperlink" w:uiPriority="99"/>
    <w:lsdException w:name="Strong" w:semiHidden="0" w:uiPriority="22" w:unhideWhenUsed="0" w:qFormat="1"/>
    <w:lsdException w:name="Emphasis" w:semiHidden="0" w:uiPriority="20" w:unhideWhenUsed="0" w:qFormat="1"/>
    <w:lsdException w:name="Document Map" w:uiPriority="97"/>
    <w:lsdException w:name="Plain Text" w:uiPriority="97"/>
    <w:lsdException w:name="E-mail Signature" w:uiPriority="97"/>
    <w:lsdException w:name="HTML Top of Form" w:uiPriority="0"/>
    <w:lsdException w:name="HTML Bottom of Form" w:uiPriority="0"/>
    <w:lsdException w:name="Normal (Web)" w:uiPriority="99"/>
    <w:lsdException w:name="HTML Acronym" w:uiPriority="97"/>
    <w:lsdException w:name="HTML Address" w:uiPriority="97"/>
    <w:lsdException w:name="HTML Cite" w:uiPriority="97"/>
    <w:lsdException w:name="HTML Code" w:uiPriority="97"/>
    <w:lsdException w:name="HTML Definition" w:uiPriority="97"/>
    <w:lsdException w:name="HTML Keyboard" w:uiPriority="97"/>
    <w:lsdException w:name="HTML Preformatted" w:uiPriority="97"/>
    <w:lsdException w:name="HTML Sample" w:uiPriority="97"/>
    <w:lsdException w:name="HTML Typewriter" w:uiPriority="97"/>
    <w:lsdException w:name="HTML Variable" w:uiPriority="97"/>
    <w:lsdException w:name="annotation subject" w:uiPriority="99"/>
    <w:lsdException w:name="No List" w:uiPriority="99"/>
    <w:lsdException w:name="Outline List 1" w:uiPriority="97"/>
    <w:lsdException w:name="Outline List 2" w:uiPriority="97"/>
    <w:lsdException w:name="Outline List 3" w:uiPriority="97"/>
    <w:lsdException w:name="Balloon Text" w:uiPriority="99"/>
    <w:lsdException w:name="Table Grid" w:uiPriority="59"/>
    <w:lsdException w:name="Placeholder Text" w:uiPriority="99" w:unhideWhenUsed="0"/>
    <w:lsdException w:name="No Spacing" w:semiHidden="0" w:uiPriority="97"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iPriority="99" w:unhideWhenUsed="0"/>
    <w:lsdException w:name="List Paragraph" w:semiHidden="0" w:uiPriority="34" w:unhideWhenUsed="0" w:qFormat="1"/>
    <w:lsdException w:name="Quote" w:semiHidden="0" w:uiPriority="97" w:unhideWhenUsed="0" w:qFormat="1"/>
    <w:lsdException w:name="Intense Quote" w:semiHidden="0" w:uiPriority="97"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97" w:unhideWhenUsed="0"/>
    <w:lsdException w:name="Intense Emphasis" w:semiHidden="0" w:uiPriority="97" w:unhideWhenUsed="0"/>
    <w:lsdException w:name="Subtle Reference" w:semiHidden="0" w:uiPriority="97" w:unhideWhenUsed="0"/>
    <w:lsdException w:name="Intense Reference" w:semiHidden="0" w:uiPriority="97" w:unhideWhenUsed="0"/>
    <w:lsdException w:name="Book Title" w:semiHidden="0" w:uiPriority="97" w:unhideWhenUsed="0"/>
    <w:lsdException w:name="Bibliography" w:uiPriority="97"/>
    <w:lsdException w:name="TOC Heading" w:uiPriority="39" w:qFormat="1"/>
  </w:latentStyles>
  <w:style w:type="paragraph" w:default="1" w:styleId="Normal">
    <w:name w:val="Normal"/>
    <w:qFormat/>
    <w:rsid w:val="00025830"/>
    <w:pPr>
      <w:spacing w:before="120" w:after="120" w:line="240" w:lineRule="atLeast"/>
      <w:jc w:val="both"/>
    </w:pPr>
    <w:rPr>
      <w:rFonts w:eastAsiaTheme="minorEastAsia"/>
      <w:sz w:val="24"/>
      <w:szCs w:val="24"/>
      <w:lang w:val="en-US" w:eastAsia="zh-CN"/>
    </w:rPr>
  </w:style>
  <w:style w:type="paragraph" w:styleId="Heading1">
    <w:name w:val="heading 1"/>
    <w:basedOn w:val="Normal"/>
    <w:next w:val="Normal"/>
    <w:link w:val="Heading1Char"/>
    <w:uiPriority w:val="9"/>
    <w:qFormat/>
    <w:rsid w:val="00D51302"/>
    <w:pPr>
      <w:keepNext/>
      <w:tabs>
        <w:tab w:val="left" w:pos="1077"/>
      </w:tabs>
      <w:spacing w:before="113" w:after="260" w:line="520" w:lineRule="atLeast"/>
      <w:outlineLvl w:val="0"/>
    </w:pPr>
    <w:rPr>
      <w:rFonts w:cstheme="majorHAnsi"/>
      <w:bCs/>
      <w:kern w:val="32"/>
      <w:sz w:val="40"/>
      <w:szCs w:val="32"/>
    </w:rPr>
  </w:style>
  <w:style w:type="paragraph" w:styleId="Heading2">
    <w:name w:val="heading 2"/>
    <w:basedOn w:val="Normal"/>
    <w:next w:val="Normal"/>
    <w:link w:val="Heading2Char"/>
    <w:uiPriority w:val="9"/>
    <w:qFormat/>
    <w:rsid w:val="009629FA"/>
    <w:pPr>
      <w:keepNext/>
      <w:spacing w:before="260" w:line="380" w:lineRule="atLeast"/>
      <w:outlineLvl w:val="1"/>
    </w:pPr>
    <w:rPr>
      <w:rFonts w:ascii="Arial" w:hAnsi="Arial" w:cstheme="majorHAnsi"/>
      <w:bCs/>
      <w:iCs/>
      <w:sz w:val="28"/>
      <w:szCs w:val="28"/>
    </w:rPr>
  </w:style>
  <w:style w:type="paragraph" w:styleId="Heading3">
    <w:name w:val="heading 3"/>
    <w:basedOn w:val="Normal"/>
    <w:next w:val="Normal"/>
    <w:link w:val="Heading3Char"/>
    <w:uiPriority w:val="9"/>
    <w:qFormat/>
    <w:rsid w:val="009B16B2"/>
    <w:pPr>
      <w:keepNext/>
      <w:spacing w:before="260" w:line="300" w:lineRule="atLeast"/>
      <w:outlineLvl w:val="2"/>
    </w:pPr>
    <w:rPr>
      <w:rFonts w:ascii="Arial" w:hAnsi="Arial" w:cstheme="majorHAnsi"/>
      <w:bCs/>
      <w:szCs w:val="26"/>
    </w:rPr>
  </w:style>
  <w:style w:type="paragraph" w:styleId="Heading4">
    <w:name w:val="heading 4"/>
    <w:basedOn w:val="Normal"/>
    <w:next w:val="Normal"/>
    <w:link w:val="Heading4Char"/>
    <w:uiPriority w:val="9"/>
    <w:qFormat/>
    <w:rsid w:val="009629FA"/>
    <w:pPr>
      <w:keepNext/>
      <w:spacing w:before="260"/>
      <w:outlineLvl w:val="3"/>
    </w:pPr>
    <w:rPr>
      <w:rFonts w:ascii="Arial" w:hAnsi="Arial" w:cstheme="majorHAnsi"/>
      <w:bCs/>
      <w:szCs w:val="28"/>
    </w:rPr>
  </w:style>
  <w:style w:type="paragraph" w:styleId="Heading5">
    <w:name w:val="heading 5"/>
    <w:basedOn w:val="Normal"/>
    <w:next w:val="Normal"/>
    <w:link w:val="Heading5Char"/>
    <w:uiPriority w:val="9"/>
    <w:qFormat/>
    <w:rsid w:val="009629FA"/>
    <w:pPr>
      <w:spacing w:before="240" w:after="60"/>
      <w:outlineLvl w:val="4"/>
    </w:pPr>
    <w:rPr>
      <w:rFonts w:asciiTheme="majorHAnsi" w:hAnsiTheme="majorHAnsi" w:cstheme="majorHAnsi"/>
      <w:b/>
      <w:bCs/>
      <w:i/>
      <w:iCs/>
      <w:sz w:val="16"/>
      <w:szCs w:val="26"/>
    </w:rPr>
  </w:style>
  <w:style w:type="paragraph" w:styleId="Heading6">
    <w:name w:val="heading 6"/>
    <w:basedOn w:val="Normal"/>
    <w:next w:val="Normal"/>
    <w:uiPriority w:val="1"/>
    <w:semiHidden/>
    <w:rsid w:val="009629FA"/>
    <w:pPr>
      <w:spacing w:before="240" w:after="60"/>
      <w:outlineLvl w:val="5"/>
    </w:pPr>
    <w:rPr>
      <w:rFonts w:asciiTheme="majorHAnsi" w:hAnsiTheme="majorHAnsi" w:cstheme="majorHAnsi"/>
      <w:b/>
      <w:bCs/>
      <w:sz w:val="16"/>
      <w:szCs w:val="22"/>
    </w:rPr>
  </w:style>
  <w:style w:type="paragraph" w:styleId="Heading7">
    <w:name w:val="heading 7"/>
    <w:basedOn w:val="Normal"/>
    <w:next w:val="Normal"/>
    <w:uiPriority w:val="1"/>
    <w:semiHidden/>
    <w:rsid w:val="009629FA"/>
    <w:pPr>
      <w:spacing w:before="240" w:after="60"/>
      <w:outlineLvl w:val="6"/>
    </w:pPr>
    <w:rPr>
      <w:rFonts w:asciiTheme="majorHAnsi" w:hAnsiTheme="majorHAnsi" w:cstheme="majorHAnsi"/>
    </w:rPr>
  </w:style>
  <w:style w:type="paragraph" w:styleId="Heading8">
    <w:name w:val="heading 8"/>
    <w:basedOn w:val="Normal"/>
    <w:next w:val="Normal"/>
    <w:uiPriority w:val="1"/>
    <w:semiHidden/>
    <w:rsid w:val="009629FA"/>
    <w:pPr>
      <w:spacing w:before="240" w:after="60"/>
      <w:outlineLvl w:val="7"/>
    </w:pPr>
    <w:rPr>
      <w:rFonts w:asciiTheme="majorHAnsi" w:hAnsiTheme="majorHAnsi" w:cstheme="majorHAnsi"/>
      <w:i/>
      <w:iCs/>
    </w:rPr>
  </w:style>
  <w:style w:type="paragraph" w:styleId="Heading9">
    <w:name w:val="heading 9"/>
    <w:basedOn w:val="Normal"/>
    <w:next w:val="Normal"/>
    <w:uiPriority w:val="1"/>
    <w:semiHidden/>
    <w:rsid w:val="009629FA"/>
    <w:pPr>
      <w:spacing w:before="240" w:after="60"/>
      <w:outlineLvl w:val="8"/>
    </w:pPr>
    <w:rPr>
      <w:rFonts w:asciiTheme="majorHAnsi" w:hAnsiTheme="majorHAnsi" w:cstheme="majorHAns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7"/>
    <w:qFormat/>
    <w:rsid w:val="009629FA"/>
    <w:pPr>
      <w:spacing w:before="170"/>
    </w:pPr>
    <w:rPr>
      <w:bCs/>
      <w:kern w:val="60"/>
      <w:sz w:val="14"/>
    </w:rPr>
  </w:style>
  <w:style w:type="paragraph" w:styleId="TOC1">
    <w:name w:val="toc 1"/>
    <w:basedOn w:val="Normal"/>
    <w:next w:val="Normal"/>
    <w:uiPriority w:val="39"/>
    <w:rsid w:val="009629FA"/>
    <w:pPr>
      <w:tabs>
        <w:tab w:val="right" w:leader="underscore" w:pos="9639"/>
      </w:tabs>
      <w:spacing w:before="200" w:line="380" w:lineRule="atLeast"/>
    </w:pPr>
  </w:style>
  <w:style w:type="table" w:customStyle="1" w:styleId="TableSFI">
    <w:name w:val="Table_SFI"/>
    <w:basedOn w:val="TableNormal"/>
    <w:uiPriority w:val="99"/>
    <w:rsid w:val="00844235"/>
    <w:rPr>
      <w:rFonts w:asciiTheme="minorHAnsi" w:hAnsiTheme="minorHAnsi"/>
    </w:rPr>
    <w:tblPr>
      <w:tblStyleRowBandSize w:val="1"/>
      <w:tblBorders>
        <w:top w:val="single" w:sz="4" w:space="0" w:color="004E5C" w:themeColor="text2"/>
        <w:bottom w:val="single" w:sz="4" w:space="0" w:color="004E5C" w:themeColor="text2"/>
        <w:insideH w:val="single" w:sz="4" w:space="0" w:color="004E5C" w:themeColor="text2"/>
        <w:insideV w:val="single" w:sz="4" w:space="0" w:color="004E5C" w:themeColor="text2"/>
      </w:tblBorders>
      <w:tblCellMar>
        <w:top w:w="11" w:type="dxa"/>
        <w:bottom w:w="11" w:type="dxa"/>
      </w:tblCellMar>
    </w:tblPr>
    <w:tblStylePr w:type="firstRow">
      <w:rPr>
        <w:rFonts w:asciiTheme="majorHAnsi" w:hAnsiTheme="majorHAnsi"/>
        <w:b w:val="0"/>
        <w:i w:val="0"/>
        <w:color w:val="auto"/>
        <w:sz w:val="24"/>
      </w:rPr>
      <w:tblPr/>
      <w:tcPr>
        <w:tcBorders>
          <w:top w:val="nil"/>
          <w:left w:val="nil"/>
          <w:bottom w:val="nil"/>
          <w:right w:val="nil"/>
          <w:insideH w:val="nil"/>
          <w:insideV w:val="nil"/>
          <w:tl2br w:val="nil"/>
          <w:tr2bl w:val="nil"/>
        </w:tcBorders>
        <w:shd w:val="clear" w:color="auto" w:fill="004E5C" w:themeFill="text2"/>
      </w:tcPr>
    </w:tblStylePr>
    <w:tblStylePr w:type="firstCol">
      <w:rPr>
        <w:rFonts w:asciiTheme="minorHAnsi" w:hAnsiTheme="minorHAnsi"/>
        <w:b w:val="0"/>
        <w:i w:val="0"/>
      </w:rPr>
    </w:tblStylePr>
    <w:tblStylePr w:type="band2Horz">
      <w:tblPr/>
      <w:tcPr>
        <w:shd w:val="clear" w:color="auto" w:fill="E6F1EE"/>
      </w:tcPr>
    </w:tblStylePr>
  </w:style>
  <w:style w:type="paragraph" w:styleId="Header">
    <w:name w:val="header"/>
    <w:basedOn w:val="Normal"/>
    <w:link w:val="HeaderChar"/>
    <w:uiPriority w:val="99"/>
    <w:rsid w:val="009629FA"/>
    <w:pPr>
      <w:tabs>
        <w:tab w:val="center" w:pos="4153"/>
        <w:tab w:val="right" w:pos="8306"/>
      </w:tabs>
      <w:spacing w:after="0" w:line="240" w:lineRule="auto"/>
    </w:pPr>
    <w:rPr>
      <w:caps/>
      <w:kern w:val="60"/>
      <w:sz w:val="13"/>
    </w:rPr>
  </w:style>
  <w:style w:type="paragraph" w:styleId="Footer">
    <w:name w:val="footer"/>
    <w:basedOn w:val="Normal"/>
    <w:link w:val="FooterChar"/>
    <w:uiPriority w:val="99"/>
    <w:rsid w:val="009629FA"/>
    <w:pPr>
      <w:spacing w:after="0" w:line="200" w:lineRule="atLeast"/>
    </w:pPr>
    <w:rPr>
      <w:rFonts w:ascii="Calibri" w:hAnsi="Calibri"/>
      <w:caps/>
      <w:color w:val="FFFFFF" w:themeColor="background2"/>
      <w:sz w:val="19"/>
    </w:rPr>
  </w:style>
  <w:style w:type="character" w:styleId="PageNumber">
    <w:name w:val="page number"/>
    <w:basedOn w:val="DefaultParagraphFont"/>
    <w:uiPriority w:val="9"/>
    <w:rsid w:val="00D51302"/>
    <w:rPr>
      <w:rFonts w:ascii="Arial" w:hAnsi="Arial" w:cstheme="minorHAnsi"/>
      <w:color w:val="004E5C" w:themeColor="text2"/>
      <w:sz w:val="20"/>
    </w:rPr>
  </w:style>
  <w:style w:type="table" w:styleId="TableGrid">
    <w:name w:val="Table Grid"/>
    <w:basedOn w:val="TableNormal"/>
    <w:uiPriority w:val="59"/>
    <w:rsid w:val="009629FA"/>
    <w:pPr>
      <w:adjustRightInd w:val="0"/>
      <w:snapToGrid w:val="0"/>
    </w:pPr>
    <w:rPr>
      <w:sz w:val="17"/>
    </w:rPr>
    <w:tblPr>
      <w:tblCellMar>
        <w:left w:w="0" w:type="dxa"/>
        <w:right w:w="0" w:type="dxa"/>
      </w:tblCellMar>
    </w:tblPr>
    <w:tcPr>
      <w:tcMar>
        <w:top w:w="57" w:type="dxa"/>
        <w:left w:w="57" w:type="dxa"/>
        <w:bottom w:w="57" w:type="dxa"/>
        <w:right w:w="57" w:type="dxa"/>
      </w:tcMar>
    </w:tcPr>
    <w:tblStylePr w:type="firstRow">
      <w:rPr>
        <w:rFonts w:asciiTheme="majorHAnsi" w:hAnsiTheme="majorHAnsi" w:cstheme="majorHAnsi"/>
      </w:rPr>
    </w:tblStylePr>
  </w:style>
  <w:style w:type="paragraph" w:styleId="ListBullet">
    <w:name w:val="List Bullet"/>
    <w:basedOn w:val="Normal"/>
    <w:uiPriority w:val="3"/>
    <w:qFormat/>
    <w:rsid w:val="00EC2A8C"/>
    <w:pPr>
      <w:numPr>
        <w:numId w:val="16"/>
      </w:numPr>
    </w:pPr>
  </w:style>
  <w:style w:type="paragraph" w:customStyle="1" w:styleId="CoverHeading">
    <w:name w:val="Cover Heading"/>
    <w:basedOn w:val="Normal"/>
    <w:next w:val="Normal"/>
    <w:uiPriority w:val="11"/>
    <w:qFormat/>
    <w:rsid w:val="00F444AA"/>
    <w:pPr>
      <w:spacing w:before="113" w:after="260" w:line="520" w:lineRule="atLeast"/>
      <w:contextualSpacing/>
    </w:pPr>
    <w:rPr>
      <w:rFonts w:eastAsia="Times New Roman" w:cstheme="majorHAnsi"/>
      <w:bCs/>
      <w:kern w:val="32"/>
      <w:sz w:val="40"/>
      <w:szCs w:val="38"/>
      <w:lang w:eastAsia="en-US"/>
    </w:rPr>
  </w:style>
  <w:style w:type="paragraph" w:customStyle="1" w:styleId="CoverSubheading">
    <w:name w:val="Cover Subheading"/>
    <w:basedOn w:val="Normal"/>
    <w:uiPriority w:val="11"/>
    <w:qFormat/>
    <w:rsid w:val="00C51DED"/>
    <w:pPr>
      <w:spacing w:after="170" w:line="380" w:lineRule="atLeast"/>
    </w:pPr>
    <w:rPr>
      <w:rFonts w:cstheme="minorHAnsi"/>
    </w:rPr>
  </w:style>
  <w:style w:type="paragraph" w:customStyle="1" w:styleId="TableBullet">
    <w:name w:val="Table Bullet"/>
    <w:basedOn w:val="TableText"/>
    <w:uiPriority w:val="6"/>
    <w:qFormat/>
    <w:rsid w:val="009629FA"/>
    <w:pPr>
      <w:numPr>
        <w:numId w:val="13"/>
      </w:numPr>
      <w:adjustRightInd w:val="0"/>
      <w:snapToGrid w:val="0"/>
    </w:pPr>
  </w:style>
  <w:style w:type="paragraph" w:customStyle="1" w:styleId="TableText">
    <w:name w:val="Table Text"/>
    <w:basedOn w:val="Normal"/>
    <w:uiPriority w:val="6"/>
    <w:qFormat/>
    <w:rsid w:val="009629FA"/>
    <w:pPr>
      <w:spacing w:before="60" w:after="60" w:line="240" w:lineRule="auto"/>
    </w:pPr>
    <w:rPr>
      <w:rFonts w:eastAsia="Times New Roman"/>
      <w:spacing w:val="-3"/>
      <w:szCs w:val="19"/>
      <w:lang w:eastAsia="en-AU"/>
    </w:rPr>
  </w:style>
  <w:style w:type="paragraph" w:styleId="FootnoteText">
    <w:name w:val="footnote text"/>
    <w:basedOn w:val="Normal"/>
    <w:link w:val="FootnoteTextChar"/>
    <w:uiPriority w:val="99"/>
    <w:semiHidden/>
    <w:rsid w:val="009629FA"/>
    <w:pPr>
      <w:tabs>
        <w:tab w:val="left" w:pos="320"/>
      </w:tabs>
      <w:spacing w:after="60" w:line="220" w:lineRule="atLeast"/>
      <w:ind w:left="318" w:hanging="318"/>
    </w:pPr>
    <w:rPr>
      <w:rFonts w:eastAsia="Times New Roman"/>
      <w:spacing w:val="-3"/>
      <w:sz w:val="16"/>
      <w:szCs w:val="16"/>
      <w:lang w:eastAsia="en-AU"/>
    </w:rPr>
  </w:style>
  <w:style w:type="character" w:customStyle="1" w:styleId="FootnoteTextChar">
    <w:name w:val="Footnote Text Char"/>
    <w:basedOn w:val="DefaultParagraphFont"/>
    <w:link w:val="FootnoteText"/>
    <w:uiPriority w:val="99"/>
    <w:semiHidden/>
    <w:rsid w:val="009629FA"/>
    <w:rPr>
      <w:rFonts w:asciiTheme="minorHAnsi" w:eastAsia="Times New Roman" w:hAnsiTheme="minorHAnsi"/>
      <w:color w:val="000000" w:themeColor="text1"/>
      <w:spacing w:val="-3"/>
      <w:sz w:val="16"/>
      <w:szCs w:val="16"/>
      <w:lang w:val="en-AU" w:eastAsia="en-AU"/>
    </w:rPr>
  </w:style>
  <w:style w:type="paragraph" w:customStyle="1" w:styleId="Source">
    <w:name w:val="Source"/>
    <w:uiPriority w:val="97"/>
    <w:semiHidden/>
    <w:qFormat/>
    <w:rsid w:val="009629FA"/>
    <w:pPr>
      <w:numPr>
        <w:numId w:val="12"/>
      </w:numPr>
    </w:pPr>
    <w:rPr>
      <w:rFonts w:asciiTheme="minorHAnsi" w:eastAsia="Times New Roman" w:hAnsiTheme="minorHAnsi" w:cstheme="minorHAnsi"/>
      <w:spacing w:val="-3"/>
      <w:sz w:val="16"/>
      <w:szCs w:val="14"/>
      <w:lang w:val="en-AU" w:eastAsia="en-AU"/>
    </w:rPr>
  </w:style>
  <w:style w:type="numbering" w:styleId="111111">
    <w:name w:val="Outline List 2"/>
    <w:basedOn w:val="NoList"/>
    <w:uiPriority w:val="97"/>
    <w:semiHidden/>
    <w:rsid w:val="009629FA"/>
    <w:pPr>
      <w:numPr>
        <w:numId w:val="1"/>
      </w:numPr>
    </w:pPr>
  </w:style>
  <w:style w:type="numbering" w:styleId="1ai">
    <w:name w:val="Outline List 1"/>
    <w:basedOn w:val="NoList"/>
    <w:uiPriority w:val="97"/>
    <w:semiHidden/>
    <w:rsid w:val="009629FA"/>
    <w:pPr>
      <w:numPr>
        <w:numId w:val="2"/>
      </w:numPr>
    </w:pPr>
  </w:style>
  <w:style w:type="numbering" w:styleId="ArticleSection">
    <w:name w:val="Outline List 3"/>
    <w:basedOn w:val="NoList"/>
    <w:uiPriority w:val="97"/>
    <w:semiHidden/>
    <w:rsid w:val="009629FA"/>
    <w:pPr>
      <w:numPr>
        <w:numId w:val="3"/>
      </w:numPr>
    </w:pPr>
  </w:style>
  <w:style w:type="paragraph" w:styleId="BalloonText">
    <w:name w:val="Balloon Text"/>
    <w:basedOn w:val="Normal"/>
    <w:link w:val="BalloonTextChar"/>
    <w:uiPriority w:val="99"/>
    <w:semiHidden/>
    <w:rsid w:val="009629FA"/>
    <w:pPr>
      <w:spacing w:after="0" w:line="240" w:lineRule="auto"/>
    </w:pPr>
    <w:rPr>
      <w:sz w:val="16"/>
      <w:szCs w:val="16"/>
    </w:rPr>
  </w:style>
  <w:style w:type="character" w:customStyle="1" w:styleId="BalloonTextChar">
    <w:name w:val="Balloon Text Char"/>
    <w:basedOn w:val="DefaultParagraphFont"/>
    <w:link w:val="BalloonText"/>
    <w:uiPriority w:val="99"/>
    <w:semiHidden/>
    <w:rsid w:val="009629FA"/>
    <w:rPr>
      <w:rFonts w:asciiTheme="minorHAnsi" w:eastAsia="MS Mincho" w:hAnsiTheme="minorHAnsi"/>
      <w:color w:val="000000" w:themeColor="text1"/>
      <w:sz w:val="16"/>
      <w:szCs w:val="16"/>
      <w:lang w:val="en-AU" w:eastAsia="ja-JP"/>
    </w:rPr>
  </w:style>
  <w:style w:type="paragraph" w:styleId="Bibliography">
    <w:name w:val="Bibliography"/>
    <w:basedOn w:val="Normal"/>
    <w:next w:val="Normal"/>
    <w:uiPriority w:val="97"/>
    <w:semiHidden/>
    <w:unhideWhenUsed/>
    <w:rsid w:val="009629FA"/>
  </w:style>
  <w:style w:type="paragraph" w:styleId="BlockText">
    <w:name w:val="Block Text"/>
    <w:basedOn w:val="Normal"/>
    <w:uiPriority w:val="97"/>
    <w:semiHidden/>
    <w:rsid w:val="009629FA"/>
    <w:pPr>
      <w:pBdr>
        <w:top w:val="single" w:sz="2" w:space="10" w:color="6CBBA8" w:themeColor="accent1" w:shadow="1" w:frame="1"/>
        <w:left w:val="single" w:sz="2" w:space="10" w:color="6CBBA8" w:themeColor="accent1" w:shadow="1" w:frame="1"/>
        <w:bottom w:val="single" w:sz="2" w:space="10" w:color="6CBBA8" w:themeColor="accent1" w:shadow="1" w:frame="1"/>
        <w:right w:val="single" w:sz="2" w:space="10" w:color="6CBBA8" w:themeColor="accent1" w:shadow="1" w:frame="1"/>
      </w:pBdr>
      <w:ind w:left="1152" w:right="1152"/>
    </w:pPr>
    <w:rPr>
      <w:i/>
      <w:iCs/>
      <w:color w:val="6CBBA8" w:themeColor="accent1"/>
    </w:rPr>
  </w:style>
  <w:style w:type="paragraph" w:styleId="BodyText">
    <w:name w:val="Body Text"/>
    <w:basedOn w:val="Normal"/>
    <w:link w:val="BodyTextChar"/>
    <w:uiPriority w:val="97"/>
    <w:semiHidden/>
    <w:rsid w:val="009629FA"/>
  </w:style>
  <w:style w:type="character" w:customStyle="1" w:styleId="BodyTextChar">
    <w:name w:val="Body Text Char"/>
    <w:basedOn w:val="DefaultParagraphFont"/>
    <w:link w:val="BodyText"/>
    <w:uiPriority w:val="97"/>
    <w:semiHidden/>
    <w:rsid w:val="009629FA"/>
    <w:rPr>
      <w:rFonts w:asciiTheme="minorHAnsi" w:eastAsia="MS Mincho" w:hAnsiTheme="minorHAnsi"/>
      <w:color w:val="000000" w:themeColor="text1"/>
      <w:sz w:val="22"/>
      <w:lang w:val="en-AU" w:eastAsia="ja-JP"/>
    </w:rPr>
  </w:style>
  <w:style w:type="paragraph" w:styleId="BodyText2">
    <w:name w:val="Body Text 2"/>
    <w:basedOn w:val="Normal"/>
    <w:link w:val="BodyText2Char"/>
    <w:uiPriority w:val="97"/>
    <w:semiHidden/>
    <w:rsid w:val="009629FA"/>
    <w:pPr>
      <w:spacing w:line="480" w:lineRule="auto"/>
    </w:pPr>
  </w:style>
  <w:style w:type="character" w:customStyle="1" w:styleId="BodyText2Char">
    <w:name w:val="Body Text 2 Char"/>
    <w:basedOn w:val="DefaultParagraphFont"/>
    <w:link w:val="BodyText2"/>
    <w:uiPriority w:val="97"/>
    <w:semiHidden/>
    <w:rsid w:val="009629FA"/>
    <w:rPr>
      <w:rFonts w:asciiTheme="minorHAnsi" w:eastAsia="MS Mincho" w:hAnsiTheme="minorHAnsi"/>
      <w:color w:val="000000" w:themeColor="text1"/>
      <w:sz w:val="22"/>
      <w:lang w:val="en-AU" w:eastAsia="ja-JP"/>
    </w:rPr>
  </w:style>
  <w:style w:type="paragraph" w:styleId="BodyText3">
    <w:name w:val="Body Text 3"/>
    <w:basedOn w:val="Normal"/>
    <w:link w:val="BodyText3Char"/>
    <w:uiPriority w:val="97"/>
    <w:semiHidden/>
    <w:rsid w:val="009629FA"/>
    <w:rPr>
      <w:sz w:val="16"/>
      <w:szCs w:val="16"/>
    </w:rPr>
  </w:style>
  <w:style w:type="character" w:customStyle="1" w:styleId="BodyText3Char">
    <w:name w:val="Body Text 3 Char"/>
    <w:basedOn w:val="DefaultParagraphFont"/>
    <w:link w:val="BodyText3"/>
    <w:uiPriority w:val="97"/>
    <w:semiHidden/>
    <w:rsid w:val="009629FA"/>
    <w:rPr>
      <w:rFonts w:asciiTheme="minorHAnsi" w:eastAsia="MS Mincho" w:hAnsiTheme="minorHAnsi"/>
      <w:color w:val="000000" w:themeColor="text1"/>
      <w:sz w:val="16"/>
      <w:szCs w:val="16"/>
      <w:lang w:val="en-AU" w:eastAsia="ja-JP"/>
    </w:rPr>
  </w:style>
  <w:style w:type="paragraph" w:styleId="BodyTextFirstIndent">
    <w:name w:val="Body Text First Indent"/>
    <w:basedOn w:val="BodyText"/>
    <w:link w:val="BodyTextFirstIndentChar"/>
    <w:uiPriority w:val="97"/>
    <w:semiHidden/>
    <w:rsid w:val="009629FA"/>
    <w:pPr>
      <w:spacing w:after="80"/>
      <w:ind w:firstLine="360"/>
    </w:pPr>
  </w:style>
  <w:style w:type="character" w:customStyle="1" w:styleId="BodyTextFirstIndentChar">
    <w:name w:val="Body Text First Indent Char"/>
    <w:basedOn w:val="BodyTextChar"/>
    <w:link w:val="BodyTextFirstIndent"/>
    <w:uiPriority w:val="97"/>
    <w:semiHidden/>
    <w:rsid w:val="009629FA"/>
    <w:rPr>
      <w:rFonts w:asciiTheme="minorHAnsi" w:eastAsia="MS Mincho" w:hAnsiTheme="minorHAnsi"/>
      <w:color w:val="000000" w:themeColor="text1"/>
      <w:sz w:val="22"/>
      <w:lang w:val="en-AU" w:eastAsia="ja-JP"/>
    </w:rPr>
  </w:style>
  <w:style w:type="paragraph" w:styleId="BodyTextIndent">
    <w:name w:val="Body Text Indent"/>
    <w:basedOn w:val="Normal"/>
    <w:link w:val="BodyTextIndentChar"/>
    <w:uiPriority w:val="97"/>
    <w:semiHidden/>
    <w:rsid w:val="009629FA"/>
    <w:pPr>
      <w:ind w:left="283"/>
    </w:pPr>
  </w:style>
  <w:style w:type="character" w:customStyle="1" w:styleId="BodyTextIndentChar">
    <w:name w:val="Body Text Indent Char"/>
    <w:basedOn w:val="DefaultParagraphFont"/>
    <w:link w:val="BodyTextIndent"/>
    <w:uiPriority w:val="97"/>
    <w:semiHidden/>
    <w:rsid w:val="009629FA"/>
    <w:rPr>
      <w:rFonts w:asciiTheme="minorHAnsi" w:eastAsia="MS Mincho" w:hAnsiTheme="minorHAnsi"/>
      <w:color w:val="000000" w:themeColor="text1"/>
      <w:sz w:val="22"/>
      <w:lang w:val="en-AU" w:eastAsia="ja-JP"/>
    </w:rPr>
  </w:style>
  <w:style w:type="paragraph" w:styleId="BodyTextFirstIndent2">
    <w:name w:val="Body Text First Indent 2"/>
    <w:basedOn w:val="BodyTextIndent"/>
    <w:link w:val="BodyTextFirstIndent2Char"/>
    <w:uiPriority w:val="97"/>
    <w:semiHidden/>
    <w:rsid w:val="009629FA"/>
    <w:pPr>
      <w:spacing w:after="80"/>
      <w:ind w:left="360" w:firstLine="360"/>
    </w:pPr>
  </w:style>
  <w:style w:type="character" w:customStyle="1" w:styleId="BodyTextFirstIndent2Char">
    <w:name w:val="Body Text First Indent 2 Char"/>
    <w:basedOn w:val="BodyTextIndentChar"/>
    <w:link w:val="BodyTextFirstIndent2"/>
    <w:uiPriority w:val="97"/>
    <w:semiHidden/>
    <w:rsid w:val="009629FA"/>
    <w:rPr>
      <w:rFonts w:asciiTheme="minorHAnsi" w:eastAsia="MS Mincho" w:hAnsiTheme="minorHAnsi"/>
      <w:color w:val="000000" w:themeColor="text1"/>
      <w:sz w:val="22"/>
      <w:lang w:val="en-AU" w:eastAsia="ja-JP"/>
    </w:rPr>
  </w:style>
  <w:style w:type="paragraph" w:styleId="BodyTextIndent2">
    <w:name w:val="Body Text Indent 2"/>
    <w:basedOn w:val="Normal"/>
    <w:link w:val="BodyTextIndent2Char"/>
    <w:uiPriority w:val="97"/>
    <w:semiHidden/>
    <w:rsid w:val="009629FA"/>
    <w:pPr>
      <w:spacing w:line="480" w:lineRule="auto"/>
      <w:ind w:left="283"/>
    </w:pPr>
  </w:style>
  <w:style w:type="character" w:customStyle="1" w:styleId="BodyTextIndent2Char">
    <w:name w:val="Body Text Indent 2 Char"/>
    <w:basedOn w:val="DefaultParagraphFont"/>
    <w:link w:val="BodyTextIndent2"/>
    <w:uiPriority w:val="97"/>
    <w:semiHidden/>
    <w:rsid w:val="009629FA"/>
    <w:rPr>
      <w:rFonts w:asciiTheme="minorHAnsi" w:eastAsia="MS Mincho" w:hAnsiTheme="minorHAnsi"/>
      <w:color w:val="000000" w:themeColor="text1"/>
      <w:sz w:val="22"/>
      <w:lang w:val="en-AU" w:eastAsia="ja-JP"/>
    </w:rPr>
  </w:style>
  <w:style w:type="paragraph" w:styleId="BodyTextIndent3">
    <w:name w:val="Body Text Indent 3"/>
    <w:basedOn w:val="Normal"/>
    <w:link w:val="BodyTextIndent3Char"/>
    <w:uiPriority w:val="97"/>
    <w:semiHidden/>
    <w:rsid w:val="009629FA"/>
    <w:pPr>
      <w:ind w:left="283"/>
    </w:pPr>
    <w:rPr>
      <w:sz w:val="16"/>
      <w:szCs w:val="16"/>
    </w:rPr>
  </w:style>
  <w:style w:type="character" w:customStyle="1" w:styleId="BodyTextIndent3Char">
    <w:name w:val="Body Text Indent 3 Char"/>
    <w:basedOn w:val="DefaultParagraphFont"/>
    <w:link w:val="BodyTextIndent3"/>
    <w:uiPriority w:val="97"/>
    <w:semiHidden/>
    <w:rsid w:val="009629FA"/>
    <w:rPr>
      <w:rFonts w:asciiTheme="minorHAnsi" w:eastAsia="MS Mincho" w:hAnsiTheme="minorHAnsi"/>
      <w:color w:val="000000" w:themeColor="text1"/>
      <w:sz w:val="16"/>
      <w:szCs w:val="16"/>
      <w:lang w:val="en-AU" w:eastAsia="ja-JP"/>
    </w:rPr>
  </w:style>
  <w:style w:type="character" w:styleId="BookTitle">
    <w:name w:val="Book Title"/>
    <w:basedOn w:val="DefaultParagraphFont"/>
    <w:uiPriority w:val="97"/>
    <w:semiHidden/>
    <w:rsid w:val="009629FA"/>
    <w:rPr>
      <w:rFonts w:asciiTheme="minorHAnsi" w:hAnsiTheme="minorHAnsi" w:cstheme="minorHAnsi"/>
      <w:b/>
      <w:bCs/>
      <w:smallCaps/>
      <w:spacing w:val="5"/>
    </w:rPr>
  </w:style>
  <w:style w:type="paragraph" w:styleId="Closing">
    <w:name w:val="Closing"/>
    <w:basedOn w:val="Normal"/>
    <w:link w:val="ClosingChar"/>
    <w:uiPriority w:val="97"/>
    <w:semiHidden/>
    <w:rsid w:val="009629FA"/>
    <w:pPr>
      <w:spacing w:after="0" w:line="240" w:lineRule="auto"/>
      <w:ind w:left="4252"/>
    </w:pPr>
  </w:style>
  <w:style w:type="character" w:customStyle="1" w:styleId="ClosingChar">
    <w:name w:val="Closing Char"/>
    <w:basedOn w:val="DefaultParagraphFont"/>
    <w:link w:val="Closing"/>
    <w:uiPriority w:val="97"/>
    <w:semiHidden/>
    <w:rsid w:val="009629FA"/>
    <w:rPr>
      <w:rFonts w:asciiTheme="minorHAnsi" w:eastAsia="MS Mincho" w:hAnsiTheme="minorHAnsi"/>
      <w:color w:val="000000" w:themeColor="text1"/>
      <w:sz w:val="22"/>
      <w:lang w:val="en-AU" w:eastAsia="ja-JP"/>
    </w:rPr>
  </w:style>
  <w:style w:type="table" w:styleId="ColorfulGrid">
    <w:name w:val="Colorful Grid"/>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cs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E1F1ED" w:themeFill="accent1" w:themeFillTint="33"/>
      <w:tcMar>
        <w:top w:w="57" w:type="dxa"/>
        <w:left w:w="57" w:type="dxa"/>
        <w:bottom w:w="57" w:type="dxa"/>
        <w:right w:w="57" w:type="dxa"/>
      </w:tcMar>
    </w:tcPr>
    <w:tblStylePr w:type="firstRow">
      <w:rPr>
        <w:rFonts w:asciiTheme="majorHAnsi" w:hAnsiTheme="majorHAnsi" w:cstheme="majorHAnsi"/>
        <w:b/>
        <w:bCs/>
      </w:rPr>
      <w:tblPr/>
      <w:tcPr>
        <w:shd w:val="clear" w:color="auto" w:fill="C4E3DC" w:themeFill="accent1" w:themeFillTint="66"/>
      </w:tcPr>
    </w:tblStylePr>
    <w:tblStylePr w:type="lastRow">
      <w:rPr>
        <w:b/>
        <w:bCs/>
        <w:color w:val="000000" w:themeColor="text1"/>
      </w:rPr>
      <w:tblPr/>
      <w:tcPr>
        <w:shd w:val="clear" w:color="auto" w:fill="C4E3DC" w:themeFill="accent1" w:themeFillTint="66"/>
      </w:tcPr>
    </w:tblStylePr>
    <w:tblStylePr w:type="firstCol">
      <w:rPr>
        <w:color w:val="FFFFFF" w:themeColor="background1"/>
      </w:rPr>
      <w:tblPr/>
      <w:tcPr>
        <w:shd w:val="clear" w:color="auto" w:fill="459683" w:themeFill="accent1" w:themeFillShade="BF"/>
      </w:tcPr>
    </w:tblStylePr>
    <w:tblStylePr w:type="lastCol">
      <w:rPr>
        <w:color w:val="FFFFFF" w:themeColor="background1"/>
      </w:rPr>
      <w:tblPr/>
      <w:tcPr>
        <w:shd w:val="clear" w:color="auto" w:fill="459683" w:themeFill="accent1" w:themeFillShade="BF"/>
      </w:tcPr>
    </w:tblStylePr>
    <w:tblStylePr w:type="band1Vert">
      <w:tblPr/>
      <w:tcPr>
        <w:shd w:val="clear" w:color="auto" w:fill="B5DDD3" w:themeFill="accent1" w:themeFillTint="7F"/>
      </w:tcPr>
    </w:tblStylePr>
    <w:tblStylePr w:type="band1Horz">
      <w:tblPr/>
      <w:tcPr>
        <w:shd w:val="clear" w:color="auto" w:fill="B5DDD3" w:themeFill="accent1" w:themeFillTint="7F"/>
      </w:tcPr>
    </w:tblStylePr>
  </w:style>
  <w:style w:type="table" w:styleId="ColorfulGrid-Accent2">
    <w:name w:val="Colorful Grid Accent 2"/>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CBD2E6" w:themeFill="accent2" w:themeFillTint="33"/>
      <w:tcMar>
        <w:top w:w="57" w:type="dxa"/>
        <w:left w:w="57" w:type="dxa"/>
        <w:bottom w:w="57" w:type="dxa"/>
        <w:right w:w="57" w:type="dxa"/>
      </w:tcMar>
    </w:tcPr>
    <w:tblStylePr w:type="firstRow">
      <w:rPr>
        <w:rFonts w:asciiTheme="majorHAnsi" w:hAnsiTheme="majorHAnsi" w:cstheme="majorHAnsi"/>
        <w:b/>
        <w:bCs/>
      </w:rPr>
      <w:tblPr/>
      <w:tcPr>
        <w:shd w:val="clear" w:color="auto" w:fill="98A6CE" w:themeFill="accent2" w:themeFillTint="66"/>
      </w:tcPr>
    </w:tblStylePr>
    <w:tblStylePr w:type="lastRow">
      <w:rPr>
        <w:b/>
        <w:bCs/>
        <w:color w:val="000000" w:themeColor="text1"/>
      </w:rPr>
      <w:tblPr/>
      <w:tcPr>
        <w:shd w:val="clear" w:color="auto" w:fill="98A6CE" w:themeFill="accent2" w:themeFillTint="66"/>
      </w:tcPr>
    </w:tblStylePr>
    <w:tblStylePr w:type="firstCol">
      <w:rPr>
        <w:color w:val="FFFFFF" w:themeColor="background1"/>
      </w:rPr>
      <w:tblPr/>
      <w:tcPr>
        <w:shd w:val="clear" w:color="auto" w:fill="1F2942" w:themeFill="accent2" w:themeFillShade="BF"/>
      </w:tcPr>
    </w:tblStylePr>
    <w:tblStylePr w:type="lastCol">
      <w:rPr>
        <w:color w:val="FFFFFF" w:themeColor="background1"/>
      </w:rPr>
      <w:tblPr/>
      <w:tcPr>
        <w:shd w:val="clear" w:color="auto" w:fill="1F2942" w:themeFill="accent2" w:themeFillShade="BF"/>
      </w:tcPr>
    </w:tblStylePr>
    <w:tblStylePr w:type="band1Vert">
      <w:tblPr/>
      <w:tcPr>
        <w:shd w:val="clear" w:color="auto" w:fill="7E91C2" w:themeFill="accent2" w:themeFillTint="7F"/>
      </w:tcPr>
    </w:tblStylePr>
    <w:tblStylePr w:type="band1Horz">
      <w:tblPr/>
      <w:tcPr>
        <w:shd w:val="clear" w:color="auto" w:fill="7E91C2" w:themeFill="accent2" w:themeFillTint="7F"/>
      </w:tcPr>
    </w:tblStylePr>
  </w:style>
  <w:style w:type="table" w:styleId="ColorfulGrid-Accent3">
    <w:name w:val="Colorful Grid Accent 3"/>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EAFFBE" w:themeFill="accent3" w:themeFillTint="33"/>
      <w:tcMar>
        <w:top w:w="57" w:type="dxa"/>
        <w:left w:w="57" w:type="dxa"/>
        <w:bottom w:w="57" w:type="dxa"/>
        <w:right w:w="57" w:type="dxa"/>
      </w:tcMar>
    </w:tcPr>
    <w:tblStylePr w:type="firstRow">
      <w:rPr>
        <w:rFonts w:asciiTheme="majorHAnsi" w:hAnsiTheme="majorHAnsi" w:cstheme="majorHAnsi"/>
        <w:b/>
        <w:bCs/>
      </w:rPr>
      <w:tblPr/>
      <w:tcPr>
        <w:shd w:val="clear" w:color="auto" w:fill="D6FF7E" w:themeFill="accent3" w:themeFillTint="66"/>
      </w:tcPr>
    </w:tblStylePr>
    <w:tblStylePr w:type="lastRow">
      <w:rPr>
        <w:b/>
        <w:bCs/>
        <w:color w:val="000000" w:themeColor="text1"/>
      </w:rPr>
      <w:tblPr/>
      <w:tcPr>
        <w:shd w:val="clear" w:color="auto" w:fill="D6FF7E" w:themeFill="accent3" w:themeFillTint="66"/>
      </w:tcPr>
    </w:tblStylePr>
    <w:tblStylePr w:type="firstCol">
      <w:rPr>
        <w:color w:val="FFFFFF" w:themeColor="background1"/>
      </w:rPr>
      <w:tblPr/>
      <w:tcPr>
        <w:shd w:val="clear" w:color="auto" w:fill="608D00" w:themeFill="accent3" w:themeFillShade="BF"/>
      </w:tcPr>
    </w:tblStylePr>
    <w:tblStylePr w:type="lastCol">
      <w:rPr>
        <w:color w:val="FFFFFF" w:themeColor="background1"/>
      </w:rPr>
      <w:tblPr/>
      <w:tcPr>
        <w:shd w:val="clear" w:color="auto" w:fill="608D00" w:themeFill="accent3" w:themeFillShade="BF"/>
      </w:tcPr>
    </w:tblStylePr>
    <w:tblStylePr w:type="band1Vert">
      <w:tblPr/>
      <w:tcPr>
        <w:shd w:val="clear" w:color="auto" w:fill="CCFF5F" w:themeFill="accent3" w:themeFillTint="7F"/>
      </w:tcPr>
    </w:tblStylePr>
    <w:tblStylePr w:type="band1Horz">
      <w:tblPr/>
      <w:tcPr>
        <w:shd w:val="clear" w:color="auto" w:fill="CCFF5F" w:themeFill="accent3" w:themeFillTint="7F"/>
      </w:tcPr>
    </w:tblStylePr>
  </w:style>
  <w:style w:type="table" w:styleId="ColorfulGrid-Accent4">
    <w:name w:val="Colorful Grid Accent 4"/>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F5F1F1" w:themeFill="accent4" w:themeFillTint="33"/>
      <w:tcMar>
        <w:top w:w="57" w:type="dxa"/>
        <w:left w:w="57" w:type="dxa"/>
        <w:bottom w:w="57" w:type="dxa"/>
        <w:right w:w="57" w:type="dxa"/>
      </w:tcMar>
    </w:tcPr>
    <w:tblStylePr w:type="firstRow">
      <w:rPr>
        <w:rFonts w:asciiTheme="majorHAnsi" w:hAnsiTheme="majorHAnsi" w:cstheme="majorHAnsi"/>
        <w:b/>
        <w:bCs/>
      </w:rPr>
      <w:tblPr/>
      <w:tcPr>
        <w:shd w:val="clear" w:color="auto" w:fill="ECE4E3" w:themeFill="accent4" w:themeFillTint="66"/>
      </w:tcPr>
    </w:tblStylePr>
    <w:tblStylePr w:type="lastRow">
      <w:rPr>
        <w:b/>
        <w:bCs/>
        <w:color w:val="000000" w:themeColor="text1"/>
      </w:rPr>
      <w:tblPr/>
      <w:tcPr>
        <w:shd w:val="clear" w:color="auto" w:fill="ECE4E3" w:themeFill="accent4" w:themeFillTint="66"/>
      </w:tcPr>
    </w:tblStylePr>
    <w:tblStylePr w:type="firstCol">
      <w:rPr>
        <w:color w:val="FFFFFF" w:themeColor="background1"/>
      </w:rPr>
      <w:tblPr/>
      <w:tcPr>
        <w:shd w:val="clear" w:color="auto" w:fill="A9857E" w:themeFill="accent4" w:themeFillShade="BF"/>
      </w:tcPr>
    </w:tblStylePr>
    <w:tblStylePr w:type="lastCol">
      <w:rPr>
        <w:color w:val="FFFFFF" w:themeColor="background1"/>
      </w:rPr>
      <w:tblPr/>
      <w:tcPr>
        <w:shd w:val="clear" w:color="auto" w:fill="A9857E" w:themeFill="accent4" w:themeFillShade="BF"/>
      </w:tcPr>
    </w:tblStylePr>
    <w:tblStylePr w:type="band1Vert">
      <w:tblPr/>
      <w:tcPr>
        <w:shd w:val="clear" w:color="auto" w:fill="E8DEDC" w:themeFill="accent4" w:themeFillTint="7F"/>
      </w:tcPr>
    </w:tblStylePr>
    <w:tblStylePr w:type="band1Horz">
      <w:tblPr/>
      <w:tcPr>
        <w:shd w:val="clear" w:color="auto" w:fill="E8DEDC" w:themeFill="accent4" w:themeFillTint="7F"/>
      </w:tcPr>
    </w:tblStylePr>
  </w:style>
  <w:style w:type="table" w:styleId="ColorfulGrid-Accent5">
    <w:name w:val="Colorful Grid Accent 5"/>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ABF2FF" w:themeFill="accent5" w:themeFillTint="33"/>
      <w:tcMar>
        <w:top w:w="57" w:type="dxa"/>
        <w:left w:w="57" w:type="dxa"/>
        <w:bottom w:w="57" w:type="dxa"/>
        <w:right w:w="57" w:type="dxa"/>
      </w:tcMar>
    </w:tcPr>
    <w:tblStylePr w:type="firstRow">
      <w:rPr>
        <w:rFonts w:asciiTheme="majorHAnsi" w:hAnsiTheme="majorHAnsi" w:cstheme="majorHAnsi"/>
        <w:b/>
        <w:bCs/>
      </w:rPr>
      <w:tblPr/>
      <w:tcPr>
        <w:shd w:val="clear" w:color="auto" w:fill="57E5FF" w:themeFill="accent5" w:themeFillTint="66"/>
      </w:tcPr>
    </w:tblStylePr>
    <w:tblStylePr w:type="lastRow">
      <w:rPr>
        <w:b/>
        <w:bCs/>
        <w:color w:val="000000" w:themeColor="text1"/>
      </w:rPr>
      <w:tblPr/>
      <w:tcPr>
        <w:shd w:val="clear" w:color="auto" w:fill="57E5FF" w:themeFill="accent5" w:themeFillTint="66"/>
      </w:tcPr>
    </w:tblStylePr>
    <w:tblStylePr w:type="firstCol">
      <w:rPr>
        <w:color w:val="FFFFFF" w:themeColor="background1"/>
      </w:rPr>
      <w:tblPr/>
      <w:tcPr>
        <w:shd w:val="clear" w:color="auto" w:fill="003A44" w:themeFill="accent5" w:themeFillShade="BF"/>
      </w:tcPr>
    </w:tblStylePr>
    <w:tblStylePr w:type="lastCol">
      <w:rPr>
        <w:color w:val="FFFFFF" w:themeColor="background1"/>
      </w:rPr>
      <w:tblPr/>
      <w:tcPr>
        <w:shd w:val="clear" w:color="auto" w:fill="003A44" w:themeFill="accent5" w:themeFillShade="BF"/>
      </w:tcPr>
    </w:tblStylePr>
    <w:tblStylePr w:type="band1Vert">
      <w:tblPr/>
      <w:tcPr>
        <w:shd w:val="clear" w:color="auto" w:fill="2EDFFF" w:themeFill="accent5" w:themeFillTint="7F"/>
      </w:tcPr>
    </w:tblStylePr>
    <w:tblStylePr w:type="band1Horz">
      <w:tblPr/>
      <w:tcPr>
        <w:shd w:val="clear" w:color="auto" w:fill="2EDFFF" w:themeFill="accent5" w:themeFillTint="7F"/>
      </w:tcPr>
    </w:tblStylePr>
  </w:style>
  <w:style w:type="table" w:styleId="ColorfulGrid-Accent6">
    <w:name w:val="Colorful Grid Accent 6"/>
    <w:basedOn w:val="TableNormal"/>
    <w:uiPriority w:val="98"/>
    <w:rsid w:val="009629FA"/>
    <w:rPr>
      <w:color w:val="000000" w:themeColor="text1"/>
    </w:rPr>
    <w:tblPr>
      <w:tblStyleRowBandSize w:val="1"/>
      <w:tblStyleColBandSize w:val="1"/>
      <w:tblBorders>
        <w:insideH w:val="single" w:sz="4" w:space="0" w:color="FFFFFF" w:themeColor="background1"/>
      </w:tblBorders>
    </w:tblPr>
    <w:tcPr>
      <w:shd w:val="clear" w:color="auto" w:fill="CDE5D3" w:themeFill="accent6" w:themeFillTint="33"/>
      <w:tcMar>
        <w:top w:w="57" w:type="dxa"/>
        <w:left w:w="57" w:type="dxa"/>
        <w:bottom w:w="57" w:type="dxa"/>
        <w:right w:w="57" w:type="dxa"/>
      </w:tcMar>
    </w:tcPr>
    <w:tblStylePr w:type="firstRow">
      <w:rPr>
        <w:rFonts w:asciiTheme="majorHAnsi" w:hAnsiTheme="majorHAnsi" w:cstheme="majorHAnsi"/>
        <w:b/>
        <w:bCs/>
      </w:rPr>
      <w:tblPr/>
      <w:tcPr>
        <w:shd w:val="clear" w:color="auto" w:fill="9BCBA8" w:themeFill="accent6" w:themeFillTint="66"/>
      </w:tcPr>
    </w:tblStylePr>
    <w:tblStylePr w:type="lastRow">
      <w:rPr>
        <w:b/>
        <w:bCs/>
        <w:color w:val="000000" w:themeColor="text1"/>
      </w:rPr>
      <w:tblPr/>
      <w:tcPr>
        <w:shd w:val="clear" w:color="auto" w:fill="9BCBA8" w:themeFill="accent6" w:themeFillTint="66"/>
      </w:tcPr>
    </w:tblStylePr>
    <w:tblStylePr w:type="firstCol">
      <w:rPr>
        <w:color w:val="FFFFFF" w:themeColor="background1"/>
      </w:rPr>
      <w:tblPr/>
      <w:tcPr>
        <w:shd w:val="clear" w:color="auto" w:fill="214029" w:themeFill="accent6" w:themeFillShade="BF"/>
      </w:tcPr>
    </w:tblStylePr>
    <w:tblStylePr w:type="lastCol">
      <w:rPr>
        <w:color w:val="FFFFFF" w:themeColor="background1"/>
      </w:rPr>
      <w:tblPr/>
      <w:tcPr>
        <w:shd w:val="clear" w:color="auto" w:fill="214029" w:themeFill="accent6" w:themeFillShade="BF"/>
      </w:tcPr>
    </w:tblStylePr>
    <w:tblStylePr w:type="band1Vert">
      <w:tblPr/>
      <w:tcPr>
        <w:shd w:val="clear" w:color="auto" w:fill="82BE92" w:themeFill="accent6" w:themeFillTint="7F"/>
      </w:tcPr>
    </w:tblStylePr>
    <w:tblStylePr w:type="band1Horz">
      <w:tblPr/>
      <w:tcPr>
        <w:shd w:val="clear" w:color="auto" w:fill="82BE92" w:themeFill="accent6" w:themeFillTint="7F"/>
      </w:tcPr>
    </w:tblStylePr>
  </w:style>
  <w:style w:type="table" w:styleId="ColorfulList">
    <w:name w:val="Colorful List"/>
    <w:basedOn w:val="TableNormal"/>
    <w:uiPriority w:val="98"/>
    <w:rsid w:val="009629FA"/>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212B47" w:themeFill="accent2" w:themeFillShade="CC"/>
      </w:tcPr>
    </w:tblStylePr>
    <w:tblStylePr w:type="lastRow">
      <w:rPr>
        <w:b/>
        <w:bCs/>
        <w:color w:val="212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9629FA"/>
    <w:rPr>
      <w:color w:val="000000" w:themeColor="text1"/>
    </w:rPr>
    <w:tblPr>
      <w:tblStyleRowBandSize w:val="1"/>
      <w:tblStyleColBandSize w:val="1"/>
    </w:tblPr>
    <w:tcPr>
      <w:shd w:val="clear" w:color="auto" w:fill="F0F8F6" w:themeFill="accent1"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212B47" w:themeFill="accent2" w:themeFillShade="CC"/>
      </w:tcPr>
    </w:tblStylePr>
    <w:tblStylePr w:type="lastRow">
      <w:rPr>
        <w:b/>
        <w:bCs/>
        <w:color w:val="212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E9" w:themeFill="accent1" w:themeFillTint="3F"/>
      </w:tcPr>
    </w:tblStylePr>
    <w:tblStylePr w:type="band1Horz">
      <w:tblPr/>
      <w:tcPr>
        <w:shd w:val="clear" w:color="auto" w:fill="E1F1ED" w:themeFill="accent1" w:themeFillTint="33"/>
      </w:tcPr>
    </w:tblStylePr>
  </w:style>
  <w:style w:type="table" w:styleId="ColorfulList-Accent2">
    <w:name w:val="Colorful List Accent 2"/>
    <w:basedOn w:val="TableNormal"/>
    <w:uiPriority w:val="98"/>
    <w:rsid w:val="009629FA"/>
    <w:rPr>
      <w:color w:val="000000" w:themeColor="text1"/>
    </w:rPr>
    <w:tblPr>
      <w:tblStyleRowBandSize w:val="1"/>
      <w:tblStyleColBandSize w:val="1"/>
    </w:tblPr>
    <w:tcPr>
      <w:shd w:val="clear" w:color="auto" w:fill="E5E9F3" w:themeFill="accent2"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212B47" w:themeFill="accent2" w:themeFillShade="CC"/>
      </w:tcPr>
    </w:tblStylePr>
    <w:tblStylePr w:type="lastRow">
      <w:rPr>
        <w:b/>
        <w:bCs/>
        <w:color w:val="212B4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C8E1" w:themeFill="accent2" w:themeFillTint="3F"/>
      </w:tcPr>
    </w:tblStylePr>
    <w:tblStylePr w:type="band1Horz">
      <w:tblPr/>
      <w:tcPr>
        <w:shd w:val="clear" w:color="auto" w:fill="CBD2E6" w:themeFill="accent2" w:themeFillTint="33"/>
      </w:tcPr>
    </w:tblStylePr>
  </w:style>
  <w:style w:type="table" w:styleId="ColorfulList-Accent3">
    <w:name w:val="Colorful List Accent 3"/>
    <w:basedOn w:val="TableNormal"/>
    <w:uiPriority w:val="98"/>
    <w:rsid w:val="009629FA"/>
    <w:rPr>
      <w:color w:val="000000" w:themeColor="text1"/>
    </w:rPr>
    <w:tblPr>
      <w:tblStyleRowBandSize w:val="1"/>
      <w:tblStyleColBandSize w:val="1"/>
    </w:tblPr>
    <w:tcPr>
      <w:shd w:val="clear" w:color="auto" w:fill="F4FFDF" w:themeFill="accent3"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B1918A" w:themeFill="accent4" w:themeFillShade="CC"/>
      </w:tcPr>
    </w:tblStylePr>
    <w:tblStylePr w:type="lastRow">
      <w:rPr>
        <w:b/>
        <w:bCs/>
        <w:color w:val="B1918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FFAF" w:themeFill="accent3" w:themeFillTint="3F"/>
      </w:tcPr>
    </w:tblStylePr>
    <w:tblStylePr w:type="band1Horz">
      <w:tblPr/>
      <w:tcPr>
        <w:shd w:val="clear" w:color="auto" w:fill="EAFFBE" w:themeFill="accent3" w:themeFillTint="33"/>
      </w:tcPr>
    </w:tblStylePr>
  </w:style>
  <w:style w:type="table" w:styleId="ColorfulList-Accent4">
    <w:name w:val="Colorful List Accent 4"/>
    <w:basedOn w:val="TableNormal"/>
    <w:uiPriority w:val="98"/>
    <w:rsid w:val="009629FA"/>
    <w:rPr>
      <w:color w:val="000000" w:themeColor="text1"/>
    </w:rPr>
    <w:tblPr>
      <w:tblStyleRowBandSize w:val="1"/>
      <w:tblStyleColBandSize w:val="1"/>
    </w:tblPr>
    <w:tcPr>
      <w:shd w:val="clear" w:color="auto" w:fill="FAF8F8" w:themeFill="accent4"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679700" w:themeFill="accent3" w:themeFillShade="CC"/>
      </w:tcPr>
    </w:tblStylePr>
    <w:tblStylePr w:type="lastRow">
      <w:rPr>
        <w:b/>
        <w:bCs/>
        <w:color w:val="6797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EEED" w:themeFill="accent4" w:themeFillTint="3F"/>
      </w:tcPr>
    </w:tblStylePr>
    <w:tblStylePr w:type="band1Horz">
      <w:tblPr/>
      <w:tcPr>
        <w:shd w:val="clear" w:color="auto" w:fill="F5F1F1" w:themeFill="accent4" w:themeFillTint="33"/>
      </w:tcPr>
    </w:tblStylePr>
  </w:style>
  <w:style w:type="table" w:styleId="ColorfulList-Accent5">
    <w:name w:val="Colorful List Accent 5"/>
    <w:basedOn w:val="TableNormal"/>
    <w:uiPriority w:val="98"/>
    <w:rsid w:val="009629FA"/>
    <w:rPr>
      <w:color w:val="000000" w:themeColor="text1"/>
    </w:rPr>
    <w:tblPr>
      <w:tblStyleRowBandSize w:val="1"/>
      <w:tblStyleColBandSize w:val="1"/>
    </w:tblPr>
    <w:tcPr>
      <w:shd w:val="clear" w:color="auto" w:fill="D6F8FF" w:themeFill="accent5"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24442C" w:themeFill="accent6" w:themeFillShade="CC"/>
      </w:tcPr>
    </w:tblStylePr>
    <w:tblStylePr w:type="lastRow">
      <w:rPr>
        <w:b/>
        <w:bCs/>
        <w:color w:val="24442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7EFFF" w:themeFill="accent5" w:themeFillTint="3F"/>
      </w:tcPr>
    </w:tblStylePr>
    <w:tblStylePr w:type="band1Horz">
      <w:tblPr/>
      <w:tcPr>
        <w:shd w:val="clear" w:color="auto" w:fill="ABF2FF" w:themeFill="accent5" w:themeFillTint="33"/>
      </w:tcPr>
    </w:tblStylePr>
  </w:style>
  <w:style w:type="table" w:styleId="ColorfulList-Accent6">
    <w:name w:val="Colorful List Accent 6"/>
    <w:basedOn w:val="TableNormal"/>
    <w:uiPriority w:val="98"/>
    <w:rsid w:val="009629FA"/>
    <w:rPr>
      <w:color w:val="000000" w:themeColor="text1"/>
    </w:rPr>
    <w:tblPr>
      <w:tblStyleRowBandSize w:val="1"/>
      <w:tblStyleColBandSize w:val="1"/>
    </w:tblPr>
    <w:tcPr>
      <w:shd w:val="clear" w:color="auto" w:fill="E6F2E9" w:themeFill="accent6" w:themeFillTint="19"/>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bottom w:val="single" w:sz="12" w:space="0" w:color="FFFFFF" w:themeColor="background1"/>
        </w:tcBorders>
        <w:shd w:val="clear" w:color="auto" w:fill="003E49" w:themeFill="accent5" w:themeFillShade="CC"/>
      </w:tcPr>
    </w:tblStylePr>
    <w:tblStylePr w:type="lastRow">
      <w:rPr>
        <w:b/>
        <w:bCs/>
        <w:color w:val="003E4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DEC9" w:themeFill="accent6" w:themeFillTint="3F"/>
      </w:tcPr>
    </w:tblStylePr>
    <w:tblStylePr w:type="band1Horz">
      <w:tblPr/>
      <w:tcPr>
        <w:shd w:val="clear" w:color="auto" w:fill="CDE5D3" w:themeFill="accent6" w:themeFillTint="33"/>
      </w:tcPr>
    </w:tblStylePr>
  </w:style>
  <w:style w:type="table" w:styleId="ColorfulShading">
    <w:name w:val="Colorful Shading"/>
    <w:basedOn w:val="TableNormal"/>
    <w:uiPriority w:val="98"/>
    <w:rsid w:val="009629FA"/>
    <w:rPr>
      <w:color w:val="000000" w:themeColor="text1"/>
    </w:rPr>
    <w:tblPr>
      <w:tblStyleRowBandSize w:val="1"/>
      <w:tblStyleColBandSize w:val="1"/>
      <w:tblBorders>
        <w:top w:val="single" w:sz="24" w:space="0" w:color="2A375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2A37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9629FA"/>
    <w:rPr>
      <w:color w:val="000000" w:themeColor="text1"/>
    </w:rPr>
    <w:tblPr>
      <w:tblStyleRowBandSize w:val="1"/>
      <w:tblStyleColBandSize w:val="1"/>
      <w:tblBorders>
        <w:top w:val="single" w:sz="24" w:space="0" w:color="2A3759" w:themeColor="accent2"/>
        <w:left w:val="single" w:sz="4" w:space="0" w:color="6CBBA8" w:themeColor="accent1"/>
        <w:bottom w:val="single" w:sz="4" w:space="0" w:color="6CBBA8" w:themeColor="accent1"/>
        <w:right w:val="single" w:sz="4" w:space="0" w:color="6CBBA8" w:themeColor="accent1"/>
        <w:insideH w:val="single" w:sz="4" w:space="0" w:color="FFFFFF" w:themeColor="background1"/>
        <w:insideV w:val="single" w:sz="4" w:space="0" w:color="FFFFFF" w:themeColor="background1"/>
      </w:tblBorders>
    </w:tblPr>
    <w:tcPr>
      <w:shd w:val="clear" w:color="auto" w:fill="F0F8F6" w:themeFill="accent1"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2A37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87969" w:themeFill="accent1" w:themeFillShade="99"/>
      </w:tcPr>
    </w:tblStylePr>
    <w:tblStylePr w:type="firstCol">
      <w:rPr>
        <w:color w:val="FFFFFF" w:themeColor="background1"/>
      </w:rPr>
      <w:tblPr/>
      <w:tcPr>
        <w:tcBorders>
          <w:top w:val="nil"/>
          <w:left w:val="nil"/>
          <w:bottom w:val="nil"/>
          <w:right w:val="nil"/>
          <w:insideH w:val="single" w:sz="4" w:space="0" w:color="387969" w:themeColor="accent1" w:themeShade="99"/>
          <w:insideV w:val="nil"/>
        </w:tcBorders>
        <w:shd w:val="clear" w:color="auto" w:fill="38796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87969" w:themeFill="accent1" w:themeFillShade="99"/>
      </w:tcPr>
    </w:tblStylePr>
    <w:tblStylePr w:type="band1Vert">
      <w:tblPr/>
      <w:tcPr>
        <w:shd w:val="clear" w:color="auto" w:fill="C4E3DC" w:themeFill="accent1" w:themeFillTint="66"/>
      </w:tcPr>
    </w:tblStylePr>
    <w:tblStylePr w:type="band1Horz">
      <w:tblPr/>
      <w:tcPr>
        <w:shd w:val="clear" w:color="auto" w:fill="B5DD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9629FA"/>
    <w:rPr>
      <w:color w:val="000000" w:themeColor="text1"/>
    </w:rPr>
    <w:tblPr>
      <w:tblStyleRowBandSize w:val="1"/>
      <w:tblStyleColBandSize w:val="1"/>
      <w:tblBorders>
        <w:top w:val="single" w:sz="24" w:space="0" w:color="2A3759" w:themeColor="accent2"/>
        <w:left w:val="single" w:sz="4" w:space="0" w:color="2A3759" w:themeColor="accent2"/>
        <w:bottom w:val="single" w:sz="4" w:space="0" w:color="2A3759" w:themeColor="accent2"/>
        <w:right w:val="single" w:sz="4" w:space="0" w:color="2A3759" w:themeColor="accent2"/>
        <w:insideH w:val="single" w:sz="4" w:space="0" w:color="FFFFFF" w:themeColor="background1"/>
        <w:insideV w:val="single" w:sz="4" w:space="0" w:color="FFFFFF" w:themeColor="background1"/>
      </w:tblBorders>
    </w:tblPr>
    <w:tcPr>
      <w:shd w:val="clear" w:color="auto" w:fill="E5E9F3" w:themeFill="accent2"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2A375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2035" w:themeFill="accent2" w:themeFillShade="99"/>
      </w:tcPr>
    </w:tblStylePr>
    <w:tblStylePr w:type="firstCol">
      <w:rPr>
        <w:color w:val="FFFFFF" w:themeColor="background1"/>
      </w:rPr>
      <w:tblPr/>
      <w:tcPr>
        <w:tcBorders>
          <w:top w:val="nil"/>
          <w:left w:val="nil"/>
          <w:bottom w:val="nil"/>
          <w:right w:val="nil"/>
          <w:insideH w:val="single" w:sz="4" w:space="0" w:color="192035" w:themeColor="accent2" w:themeShade="99"/>
          <w:insideV w:val="nil"/>
        </w:tcBorders>
        <w:shd w:val="clear" w:color="auto" w:fill="19203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92035" w:themeFill="accent2" w:themeFillShade="99"/>
      </w:tcPr>
    </w:tblStylePr>
    <w:tblStylePr w:type="band1Vert">
      <w:tblPr/>
      <w:tcPr>
        <w:shd w:val="clear" w:color="auto" w:fill="98A6CE" w:themeFill="accent2" w:themeFillTint="66"/>
      </w:tcPr>
    </w:tblStylePr>
    <w:tblStylePr w:type="band1Horz">
      <w:tblPr/>
      <w:tcPr>
        <w:shd w:val="clear" w:color="auto" w:fill="7E91C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9629FA"/>
    <w:rPr>
      <w:color w:val="000000" w:themeColor="text1"/>
    </w:rPr>
    <w:tblPr>
      <w:tblStyleRowBandSize w:val="1"/>
      <w:tblStyleColBandSize w:val="1"/>
      <w:tblBorders>
        <w:top w:val="single" w:sz="24" w:space="0" w:color="D1BEBA" w:themeColor="accent4"/>
        <w:left w:val="single" w:sz="4" w:space="0" w:color="81BD00" w:themeColor="accent3"/>
        <w:bottom w:val="single" w:sz="4" w:space="0" w:color="81BD00" w:themeColor="accent3"/>
        <w:right w:val="single" w:sz="4" w:space="0" w:color="81BD00" w:themeColor="accent3"/>
        <w:insideH w:val="single" w:sz="4" w:space="0" w:color="FFFFFF" w:themeColor="background1"/>
        <w:insideV w:val="single" w:sz="4" w:space="0" w:color="FFFFFF" w:themeColor="background1"/>
      </w:tblBorders>
    </w:tblPr>
    <w:tcPr>
      <w:shd w:val="clear" w:color="auto" w:fill="F4FFDF" w:themeFill="accent3"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D1BEB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D7100" w:themeFill="accent3" w:themeFillShade="99"/>
      </w:tcPr>
    </w:tblStylePr>
    <w:tblStylePr w:type="firstCol">
      <w:rPr>
        <w:color w:val="FFFFFF" w:themeColor="background1"/>
      </w:rPr>
      <w:tblPr/>
      <w:tcPr>
        <w:tcBorders>
          <w:top w:val="nil"/>
          <w:left w:val="nil"/>
          <w:bottom w:val="nil"/>
          <w:right w:val="nil"/>
          <w:insideH w:val="single" w:sz="4" w:space="0" w:color="4D7100" w:themeColor="accent3" w:themeShade="99"/>
          <w:insideV w:val="nil"/>
        </w:tcBorders>
        <w:shd w:val="clear" w:color="auto" w:fill="4D71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D7100" w:themeFill="accent3" w:themeFillShade="99"/>
      </w:tcPr>
    </w:tblStylePr>
    <w:tblStylePr w:type="band1Vert">
      <w:tblPr/>
      <w:tcPr>
        <w:shd w:val="clear" w:color="auto" w:fill="D6FF7E" w:themeFill="accent3" w:themeFillTint="66"/>
      </w:tcPr>
    </w:tblStylePr>
    <w:tblStylePr w:type="band1Horz">
      <w:tblPr/>
      <w:tcPr>
        <w:shd w:val="clear" w:color="auto" w:fill="CCFF5F" w:themeFill="accent3" w:themeFillTint="7F"/>
      </w:tcPr>
    </w:tblStylePr>
  </w:style>
  <w:style w:type="table" w:styleId="ColorfulShading-Accent4">
    <w:name w:val="Colorful Shading Accent 4"/>
    <w:basedOn w:val="TableNormal"/>
    <w:uiPriority w:val="98"/>
    <w:rsid w:val="009629FA"/>
    <w:rPr>
      <w:color w:val="000000" w:themeColor="text1"/>
    </w:rPr>
    <w:tblPr>
      <w:tblStyleRowBandSize w:val="1"/>
      <w:tblStyleColBandSize w:val="1"/>
      <w:tblBorders>
        <w:top w:val="single" w:sz="24" w:space="0" w:color="81BD00" w:themeColor="accent3"/>
        <w:left w:val="single" w:sz="4" w:space="0" w:color="D1BEBA" w:themeColor="accent4"/>
        <w:bottom w:val="single" w:sz="4" w:space="0" w:color="D1BEBA" w:themeColor="accent4"/>
        <w:right w:val="single" w:sz="4" w:space="0" w:color="D1BEBA" w:themeColor="accent4"/>
        <w:insideH w:val="single" w:sz="4" w:space="0" w:color="FFFFFF" w:themeColor="background1"/>
        <w:insideV w:val="single" w:sz="4" w:space="0" w:color="FFFFFF" w:themeColor="background1"/>
      </w:tblBorders>
    </w:tblPr>
    <w:tcPr>
      <w:shd w:val="clear" w:color="auto" w:fill="FAF8F8" w:themeFill="accent4"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81BD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E675E" w:themeFill="accent4" w:themeFillShade="99"/>
      </w:tcPr>
    </w:tblStylePr>
    <w:tblStylePr w:type="firstCol">
      <w:rPr>
        <w:color w:val="FFFFFF" w:themeColor="background1"/>
      </w:rPr>
      <w:tblPr/>
      <w:tcPr>
        <w:tcBorders>
          <w:top w:val="nil"/>
          <w:left w:val="nil"/>
          <w:bottom w:val="nil"/>
          <w:right w:val="nil"/>
          <w:insideH w:val="single" w:sz="4" w:space="0" w:color="8E675E" w:themeColor="accent4" w:themeShade="99"/>
          <w:insideV w:val="nil"/>
        </w:tcBorders>
        <w:shd w:val="clear" w:color="auto" w:fill="8E675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E675E" w:themeFill="accent4" w:themeFillShade="99"/>
      </w:tcPr>
    </w:tblStylePr>
    <w:tblStylePr w:type="band1Vert">
      <w:tblPr/>
      <w:tcPr>
        <w:shd w:val="clear" w:color="auto" w:fill="ECE4E3" w:themeFill="accent4" w:themeFillTint="66"/>
      </w:tcPr>
    </w:tblStylePr>
    <w:tblStylePr w:type="band1Horz">
      <w:tblPr/>
      <w:tcPr>
        <w:shd w:val="clear" w:color="auto" w:fill="E8DED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9629FA"/>
    <w:rPr>
      <w:color w:val="000000" w:themeColor="text1"/>
    </w:rPr>
    <w:tblPr>
      <w:tblStyleRowBandSize w:val="1"/>
      <w:tblStyleColBandSize w:val="1"/>
      <w:tblBorders>
        <w:top w:val="single" w:sz="24" w:space="0" w:color="2D5638" w:themeColor="accent6"/>
        <w:left w:val="single" w:sz="4" w:space="0" w:color="004E5C" w:themeColor="accent5"/>
        <w:bottom w:val="single" w:sz="4" w:space="0" w:color="004E5C" w:themeColor="accent5"/>
        <w:right w:val="single" w:sz="4" w:space="0" w:color="004E5C" w:themeColor="accent5"/>
        <w:insideH w:val="single" w:sz="4" w:space="0" w:color="FFFFFF" w:themeColor="background1"/>
        <w:insideV w:val="single" w:sz="4" w:space="0" w:color="FFFFFF" w:themeColor="background1"/>
      </w:tblBorders>
    </w:tblPr>
    <w:tcPr>
      <w:shd w:val="clear" w:color="auto" w:fill="D6F8FF" w:themeFill="accent5"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2D563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E37" w:themeFill="accent5" w:themeFillShade="99"/>
      </w:tcPr>
    </w:tblStylePr>
    <w:tblStylePr w:type="firstCol">
      <w:rPr>
        <w:color w:val="FFFFFF" w:themeColor="background1"/>
      </w:rPr>
      <w:tblPr/>
      <w:tcPr>
        <w:tcBorders>
          <w:top w:val="nil"/>
          <w:left w:val="nil"/>
          <w:bottom w:val="nil"/>
          <w:right w:val="nil"/>
          <w:insideH w:val="single" w:sz="4" w:space="0" w:color="002E37" w:themeColor="accent5" w:themeShade="99"/>
          <w:insideV w:val="nil"/>
        </w:tcBorders>
        <w:shd w:val="clear" w:color="auto" w:fill="002E3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2E37" w:themeFill="accent5" w:themeFillShade="99"/>
      </w:tcPr>
    </w:tblStylePr>
    <w:tblStylePr w:type="band1Vert">
      <w:tblPr/>
      <w:tcPr>
        <w:shd w:val="clear" w:color="auto" w:fill="57E5FF" w:themeFill="accent5" w:themeFillTint="66"/>
      </w:tcPr>
    </w:tblStylePr>
    <w:tblStylePr w:type="band1Horz">
      <w:tblPr/>
      <w:tcPr>
        <w:shd w:val="clear" w:color="auto" w:fill="2EDF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9629FA"/>
    <w:rPr>
      <w:color w:val="000000" w:themeColor="text1"/>
    </w:rPr>
    <w:tblPr>
      <w:tblStyleRowBandSize w:val="1"/>
      <w:tblStyleColBandSize w:val="1"/>
      <w:tblBorders>
        <w:top w:val="single" w:sz="24" w:space="0" w:color="004E5C" w:themeColor="accent5"/>
        <w:left w:val="single" w:sz="4" w:space="0" w:color="2D5638" w:themeColor="accent6"/>
        <w:bottom w:val="single" w:sz="4" w:space="0" w:color="2D5638" w:themeColor="accent6"/>
        <w:right w:val="single" w:sz="4" w:space="0" w:color="2D5638" w:themeColor="accent6"/>
        <w:insideH w:val="single" w:sz="4" w:space="0" w:color="FFFFFF" w:themeColor="background1"/>
        <w:insideV w:val="single" w:sz="4" w:space="0" w:color="FFFFFF" w:themeColor="background1"/>
      </w:tblBorders>
    </w:tblPr>
    <w:tcPr>
      <w:shd w:val="clear" w:color="auto" w:fill="E6F2E9" w:themeFill="accent6" w:themeFillTint="19"/>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24" w:space="0" w:color="004E5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3321" w:themeFill="accent6" w:themeFillShade="99"/>
      </w:tcPr>
    </w:tblStylePr>
    <w:tblStylePr w:type="firstCol">
      <w:rPr>
        <w:color w:val="FFFFFF" w:themeColor="background1"/>
      </w:rPr>
      <w:tblPr/>
      <w:tcPr>
        <w:tcBorders>
          <w:top w:val="nil"/>
          <w:left w:val="nil"/>
          <w:bottom w:val="nil"/>
          <w:right w:val="nil"/>
          <w:insideH w:val="single" w:sz="4" w:space="0" w:color="1B3321" w:themeColor="accent6" w:themeShade="99"/>
          <w:insideV w:val="nil"/>
        </w:tcBorders>
        <w:shd w:val="clear" w:color="auto" w:fill="1B332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B3321" w:themeFill="accent6" w:themeFillShade="99"/>
      </w:tcPr>
    </w:tblStylePr>
    <w:tblStylePr w:type="band1Vert">
      <w:tblPr/>
      <w:tcPr>
        <w:shd w:val="clear" w:color="auto" w:fill="9BCBA8" w:themeFill="accent6" w:themeFillTint="66"/>
      </w:tcPr>
    </w:tblStylePr>
    <w:tblStylePr w:type="band1Horz">
      <w:tblPr/>
      <w:tcPr>
        <w:shd w:val="clear" w:color="auto" w:fill="82BE9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9629FA"/>
    <w:rPr>
      <w:rFonts w:asciiTheme="minorHAnsi" w:hAnsiTheme="minorHAnsi" w:cstheme="minorHAnsi"/>
      <w:sz w:val="16"/>
      <w:szCs w:val="16"/>
    </w:rPr>
  </w:style>
  <w:style w:type="paragraph" w:styleId="CommentText">
    <w:name w:val="annotation text"/>
    <w:basedOn w:val="Normal"/>
    <w:link w:val="CommentTextChar"/>
    <w:uiPriority w:val="99"/>
    <w:rsid w:val="009629FA"/>
    <w:pPr>
      <w:spacing w:line="240" w:lineRule="auto"/>
    </w:pPr>
  </w:style>
  <w:style w:type="character" w:customStyle="1" w:styleId="CommentTextChar">
    <w:name w:val="Comment Text Char"/>
    <w:basedOn w:val="DefaultParagraphFont"/>
    <w:link w:val="CommentText"/>
    <w:uiPriority w:val="99"/>
    <w:rsid w:val="009629FA"/>
    <w:rPr>
      <w:rFonts w:asciiTheme="minorHAnsi" w:eastAsia="MS Mincho" w:hAnsiTheme="minorHAnsi"/>
      <w:color w:val="000000" w:themeColor="text1"/>
      <w:sz w:val="22"/>
      <w:lang w:val="en-AU" w:eastAsia="ja-JP"/>
    </w:rPr>
  </w:style>
  <w:style w:type="paragraph" w:styleId="CommentSubject">
    <w:name w:val="annotation subject"/>
    <w:basedOn w:val="CommentText"/>
    <w:next w:val="CommentText"/>
    <w:link w:val="CommentSubjectChar"/>
    <w:uiPriority w:val="99"/>
    <w:semiHidden/>
    <w:rsid w:val="009629FA"/>
    <w:rPr>
      <w:b/>
      <w:bCs/>
    </w:rPr>
  </w:style>
  <w:style w:type="character" w:customStyle="1" w:styleId="CommentSubjectChar">
    <w:name w:val="Comment Subject Char"/>
    <w:basedOn w:val="CommentTextChar"/>
    <w:link w:val="CommentSubject"/>
    <w:uiPriority w:val="99"/>
    <w:semiHidden/>
    <w:rsid w:val="009629FA"/>
    <w:rPr>
      <w:rFonts w:asciiTheme="minorHAnsi" w:eastAsia="MS Mincho" w:hAnsiTheme="minorHAnsi"/>
      <w:b/>
      <w:bCs/>
      <w:color w:val="000000" w:themeColor="text1"/>
      <w:sz w:val="22"/>
      <w:lang w:val="en-AU" w:eastAsia="ja-JP"/>
    </w:rPr>
  </w:style>
  <w:style w:type="table" w:styleId="DarkList">
    <w:name w:val="Dark List"/>
    <w:basedOn w:val="TableNormal"/>
    <w:uiPriority w:val="98"/>
    <w:rsid w:val="009629FA"/>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9629FA"/>
    <w:rPr>
      <w:color w:val="FFFFFF" w:themeColor="background1"/>
    </w:rPr>
    <w:tblPr>
      <w:tblStyleRowBandSize w:val="1"/>
      <w:tblStyleColBandSize w:val="1"/>
    </w:tblPr>
    <w:tcPr>
      <w:shd w:val="clear" w:color="auto" w:fill="6CBBA8" w:themeFill="accent1"/>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E645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596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59683" w:themeFill="accent1" w:themeFillShade="BF"/>
      </w:tcPr>
    </w:tblStylePr>
    <w:tblStylePr w:type="band1Vert">
      <w:tblPr/>
      <w:tcPr>
        <w:tcBorders>
          <w:top w:val="nil"/>
          <w:left w:val="nil"/>
          <w:bottom w:val="nil"/>
          <w:right w:val="nil"/>
          <w:insideH w:val="nil"/>
          <w:insideV w:val="nil"/>
        </w:tcBorders>
        <w:shd w:val="clear" w:color="auto" w:fill="459683" w:themeFill="accent1" w:themeFillShade="BF"/>
      </w:tcPr>
    </w:tblStylePr>
    <w:tblStylePr w:type="band1Horz">
      <w:tblPr/>
      <w:tcPr>
        <w:tcBorders>
          <w:top w:val="nil"/>
          <w:left w:val="nil"/>
          <w:bottom w:val="nil"/>
          <w:right w:val="nil"/>
          <w:insideH w:val="nil"/>
          <w:insideV w:val="nil"/>
        </w:tcBorders>
        <w:shd w:val="clear" w:color="auto" w:fill="459683" w:themeFill="accent1" w:themeFillShade="BF"/>
      </w:tcPr>
    </w:tblStylePr>
  </w:style>
  <w:style w:type="table" w:styleId="DarkList-Accent2">
    <w:name w:val="Dark List Accent 2"/>
    <w:basedOn w:val="TableNormal"/>
    <w:uiPriority w:val="98"/>
    <w:rsid w:val="009629FA"/>
    <w:rPr>
      <w:color w:val="FFFFFF" w:themeColor="background1"/>
    </w:rPr>
    <w:tblPr>
      <w:tblStyleRowBandSize w:val="1"/>
      <w:tblStyleColBandSize w:val="1"/>
    </w:tblPr>
    <w:tcPr>
      <w:shd w:val="clear" w:color="auto" w:fill="2A3759" w:themeFill="accent2"/>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1B2C"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F294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F2942" w:themeFill="accent2" w:themeFillShade="BF"/>
      </w:tcPr>
    </w:tblStylePr>
    <w:tblStylePr w:type="band1Vert">
      <w:tblPr/>
      <w:tcPr>
        <w:tcBorders>
          <w:top w:val="nil"/>
          <w:left w:val="nil"/>
          <w:bottom w:val="nil"/>
          <w:right w:val="nil"/>
          <w:insideH w:val="nil"/>
          <w:insideV w:val="nil"/>
        </w:tcBorders>
        <w:shd w:val="clear" w:color="auto" w:fill="1F2942" w:themeFill="accent2" w:themeFillShade="BF"/>
      </w:tcPr>
    </w:tblStylePr>
    <w:tblStylePr w:type="band1Horz">
      <w:tblPr/>
      <w:tcPr>
        <w:tcBorders>
          <w:top w:val="nil"/>
          <w:left w:val="nil"/>
          <w:bottom w:val="nil"/>
          <w:right w:val="nil"/>
          <w:insideH w:val="nil"/>
          <w:insideV w:val="nil"/>
        </w:tcBorders>
        <w:shd w:val="clear" w:color="auto" w:fill="1F2942" w:themeFill="accent2" w:themeFillShade="BF"/>
      </w:tcPr>
    </w:tblStylePr>
  </w:style>
  <w:style w:type="table" w:styleId="DarkList-Accent3">
    <w:name w:val="Dark List Accent 3"/>
    <w:basedOn w:val="TableNormal"/>
    <w:uiPriority w:val="98"/>
    <w:rsid w:val="009629FA"/>
    <w:rPr>
      <w:color w:val="FFFFFF" w:themeColor="background1"/>
    </w:rPr>
    <w:tblPr>
      <w:tblStyleRowBandSize w:val="1"/>
      <w:tblStyleColBandSize w:val="1"/>
    </w:tblPr>
    <w:tcPr>
      <w:shd w:val="clear" w:color="auto" w:fill="81BD00" w:themeFill="accent3"/>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5E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08D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08D00" w:themeFill="accent3" w:themeFillShade="BF"/>
      </w:tcPr>
    </w:tblStylePr>
    <w:tblStylePr w:type="band1Vert">
      <w:tblPr/>
      <w:tcPr>
        <w:tcBorders>
          <w:top w:val="nil"/>
          <w:left w:val="nil"/>
          <w:bottom w:val="nil"/>
          <w:right w:val="nil"/>
          <w:insideH w:val="nil"/>
          <w:insideV w:val="nil"/>
        </w:tcBorders>
        <w:shd w:val="clear" w:color="auto" w:fill="608D00" w:themeFill="accent3" w:themeFillShade="BF"/>
      </w:tcPr>
    </w:tblStylePr>
    <w:tblStylePr w:type="band1Horz">
      <w:tblPr/>
      <w:tcPr>
        <w:tcBorders>
          <w:top w:val="nil"/>
          <w:left w:val="nil"/>
          <w:bottom w:val="nil"/>
          <w:right w:val="nil"/>
          <w:insideH w:val="nil"/>
          <w:insideV w:val="nil"/>
        </w:tcBorders>
        <w:shd w:val="clear" w:color="auto" w:fill="608D00" w:themeFill="accent3" w:themeFillShade="BF"/>
      </w:tcPr>
    </w:tblStylePr>
  </w:style>
  <w:style w:type="table" w:styleId="DarkList-Accent4">
    <w:name w:val="Dark List Accent 4"/>
    <w:basedOn w:val="TableNormal"/>
    <w:uiPriority w:val="98"/>
    <w:rsid w:val="009629FA"/>
    <w:rPr>
      <w:color w:val="FFFFFF" w:themeColor="background1"/>
    </w:rPr>
    <w:tblPr>
      <w:tblStyleRowBandSize w:val="1"/>
      <w:tblStyleColBandSize w:val="1"/>
    </w:tblPr>
    <w:tcPr>
      <w:shd w:val="clear" w:color="auto" w:fill="D1BEBA" w:themeFill="accent4"/>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6554E"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857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857E" w:themeFill="accent4" w:themeFillShade="BF"/>
      </w:tcPr>
    </w:tblStylePr>
    <w:tblStylePr w:type="band1Vert">
      <w:tblPr/>
      <w:tcPr>
        <w:tcBorders>
          <w:top w:val="nil"/>
          <w:left w:val="nil"/>
          <w:bottom w:val="nil"/>
          <w:right w:val="nil"/>
          <w:insideH w:val="nil"/>
          <w:insideV w:val="nil"/>
        </w:tcBorders>
        <w:shd w:val="clear" w:color="auto" w:fill="A9857E" w:themeFill="accent4" w:themeFillShade="BF"/>
      </w:tcPr>
    </w:tblStylePr>
    <w:tblStylePr w:type="band1Horz">
      <w:tblPr/>
      <w:tcPr>
        <w:tcBorders>
          <w:top w:val="nil"/>
          <w:left w:val="nil"/>
          <w:bottom w:val="nil"/>
          <w:right w:val="nil"/>
          <w:insideH w:val="nil"/>
          <w:insideV w:val="nil"/>
        </w:tcBorders>
        <w:shd w:val="clear" w:color="auto" w:fill="A9857E" w:themeFill="accent4" w:themeFillShade="BF"/>
      </w:tcPr>
    </w:tblStylePr>
  </w:style>
  <w:style w:type="table" w:styleId="DarkList-Accent5">
    <w:name w:val="Dark List Accent 5"/>
    <w:basedOn w:val="TableNormal"/>
    <w:uiPriority w:val="98"/>
    <w:rsid w:val="009629FA"/>
    <w:rPr>
      <w:color w:val="FFFFFF" w:themeColor="background1"/>
    </w:rPr>
    <w:tblPr>
      <w:tblStyleRowBandSize w:val="1"/>
      <w:tblStyleColBandSize w:val="1"/>
    </w:tblPr>
    <w:tcPr>
      <w:shd w:val="clear" w:color="auto" w:fill="004E5C" w:themeFill="accent5"/>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62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3A4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3A44" w:themeFill="accent5" w:themeFillShade="BF"/>
      </w:tcPr>
    </w:tblStylePr>
    <w:tblStylePr w:type="band1Vert">
      <w:tblPr/>
      <w:tcPr>
        <w:tcBorders>
          <w:top w:val="nil"/>
          <w:left w:val="nil"/>
          <w:bottom w:val="nil"/>
          <w:right w:val="nil"/>
          <w:insideH w:val="nil"/>
          <w:insideV w:val="nil"/>
        </w:tcBorders>
        <w:shd w:val="clear" w:color="auto" w:fill="003A44" w:themeFill="accent5" w:themeFillShade="BF"/>
      </w:tcPr>
    </w:tblStylePr>
    <w:tblStylePr w:type="band1Horz">
      <w:tblPr/>
      <w:tcPr>
        <w:tcBorders>
          <w:top w:val="nil"/>
          <w:left w:val="nil"/>
          <w:bottom w:val="nil"/>
          <w:right w:val="nil"/>
          <w:insideH w:val="nil"/>
          <w:insideV w:val="nil"/>
        </w:tcBorders>
        <w:shd w:val="clear" w:color="auto" w:fill="003A44" w:themeFill="accent5" w:themeFillShade="BF"/>
      </w:tcPr>
    </w:tblStylePr>
  </w:style>
  <w:style w:type="table" w:styleId="DarkList-Accent6">
    <w:name w:val="Dark List Accent 6"/>
    <w:basedOn w:val="TableNormal"/>
    <w:uiPriority w:val="98"/>
    <w:rsid w:val="009629FA"/>
    <w:rPr>
      <w:color w:val="FFFFFF" w:themeColor="background1"/>
    </w:rPr>
    <w:tblPr>
      <w:tblStyleRowBandSize w:val="1"/>
      <w:tblStyleColBandSize w:val="1"/>
    </w:tblPr>
    <w:tcPr>
      <w:shd w:val="clear" w:color="auto" w:fill="2D5638" w:themeFill="accent6"/>
      <w:tcMar>
        <w:top w:w="57" w:type="dxa"/>
        <w:left w:w="57" w:type="dxa"/>
        <w:bottom w:w="57" w:type="dxa"/>
        <w:right w:w="57" w:type="dxa"/>
      </w:tcMar>
    </w:tcPr>
    <w:tblStylePr w:type="firstRow">
      <w:rPr>
        <w:rFonts w:asciiTheme="majorHAnsi" w:hAnsiTheme="majorHAnsi" w:cs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62A1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21402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214029" w:themeFill="accent6" w:themeFillShade="BF"/>
      </w:tcPr>
    </w:tblStylePr>
    <w:tblStylePr w:type="band1Vert">
      <w:tblPr/>
      <w:tcPr>
        <w:tcBorders>
          <w:top w:val="nil"/>
          <w:left w:val="nil"/>
          <w:bottom w:val="nil"/>
          <w:right w:val="nil"/>
          <w:insideH w:val="nil"/>
          <w:insideV w:val="nil"/>
        </w:tcBorders>
        <w:shd w:val="clear" w:color="auto" w:fill="214029" w:themeFill="accent6" w:themeFillShade="BF"/>
      </w:tcPr>
    </w:tblStylePr>
    <w:tblStylePr w:type="band1Horz">
      <w:tblPr/>
      <w:tcPr>
        <w:tcBorders>
          <w:top w:val="nil"/>
          <w:left w:val="nil"/>
          <w:bottom w:val="nil"/>
          <w:right w:val="nil"/>
          <w:insideH w:val="nil"/>
          <w:insideV w:val="nil"/>
        </w:tcBorders>
        <w:shd w:val="clear" w:color="auto" w:fill="214029" w:themeFill="accent6" w:themeFillShade="BF"/>
      </w:tcPr>
    </w:tblStylePr>
  </w:style>
  <w:style w:type="paragraph" w:customStyle="1" w:styleId="TableHeading">
    <w:name w:val="Table Heading"/>
    <w:basedOn w:val="TableText"/>
    <w:uiPriority w:val="6"/>
    <w:qFormat/>
    <w:rsid w:val="007E36DA"/>
    <w:rPr>
      <w:b/>
      <w:color w:val="FFFFFF"/>
    </w:rPr>
  </w:style>
  <w:style w:type="paragraph" w:styleId="DocumentMap">
    <w:name w:val="Document Map"/>
    <w:basedOn w:val="Normal"/>
    <w:link w:val="DocumentMapChar"/>
    <w:uiPriority w:val="97"/>
    <w:semiHidden/>
    <w:rsid w:val="009629FA"/>
    <w:pPr>
      <w:spacing w:after="0" w:line="240" w:lineRule="auto"/>
    </w:pPr>
    <w:rPr>
      <w:sz w:val="16"/>
      <w:szCs w:val="16"/>
    </w:rPr>
  </w:style>
  <w:style w:type="character" w:customStyle="1" w:styleId="DocumentMapChar">
    <w:name w:val="Document Map Char"/>
    <w:basedOn w:val="DefaultParagraphFont"/>
    <w:link w:val="DocumentMap"/>
    <w:uiPriority w:val="97"/>
    <w:semiHidden/>
    <w:rsid w:val="009629FA"/>
    <w:rPr>
      <w:rFonts w:asciiTheme="minorHAnsi" w:eastAsia="MS Mincho" w:hAnsiTheme="minorHAnsi"/>
      <w:color w:val="000000" w:themeColor="text1"/>
      <w:sz w:val="16"/>
      <w:szCs w:val="16"/>
      <w:lang w:val="en-AU" w:eastAsia="ja-JP"/>
    </w:rPr>
  </w:style>
  <w:style w:type="paragraph" w:styleId="E-mailSignature">
    <w:name w:val="E-mail Signature"/>
    <w:basedOn w:val="Normal"/>
    <w:link w:val="E-mailSignatureChar"/>
    <w:uiPriority w:val="97"/>
    <w:semiHidden/>
    <w:rsid w:val="009629FA"/>
    <w:pPr>
      <w:spacing w:after="0" w:line="240" w:lineRule="auto"/>
    </w:pPr>
  </w:style>
  <w:style w:type="character" w:customStyle="1" w:styleId="E-mailSignatureChar">
    <w:name w:val="E-mail Signature Char"/>
    <w:basedOn w:val="DefaultParagraphFont"/>
    <w:link w:val="E-mailSignature"/>
    <w:uiPriority w:val="97"/>
    <w:semiHidden/>
    <w:rsid w:val="009629FA"/>
    <w:rPr>
      <w:rFonts w:asciiTheme="minorHAnsi" w:eastAsia="MS Mincho" w:hAnsiTheme="minorHAnsi"/>
      <w:color w:val="000000" w:themeColor="text1"/>
      <w:sz w:val="22"/>
      <w:lang w:val="en-AU" w:eastAsia="ja-JP"/>
    </w:rPr>
  </w:style>
  <w:style w:type="character" w:styleId="Emphasis">
    <w:name w:val="Emphasis"/>
    <w:basedOn w:val="DefaultParagraphFont"/>
    <w:uiPriority w:val="20"/>
    <w:qFormat/>
    <w:rsid w:val="009629FA"/>
    <w:rPr>
      <w:rFonts w:asciiTheme="minorHAnsi" w:hAnsiTheme="minorHAnsi" w:cstheme="minorHAnsi"/>
      <w:i/>
      <w:iCs/>
    </w:rPr>
  </w:style>
  <w:style w:type="character" w:styleId="EndnoteReference">
    <w:name w:val="endnote reference"/>
    <w:basedOn w:val="DefaultParagraphFont"/>
    <w:uiPriority w:val="97"/>
    <w:semiHidden/>
    <w:rsid w:val="009629FA"/>
    <w:rPr>
      <w:rFonts w:asciiTheme="minorHAnsi" w:hAnsiTheme="minorHAnsi" w:cstheme="minorHAnsi"/>
      <w:vertAlign w:val="superscript"/>
    </w:rPr>
  </w:style>
  <w:style w:type="paragraph" w:styleId="EndnoteText">
    <w:name w:val="endnote text"/>
    <w:basedOn w:val="Normal"/>
    <w:link w:val="EndnoteTextChar"/>
    <w:uiPriority w:val="97"/>
    <w:semiHidden/>
    <w:rsid w:val="009629FA"/>
    <w:pPr>
      <w:spacing w:after="0" w:line="240" w:lineRule="auto"/>
    </w:pPr>
  </w:style>
  <w:style w:type="character" w:customStyle="1" w:styleId="EndnoteTextChar">
    <w:name w:val="Endnote Text Char"/>
    <w:basedOn w:val="DefaultParagraphFont"/>
    <w:link w:val="EndnoteText"/>
    <w:uiPriority w:val="97"/>
    <w:semiHidden/>
    <w:rsid w:val="009629FA"/>
    <w:rPr>
      <w:rFonts w:asciiTheme="minorHAnsi" w:eastAsia="MS Mincho" w:hAnsiTheme="minorHAnsi"/>
      <w:color w:val="000000" w:themeColor="text1"/>
      <w:sz w:val="22"/>
      <w:lang w:val="en-AU" w:eastAsia="ja-JP"/>
    </w:rPr>
  </w:style>
  <w:style w:type="paragraph" w:styleId="EnvelopeAddress">
    <w:name w:val="envelope address"/>
    <w:basedOn w:val="Normal"/>
    <w:uiPriority w:val="97"/>
    <w:semiHidden/>
    <w:rsid w:val="009629FA"/>
    <w:pPr>
      <w:framePr w:w="7920" w:h="1980" w:hRule="exact" w:hSpace="180" w:wrap="auto" w:hAnchor="page" w:xAlign="center" w:yAlign="bottom"/>
      <w:spacing w:after="0" w:line="240" w:lineRule="auto"/>
      <w:ind w:left="2880"/>
    </w:pPr>
    <w:rPr>
      <w:rFonts w:eastAsiaTheme="majorEastAsia"/>
    </w:rPr>
  </w:style>
  <w:style w:type="paragraph" w:styleId="EnvelopeReturn">
    <w:name w:val="envelope return"/>
    <w:basedOn w:val="Normal"/>
    <w:uiPriority w:val="97"/>
    <w:semiHidden/>
    <w:rsid w:val="009629FA"/>
    <w:pPr>
      <w:spacing w:after="0" w:line="240" w:lineRule="auto"/>
    </w:pPr>
    <w:rPr>
      <w:rFonts w:eastAsiaTheme="majorEastAsia"/>
    </w:rPr>
  </w:style>
  <w:style w:type="character" w:styleId="FollowedHyperlink">
    <w:name w:val="FollowedHyperlink"/>
    <w:basedOn w:val="DefaultParagraphFont"/>
    <w:uiPriority w:val="99"/>
    <w:semiHidden/>
    <w:rsid w:val="009629FA"/>
    <w:rPr>
      <w:rFonts w:asciiTheme="minorHAnsi" w:hAnsiTheme="minorHAnsi" w:cstheme="minorHAnsi"/>
      <w:color w:val="2A3759" w:themeColor="followedHyperlink"/>
      <w:u w:val="single"/>
    </w:rPr>
  </w:style>
  <w:style w:type="character" w:styleId="FootnoteReference">
    <w:name w:val="footnote reference"/>
    <w:basedOn w:val="DefaultParagraphFont"/>
    <w:uiPriority w:val="99"/>
    <w:semiHidden/>
    <w:rsid w:val="009629FA"/>
    <w:rPr>
      <w:rFonts w:asciiTheme="minorHAnsi" w:hAnsiTheme="minorHAnsi" w:cstheme="minorHAnsi"/>
      <w:vertAlign w:val="superscript"/>
    </w:rPr>
  </w:style>
  <w:style w:type="character" w:styleId="HTMLAcronym">
    <w:name w:val="HTML Acronym"/>
    <w:basedOn w:val="DefaultParagraphFont"/>
    <w:uiPriority w:val="97"/>
    <w:semiHidden/>
    <w:rsid w:val="009629FA"/>
    <w:rPr>
      <w:rFonts w:asciiTheme="minorHAnsi" w:hAnsiTheme="minorHAnsi" w:cstheme="minorHAnsi"/>
    </w:rPr>
  </w:style>
  <w:style w:type="paragraph" w:styleId="HTMLAddress">
    <w:name w:val="HTML Address"/>
    <w:basedOn w:val="Normal"/>
    <w:link w:val="HTMLAddressChar"/>
    <w:uiPriority w:val="97"/>
    <w:semiHidden/>
    <w:rsid w:val="009629FA"/>
    <w:pPr>
      <w:spacing w:after="0" w:line="240" w:lineRule="auto"/>
    </w:pPr>
    <w:rPr>
      <w:i/>
      <w:iCs/>
    </w:rPr>
  </w:style>
  <w:style w:type="character" w:customStyle="1" w:styleId="HTMLAddressChar">
    <w:name w:val="HTML Address Char"/>
    <w:basedOn w:val="DefaultParagraphFont"/>
    <w:link w:val="HTMLAddress"/>
    <w:uiPriority w:val="97"/>
    <w:semiHidden/>
    <w:rsid w:val="009629FA"/>
    <w:rPr>
      <w:rFonts w:asciiTheme="minorHAnsi" w:eastAsia="MS Mincho" w:hAnsiTheme="minorHAnsi"/>
      <w:i/>
      <w:iCs/>
      <w:color w:val="000000" w:themeColor="text1"/>
      <w:sz w:val="22"/>
      <w:lang w:val="en-AU" w:eastAsia="ja-JP"/>
    </w:rPr>
  </w:style>
  <w:style w:type="character" w:styleId="HTMLCite">
    <w:name w:val="HTML Cite"/>
    <w:basedOn w:val="DefaultParagraphFont"/>
    <w:uiPriority w:val="97"/>
    <w:semiHidden/>
    <w:rsid w:val="009629FA"/>
    <w:rPr>
      <w:rFonts w:asciiTheme="minorHAnsi" w:hAnsiTheme="minorHAnsi" w:cstheme="minorHAnsi"/>
      <w:i/>
      <w:iCs/>
    </w:rPr>
  </w:style>
  <w:style w:type="character" w:styleId="HTMLCode">
    <w:name w:val="HTML Code"/>
    <w:basedOn w:val="DefaultParagraphFont"/>
    <w:uiPriority w:val="97"/>
    <w:semiHidden/>
    <w:rsid w:val="009629FA"/>
    <w:rPr>
      <w:rFonts w:ascii="Consolas" w:hAnsi="Consolas" w:cs="Consolas"/>
      <w:sz w:val="20"/>
      <w:szCs w:val="20"/>
    </w:rPr>
  </w:style>
  <w:style w:type="character" w:styleId="HTMLDefinition">
    <w:name w:val="HTML Definition"/>
    <w:basedOn w:val="DefaultParagraphFont"/>
    <w:uiPriority w:val="97"/>
    <w:semiHidden/>
    <w:rsid w:val="009629FA"/>
    <w:rPr>
      <w:rFonts w:asciiTheme="minorHAnsi" w:hAnsiTheme="minorHAnsi" w:cstheme="minorHAnsi"/>
      <w:i/>
      <w:iCs/>
    </w:rPr>
  </w:style>
  <w:style w:type="character" w:styleId="HTMLKeyboard">
    <w:name w:val="HTML Keyboard"/>
    <w:basedOn w:val="DefaultParagraphFont"/>
    <w:uiPriority w:val="97"/>
    <w:semiHidden/>
    <w:rsid w:val="009629FA"/>
    <w:rPr>
      <w:rFonts w:ascii="Consolas" w:hAnsi="Consolas" w:cs="Consolas"/>
      <w:sz w:val="20"/>
      <w:szCs w:val="20"/>
    </w:rPr>
  </w:style>
  <w:style w:type="paragraph" w:styleId="HTMLPreformatted">
    <w:name w:val="HTML Preformatted"/>
    <w:basedOn w:val="Normal"/>
    <w:link w:val="HTMLPreformattedChar"/>
    <w:uiPriority w:val="97"/>
    <w:semiHidden/>
    <w:rsid w:val="009629FA"/>
    <w:pPr>
      <w:spacing w:after="0" w:line="240" w:lineRule="auto"/>
    </w:pPr>
  </w:style>
  <w:style w:type="character" w:customStyle="1" w:styleId="HTMLPreformattedChar">
    <w:name w:val="HTML Preformatted Char"/>
    <w:basedOn w:val="DefaultParagraphFont"/>
    <w:link w:val="HTMLPreformatted"/>
    <w:uiPriority w:val="97"/>
    <w:semiHidden/>
    <w:rsid w:val="009629FA"/>
    <w:rPr>
      <w:rFonts w:asciiTheme="minorHAnsi" w:eastAsia="MS Mincho" w:hAnsiTheme="minorHAnsi"/>
      <w:color w:val="000000" w:themeColor="text1"/>
      <w:sz w:val="22"/>
      <w:lang w:val="en-AU" w:eastAsia="ja-JP"/>
    </w:rPr>
  </w:style>
  <w:style w:type="character" w:styleId="HTMLSample">
    <w:name w:val="HTML Sample"/>
    <w:basedOn w:val="DefaultParagraphFont"/>
    <w:uiPriority w:val="97"/>
    <w:semiHidden/>
    <w:rsid w:val="009629FA"/>
    <w:rPr>
      <w:rFonts w:ascii="Consolas" w:hAnsi="Consolas" w:cs="Consolas"/>
      <w:sz w:val="24"/>
      <w:szCs w:val="24"/>
    </w:rPr>
  </w:style>
  <w:style w:type="character" w:styleId="HTMLTypewriter">
    <w:name w:val="HTML Typewriter"/>
    <w:basedOn w:val="DefaultParagraphFont"/>
    <w:uiPriority w:val="97"/>
    <w:semiHidden/>
    <w:rsid w:val="009629FA"/>
    <w:rPr>
      <w:rFonts w:ascii="Consolas" w:hAnsi="Consolas" w:cs="Consolas"/>
      <w:sz w:val="20"/>
      <w:szCs w:val="20"/>
    </w:rPr>
  </w:style>
  <w:style w:type="character" w:styleId="HTMLVariable">
    <w:name w:val="HTML Variable"/>
    <w:basedOn w:val="DefaultParagraphFont"/>
    <w:uiPriority w:val="97"/>
    <w:semiHidden/>
    <w:rsid w:val="009629FA"/>
    <w:rPr>
      <w:rFonts w:asciiTheme="minorHAnsi" w:hAnsiTheme="minorHAnsi" w:cstheme="minorHAnsi"/>
      <w:i/>
      <w:iCs/>
    </w:rPr>
  </w:style>
  <w:style w:type="character" w:styleId="Hyperlink">
    <w:name w:val="Hyperlink"/>
    <w:basedOn w:val="DefaultParagraphFont"/>
    <w:uiPriority w:val="99"/>
    <w:rsid w:val="009629FA"/>
    <w:rPr>
      <w:rFonts w:asciiTheme="minorHAnsi" w:hAnsiTheme="minorHAnsi" w:cstheme="minorHAnsi"/>
      <w:color w:val="004E5C" w:themeColor="hyperlink"/>
      <w:u w:val="single"/>
    </w:rPr>
  </w:style>
  <w:style w:type="paragraph" w:styleId="Index1">
    <w:name w:val="index 1"/>
    <w:basedOn w:val="Normal"/>
    <w:next w:val="Normal"/>
    <w:autoRedefine/>
    <w:uiPriority w:val="97"/>
    <w:semiHidden/>
    <w:rsid w:val="009629FA"/>
    <w:pPr>
      <w:spacing w:after="0" w:line="240" w:lineRule="auto"/>
      <w:ind w:left="200" w:hanging="200"/>
    </w:pPr>
  </w:style>
  <w:style w:type="paragraph" w:styleId="Index2">
    <w:name w:val="index 2"/>
    <w:basedOn w:val="Normal"/>
    <w:next w:val="Normal"/>
    <w:autoRedefine/>
    <w:uiPriority w:val="97"/>
    <w:semiHidden/>
    <w:rsid w:val="009629FA"/>
    <w:pPr>
      <w:spacing w:after="0" w:line="240" w:lineRule="auto"/>
      <w:ind w:left="400" w:hanging="200"/>
    </w:pPr>
  </w:style>
  <w:style w:type="paragraph" w:styleId="Index3">
    <w:name w:val="index 3"/>
    <w:basedOn w:val="Normal"/>
    <w:next w:val="Normal"/>
    <w:autoRedefine/>
    <w:uiPriority w:val="97"/>
    <w:semiHidden/>
    <w:rsid w:val="009629FA"/>
    <w:pPr>
      <w:spacing w:after="0" w:line="240" w:lineRule="auto"/>
      <w:ind w:left="600" w:hanging="200"/>
    </w:pPr>
  </w:style>
  <w:style w:type="paragraph" w:styleId="Index4">
    <w:name w:val="index 4"/>
    <w:basedOn w:val="Normal"/>
    <w:next w:val="Normal"/>
    <w:autoRedefine/>
    <w:uiPriority w:val="97"/>
    <w:semiHidden/>
    <w:rsid w:val="009629FA"/>
    <w:pPr>
      <w:spacing w:after="0" w:line="240" w:lineRule="auto"/>
      <w:ind w:left="800" w:hanging="200"/>
    </w:pPr>
  </w:style>
  <w:style w:type="paragraph" w:styleId="Index5">
    <w:name w:val="index 5"/>
    <w:basedOn w:val="Normal"/>
    <w:next w:val="Normal"/>
    <w:autoRedefine/>
    <w:uiPriority w:val="97"/>
    <w:semiHidden/>
    <w:rsid w:val="009629FA"/>
    <w:pPr>
      <w:spacing w:after="0" w:line="240" w:lineRule="auto"/>
      <w:ind w:left="1000" w:hanging="200"/>
    </w:pPr>
  </w:style>
  <w:style w:type="paragraph" w:styleId="Index6">
    <w:name w:val="index 6"/>
    <w:basedOn w:val="Normal"/>
    <w:next w:val="Normal"/>
    <w:autoRedefine/>
    <w:uiPriority w:val="97"/>
    <w:semiHidden/>
    <w:rsid w:val="009629FA"/>
    <w:pPr>
      <w:spacing w:after="0" w:line="240" w:lineRule="auto"/>
      <w:ind w:left="1200" w:hanging="200"/>
    </w:pPr>
  </w:style>
  <w:style w:type="paragraph" w:styleId="Index7">
    <w:name w:val="index 7"/>
    <w:basedOn w:val="Normal"/>
    <w:next w:val="Normal"/>
    <w:autoRedefine/>
    <w:uiPriority w:val="97"/>
    <w:semiHidden/>
    <w:rsid w:val="009629FA"/>
    <w:pPr>
      <w:spacing w:after="0" w:line="240" w:lineRule="auto"/>
      <w:ind w:left="1400" w:hanging="200"/>
    </w:pPr>
  </w:style>
  <w:style w:type="paragraph" w:styleId="Index8">
    <w:name w:val="index 8"/>
    <w:basedOn w:val="Normal"/>
    <w:next w:val="Normal"/>
    <w:autoRedefine/>
    <w:uiPriority w:val="97"/>
    <w:semiHidden/>
    <w:rsid w:val="009629FA"/>
    <w:pPr>
      <w:spacing w:after="0" w:line="240" w:lineRule="auto"/>
      <w:ind w:left="1600" w:hanging="200"/>
    </w:pPr>
  </w:style>
  <w:style w:type="paragraph" w:styleId="Index9">
    <w:name w:val="index 9"/>
    <w:basedOn w:val="Normal"/>
    <w:next w:val="Normal"/>
    <w:autoRedefine/>
    <w:uiPriority w:val="97"/>
    <w:semiHidden/>
    <w:rsid w:val="009629FA"/>
    <w:pPr>
      <w:spacing w:after="0" w:line="240" w:lineRule="auto"/>
      <w:ind w:left="1800" w:hanging="200"/>
    </w:pPr>
  </w:style>
  <w:style w:type="paragraph" w:styleId="IndexHeading">
    <w:name w:val="index heading"/>
    <w:basedOn w:val="Normal"/>
    <w:next w:val="Index1"/>
    <w:uiPriority w:val="97"/>
    <w:semiHidden/>
    <w:rsid w:val="009629FA"/>
    <w:rPr>
      <w:rFonts w:asciiTheme="majorHAnsi" w:eastAsiaTheme="majorEastAsia" w:hAnsiTheme="majorHAnsi" w:cstheme="majorHAnsi"/>
      <w:b/>
      <w:bCs/>
    </w:rPr>
  </w:style>
  <w:style w:type="character" w:styleId="IntenseEmphasis">
    <w:name w:val="Intense Emphasis"/>
    <w:basedOn w:val="DefaultParagraphFont"/>
    <w:uiPriority w:val="97"/>
    <w:semiHidden/>
    <w:rsid w:val="009629FA"/>
    <w:rPr>
      <w:rFonts w:asciiTheme="minorHAnsi" w:hAnsiTheme="minorHAnsi" w:cstheme="minorHAnsi"/>
      <w:b/>
      <w:bCs/>
      <w:i/>
      <w:iCs/>
      <w:color w:val="6CBBA8" w:themeColor="accent1"/>
    </w:rPr>
  </w:style>
  <w:style w:type="paragraph" w:styleId="IntenseQuote">
    <w:name w:val="Intense Quote"/>
    <w:basedOn w:val="Normal"/>
    <w:next w:val="Normal"/>
    <w:link w:val="IntenseQuoteChar"/>
    <w:uiPriority w:val="97"/>
    <w:semiHidden/>
    <w:rsid w:val="009629FA"/>
    <w:pPr>
      <w:pBdr>
        <w:bottom w:val="single" w:sz="4" w:space="4" w:color="6CBBA8" w:themeColor="accent1"/>
      </w:pBdr>
      <w:spacing w:before="200" w:after="280"/>
      <w:ind w:left="936" w:right="936"/>
    </w:pPr>
    <w:rPr>
      <w:b/>
      <w:bCs/>
      <w:i/>
      <w:iCs/>
      <w:color w:val="6CBBA8" w:themeColor="accent1"/>
    </w:rPr>
  </w:style>
  <w:style w:type="character" w:customStyle="1" w:styleId="IntenseQuoteChar">
    <w:name w:val="Intense Quote Char"/>
    <w:basedOn w:val="DefaultParagraphFont"/>
    <w:link w:val="IntenseQuote"/>
    <w:uiPriority w:val="97"/>
    <w:semiHidden/>
    <w:rsid w:val="009629FA"/>
    <w:rPr>
      <w:rFonts w:asciiTheme="minorHAnsi" w:eastAsia="MS Mincho" w:hAnsiTheme="minorHAnsi"/>
      <w:b/>
      <w:bCs/>
      <w:i/>
      <w:iCs/>
      <w:color w:val="6CBBA8" w:themeColor="accent1"/>
      <w:sz w:val="22"/>
      <w:lang w:val="en-AU" w:eastAsia="ja-JP"/>
    </w:rPr>
  </w:style>
  <w:style w:type="character" w:styleId="IntenseReference">
    <w:name w:val="Intense Reference"/>
    <w:basedOn w:val="DefaultParagraphFont"/>
    <w:uiPriority w:val="97"/>
    <w:semiHidden/>
    <w:rsid w:val="009629FA"/>
    <w:rPr>
      <w:rFonts w:asciiTheme="minorHAnsi" w:hAnsiTheme="minorHAnsi" w:cstheme="minorHAnsi"/>
      <w:b/>
      <w:bCs/>
      <w:smallCaps/>
      <w:color w:val="2A3759" w:themeColor="accent2"/>
      <w:spacing w:val="5"/>
      <w:u w:val="single"/>
    </w:rPr>
  </w:style>
  <w:style w:type="table" w:styleId="LightGrid">
    <w:name w:val="Light Grid"/>
    <w:basedOn w:val="TableNormal"/>
    <w:uiPriority w:val="98"/>
    <w:rsid w:val="009629F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9629FA"/>
    <w:tblPr>
      <w:tblStyleRowBandSize w:val="1"/>
      <w:tblStyleColBandSize w:val="1"/>
      <w:tblBorders>
        <w:top w:val="single" w:sz="8" w:space="0" w:color="6CBBA8" w:themeColor="accent1"/>
        <w:left w:val="single" w:sz="8" w:space="0" w:color="6CBBA8" w:themeColor="accent1"/>
        <w:bottom w:val="single" w:sz="8" w:space="0" w:color="6CBBA8" w:themeColor="accent1"/>
        <w:right w:val="single" w:sz="8" w:space="0" w:color="6CBBA8" w:themeColor="accent1"/>
        <w:insideH w:val="single" w:sz="8" w:space="0" w:color="6CBBA8" w:themeColor="accent1"/>
        <w:insideV w:val="single" w:sz="8" w:space="0" w:color="6CBBA8"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6CBBA8" w:themeColor="accent1"/>
          <w:left w:val="single" w:sz="8" w:space="0" w:color="6CBBA8" w:themeColor="accent1"/>
          <w:bottom w:val="single" w:sz="18" w:space="0" w:color="6CBBA8" w:themeColor="accent1"/>
          <w:right w:val="single" w:sz="8" w:space="0" w:color="6CBBA8" w:themeColor="accent1"/>
          <w:insideH w:val="nil"/>
          <w:insideV w:val="single" w:sz="8" w:space="0" w:color="6CBBA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BBA8" w:themeColor="accent1"/>
          <w:left w:val="single" w:sz="8" w:space="0" w:color="6CBBA8" w:themeColor="accent1"/>
          <w:bottom w:val="single" w:sz="8" w:space="0" w:color="6CBBA8" w:themeColor="accent1"/>
          <w:right w:val="single" w:sz="8" w:space="0" w:color="6CBBA8" w:themeColor="accent1"/>
          <w:insideH w:val="nil"/>
          <w:insideV w:val="single" w:sz="8" w:space="0" w:color="6CBBA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BBA8" w:themeColor="accent1"/>
          <w:left w:val="single" w:sz="8" w:space="0" w:color="6CBBA8" w:themeColor="accent1"/>
          <w:bottom w:val="single" w:sz="8" w:space="0" w:color="6CBBA8" w:themeColor="accent1"/>
          <w:right w:val="single" w:sz="8" w:space="0" w:color="6CBBA8" w:themeColor="accent1"/>
        </w:tcBorders>
      </w:tcPr>
    </w:tblStylePr>
    <w:tblStylePr w:type="band1Vert">
      <w:tblPr/>
      <w:tcPr>
        <w:tcBorders>
          <w:top w:val="single" w:sz="8" w:space="0" w:color="6CBBA8" w:themeColor="accent1"/>
          <w:left w:val="single" w:sz="8" w:space="0" w:color="6CBBA8" w:themeColor="accent1"/>
          <w:bottom w:val="single" w:sz="8" w:space="0" w:color="6CBBA8" w:themeColor="accent1"/>
          <w:right w:val="single" w:sz="8" w:space="0" w:color="6CBBA8" w:themeColor="accent1"/>
        </w:tcBorders>
        <w:shd w:val="clear" w:color="auto" w:fill="DAEEE9" w:themeFill="accent1" w:themeFillTint="3F"/>
      </w:tcPr>
    </w:tblStylePr>
    <w:tblStylePr w:type="band1Horz">
      <w:tblPr/>
      <w:tcPr>
        <w:tcBorders>
          <w:top w:val="single" w:sz="8" w:space="0" w:color="6CBBA8" w:themeColor="accent1"/>
          <w:left w:val="single" w:sz="8" w:space="0" w:color="6CBBA8" w:themeColor="accent1"/>
          <w:bottom w:val="single" w:sz="8" w:space="0" w:color="6CBBA8" w:themeColor="accent1"/>
          <w:right w:val="single" w:sz="8" w:space="0" w:color="6CBBA8" w:themeColor="accent1"/>
          <w:insideV w:val="single" w:sz="8" w:space="0" w:color="6CBBA8" w:themeColor="accent1"/>
        </w:tcBorders>
        <w:shd w:val="clear" w:color="auto" w:fill="DAEEE9" w:themeFill="accent1" w:themeFillTint="3F"/>
      </w:tcPr>
    </w:tblStylePr>
    <w:tblStylePr w:type="band2Horz">
      <w:tblPr/>
      <w:tcPr>
        <w:tcBorders>
          <w:top w:val="single" w:sz="8" w:space="0" w:color="6CBBA8" w:themeColor="accent1"/>
          <w:left w:val="single" w:sz="8" w:space="0" w:color="6CBBA8" w:themeColor="accent1"/>
          <w:bottom w:val="single" w:sz="8" w:space="0" w:color="6CBBA8" w:themeColor="accent1"/>
          <w:right w:val="single" w:sz="8" w:space="0" w:color="6CBBA8" w:themeColor="accent1"/>
          <w:insideV w:val="single" w:sz="8" w:space="0" w:color="6CBBA8" w:themeColor="accent1"/>
        </w:tcBorders>
      </w:tcPr>
    </w:tblStylePr>
  </w:style>
  <w:style w:type="table" w:styleId="LightGrid-Accent2">
    <w:name w:val="Light Grid Accent 2"/>
    <w:basedOn w:val="TableNormal"/>
    <w:uiPriority w:val="98"/>
    <w:rsid w:val="009629FA"/>
    <w:tblPr>
      <w:tblStyleRowBandSize w:val="1"/>
      <w:tblStyleColBandSize w:val="1"/>
      <w:tblBorders>
        <w:top w:val="single" w:sz="8" w:space="0" w:color="2A3759" w:themeColor="accent2"/>
        <w:left w:val="single" w:sz="8" w:space="0" w:color="2A3759" w:themeColor="accent2"/>
        <w:bottom w:val="single" w:sz="8" w:space="0" w:color="2A3759" w:themeColor="accent2"/>
        <w:right w:val="single" w:sz="8" w:space="0" w:color="2A3759" w:themeColor="accent2"/>
        <w:insideH w:val="single" w:sz="8" w:space="0" w:color="2A3759" w:themeColor="accent2"/>
        <w:insideV w:val="single" w:sz="8" w:space="0" w:color="2A3759"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2A3759" w:themeColor="accent2"/>
          <w:left w:val="single" w:sz="8" w:space="0" w:color="2A3759" w:themeColor="accent2"/>
          <w:bottom w:val="single" w:sz="18" w:space="0" w:color="2A3759" w:themeColor="accent2"/>
          <w:right w:val="single" w:sz="8" w:space="0" w:color="2A3759" w:themeColor="accent2"/>
          <w:insideH w:val="nil"/>
          <w:insideV w:val="single" w:sz="8" w:space="0" w:color="2A375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A3759" w:themeColor="accent2"/>
          <w:left w:val="single" w:sz="8" w:space="0" w:color="2A3759" w:themeColor="accent2"/>
          <w:bottom w:val="single" w:sz="8" w:space="0" w:color="2A3759" w:themeColor="accent2"/>
          <w:right w:val="single" w:sz="8" w:space="0" w:color="2A3759" w:themeColor="accent2"/>
          <w:insideH w:val="nil"/>
          <w:insideV w:val="single" w:sz="8" w:space="0" w:color="2A375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A3759" w:themeColor="accent2"/>
          <w:left w:val="single" w:sz="8" w:space="0" w:color="2A3759" w:themeColor="accent2"/>
          <w:bottom w:val="single" w:sz="8" w:space="0" w:color="2A3759" w:themeColor="accent2"/>
          <w:right w:val="single" w:sz="8" w:space="0" w:color="2A3759" w:themeColor="accent2"/>
        </w:tcBorders>
      </w:tcPr>
    </w:tblStylePr>
    <w:tblStylePr w:type="band1Vert">
      <w:tblPr/>
      <w:tcPr>
        <w:tcBorders>
          <w:top w:val="single" w:sz="8" w:space="0" w:color="2A3759" w:themeColor="accent2"/>
          <w:left w:val="single" w:sz="8" w:space="0" w:color="2A3759" w:themeColor="accent2"/>
          <w:bottom w:val="single" w:sz="8" w:space="0" w:color="2A3759" w:themeColor="accent2"/>
          <w:right w:val="single" w:sz="8" w:space="0" w:color="2A3759" w:themeColor="accent2"/>
        </w:tcBorders>
        <w:shd w:val="clear" w:color="auto" w:fill="BFC8E1" w:themeFill="accent2" w:themeFillTint="3F"/>
      </w:tcPr>
    </w:tblStylePr>
    <w:tblStylePr w:type="band1Horz">
      <w:tblPr/>
      <w:tcPr>
        <w:tcBorders>
          <w:top w:val="single" w:sz="8" w:space="0" w:color="2A3759" w:themeColor="accent2"/>
          <w:left w:val="single" w:sz="8" w:space="0" w:color="2A3759" w:themeColor="accent2"/>
          <w:bottom w:val="single" w:sz="8" w:space="0" w:color="2A3759" w:themeColor="accent2"/>
          <w:right w:val="single" w:sz="8" w:space="0" w:color="2A3759" w:themeColor="accent2"/>
          <w:insideV w:val="single" w:sz="8" w:space="0" w:color="2A3759" w:themeColor="accent2"/>
        </w:tcBorders>
        <w:shd w:val="clear" w:color="auto" w:fill="BFC8E1" w:themeFill="accent2" w:themeFillTint="3F"/>
      </w:tcPr>
    </w:tblStylePr>
    <w:tblStylePr w:type="band2Horz">
      <w:tblPr/>
      <w:tcPr>
        <w:tcBorders>
          <w:top w:val="single" w:sz="8" w:space="0" w:color="2A3759" w:themeColor="accent2"/>
          <w:left w:val="single" w:sz="8" w:space="0" w:color="2A3759" w:themeColor="accent2"/>
          <w:bottom w:val="single" w:sz="8" w:space="0" w:color="2A3759" w:themeColor="accent2"/>
          <w:right w:val="single" w:sz="8" w:space="0" w:color="2A3759" w:themeColor="accent2"/>
          <w:insideV w:val="single" w:sz="8" w:space="0" w:color="2A3759" w:themeColor="accent2"/>
        </w:tcBorders>
      </w:tcPr>
    </w:tblStylePr>
  </w:style>
  <w:style w:type="table" w:styleId="LightGrid-Accent3">
    <w:name w:val="Light Grid Accent 3"/>
    <w:basedOn w:val="TableNormal"/>
    <w:uiPriority w:val="98"/>
    <w:rsid w:val="009629FA"/>
    <w:tblPr>
      <w:tblStyleRowBandSize w:val="1"/>
      <w:tblStyleColBandSize w:val="1"/>
      <w:tblBorders>
        <w:top w:val="single" w:sz="8" w:space="0" w:color="81BD00" w:themeColor="accent3"/>
        <w:left w:val="single" w:sz="8" w:space="0" w:color="81BD00" w:themeColor="accent3"/>
        <w:bottom w:val="single" w:sz="8" w:space="0" w:color="81BD00" w:themeColor="accent3"/>
        <w:right w:val="single" w:sz="8" w:space="0" w:color="81BD00" w:themeColor="accent3"/>
        <w:insideH w:val="single" w:sz="8" w:space="0" w:color="81BD00" w:themeColor="accent3"/>
        <w:insideV w:val="single" w:sz="8" w:space="0" w:color="81BD00"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81BD00" w:themeColor="accent3"/>
          <w:left w:val="single" w:sz="8" w:space="0" w:color="81BD00" w:themeColor="accent3"/>
          <w:bottom w:val="single" w:sz="18" w:space="0" w:color="81BD00" w:themeColor="accent3"/>
          <w:right w:val="single" w:sz="8" w:space="0" w:color="81BD00" w:themeColor="accent3"/>
          <w:insideH w:val="nil"/>
          <w:insideV w:val="single" w:sz="8" w:space="0" w:color="81BD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1BD00" w:themeColor="accent3"/>
          <w:left w:val="single" w:sz="8" w:space="0" w:color="81BD00" w:themeColor="accent3"/>
          <w:bottom w:val="single" w:sz="8" w:space="0" w:color="81BD00" w:themeColor="accent3"/>
          <w:right w:val="single" w:sz="8" w:space="0" w:color="81BD00" w:themeColor="accent3"/>
          <w:insideH w:val="nil"/>
          <w:insideV w:val="single" w:sz="8" w:space="0" w:color="81BD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1BD00" w:themeColor="accent3"/>
          <w:left w:val="single" w:sz="8" w:space="0" w:color="81BD00" w:themeColor="accent3"/>
          <w:bottom w:val="single" w:sz="8" w:space="0" w:color="81BD00" w:themeColor="accent3"/>
          <w:right w:val="single" w:sz="8" w:space="0" w:color="81BD00" w:themeColor="accent3"/>
        </w:tcBorders>
      </w:tcPr>
    </w:tblStylePr>
    <w:tblStylePr w:type="band1Vert">
      <w:tblPr/>
      <w:tcPr>
        <w:tcBorders>
          <w:top w:val="single" w:sz="8" w:space="0" w:color="81BD00" w:themeColor="accent3"/>
          <w:left w:val="single" w:sz="8" w:space="0" w:color="81BD00" w:themeColor="accent3"/>
          <w:bottom w:val="single" w:sz="8" w:space="0" w:color="81BD00" w:themeColor="accent3"/>
          <w:right w:val="single" w:sz="8" w:space="0" w:color="81BD00" w:themeColor="accent3"/>
        </w:tcBorders>
        <w:shd w:val="clear" w:color="auto" w:fill="E5FFAF" w:themeFill="accent3" w:themeFillTint="3F"/>
      </w:tcPr>
    </w:tblStylePr>
    <w:tblStylePr w:type="band1Horz">
      <w:tblPr/>
      <w:tcPr>
        <w:tcBorders>
          <w:top w:val="single" w:sz="8" w:space="0" w:color="81BD00" w:themeColor="accent3"/>
          <w:left w:val="single" w:sz="8" w:space="0" w:color="81BD00" w:themeColor="accent3"/>
          <w:bottom w:val="single" w:sz="8" w:space="0" w:color="81BD00" w:themeColor="accent3"/>
          <w:right w:val="single" w:sz="8" w:space="0" w:color="81BD00" w:themeColor="accent3"/>
          <w:insideV w:val="single" w:sz="8" w:space="0" w:color="81BD00" w:themeColor="accent3"/>
        </w:tcBorders>
        <w:shd w:val="clear" w:color="auto" w:fill="E5FFAF" w:themeFill="accent3" w:themeFillTint="3F"/>
      </w:tcPr>
    </w:tblStylePr>
    <w:tblStylePr w:type="band2Horz">
      <w:tblPr/>
      <w:tcPr>
        <w:tcBorders>
          <w:top w:val="single" w:sz="8" w:space="0" w:color="81BD00" w:themeColor="accent3"/>
          <w:left w:val="single" w:sz="8" w:space="0" w:color="81BD00" w:themeColor="accent3"/>
          <w:bottom w:val="single" w:sz="8" w:space="0" w:color="81BD00" w:themeColor="accent3"/>
          <w:right w:val="single" w:sz="8" w:space="0" w:color="81BD00" w:themeColor="accent3"/>
          <w:insideV w:val="single" w:sz="8" w:space="0" w:color="81BD00" w:themeColor="accent3"/>
        </w:tcBorders>
      </w:tcPr>
    </w:tblStylePr>
  </w:style>
  <w:style w:type="table" w:styleId="LightGrid-Accent4">
    <w:name w:val="Light Grid Accent 4"/>
    <w:basedOn w:val="TableNormal"/>
    <w:uiPriority w:val="98"/>
    <w:rsid w:val="009629FA"/>
    <w:tblPr>
      <w:tblStyleRowBandSize w:val="1"/>
      <w:tblStyleColBandSize w:val="1"/>
      <w:tblBorders>
        <w:top w:val="single" w:sz="8" w:space="0" w:color="D1BEBA" w:themeColor="accent4"/>
        <w:left w:val="single" w:sz="8" w:space="0" w:color="D1BEBA" w:themeColor="accent4"/>
        <w:bottom w:val="single" w:sz="8" w:space="0" w:color="D1BEBA" w:themeColor="accent4"/>
        <w:right w:val="single" w:sz="8" w:space="0" w:color="D1BEBA" w:themeColor="accent4"/>
        <w:insideH w:val="single" w:sz="8" w:space="0" w:color="D1BEBA" w:themeColor="accent4"/>
        <w:insideV w:val="single" w:sz="8" w:space="0" w:color="D1BEBA"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D1BEBA" w:themeColor="accent4"/>
          <w:left w:val="single" w:sz="8" w:space="0" w:color="D1BEBA" w:themeColor="accent4"/>
          <w:bottom w:val="single" w:sz="18" w:space="0" w:color="D1BEBA" w:themeColor="accent4"/>
          <w:right w:val="single" w:sz="8" w:space="0" w:color="D1BEBA" w:themeColor="accent4"/>
          <w:insideH w:val="nil"/>
          <w:insideV w:val="single" w:sz="8" w:space="0" w:color="D1BEB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BEBA" w:themeColor="accent4"/>
          <w:left w:val="single" w:sz="8" w:space="0" w:color="D1BEBA" w:themeColor="accent4"/>
          <w:bottom w:val="single" w:sz="8" w:space="0" w:color="D1BEBA" w:themeColor="accent4"/>
          <w:right w:val="single" w:sz="8" w:space="0" w:color="D1BEBA" w:themeColor="accent4"/>
          <w:insideH w:val="nil"/>
          <w:insideV w:val="single" w:sz="8" w:space="0" w:color="D1BEB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BEBA" w:themeColor="accent4"/>
          <w:left w:val="single" w:sz="8" w:space="0" w:color="D1BEBA" w:themeColor="accent4"/>
          <w:bottom w:val="single" w:sz="8" w:space="0" w:color="D1BEBA" w:themeColor="accent4"/>
          <w:right w:val="single" w:sz="8" w:space="0" w:color="D1BEBA" w:themeColor="accent4"/>
        </w:tcBorders>
      </w:tcPr>
    </w:tblStylePr>
    <w:tblStylePr w:type="band1Vert">
      <w:tblPr/>
      <w:tcPr>
        <w:tcBorders>
          <w:top w:val="single" w:sz="8" w:space="0" w:color="D1BEBA" w:themeColor="accent4"/>
          <w:left w:val="single" w:sz="8" w:space="0" w:color="D1BEBA" w:themeColor="accent4"/>
          <w:bottom w:val="single" w:sz="8" w:space="0" w:color="D1BEBA" w:themeColor="accent4"/>
          <w:right w:val="single" w:sz="8" w:space="0" w:color="D1BEBA" w:themeColor="accent4"/>
        </w:tcBorders>
        <w:shd w:val="clear" w:color="auto" w:fill="F3EEED" w:themeFill="accent4" w:themeFillTint="3F"/>
      </w:tcPr>
    </w:tblStylePr>
    <w:tblStylePr w:type="band1Horz">
      <w:tblPr/>
      <w:tcPr>
        <w:tcBorders>
          <w:top w:val="single" w:sz="8" w:space="0" w:color="D1BEBA" w:themeColor="accent4"/>
          <w:left w:val="single" w:sz="8" w:space="0" w:color="D1BEBA" w:themeColor="accent4"/>
          <w:bottom w:val="single" w:sz="8" w:space="0" w:color="D1BEBA" w:themeColor="accent4"/>
          <w:right w:val="single" w:sz="8" w:space="0" w:color="D1BEBA" w:themeColor="accent4"/>
          <w:insideV w:val="single" w:sz="8" w:space="0" w:color="D1BEBA" w:themeColor="accent4"/>
        </w:tcBorders>
        <w:shd w:val="clear" w:color="auto" w:fill="F3EEED" w:themeFill="accent4" w:themeFillTint="3F"/>
      </w:tcPr>
    </w:tblStylePr>
    <w:tblStylePr w:type="band2Horz">
      <w:tblPr/>
      <w:tcPr>
        <w:tcBorders>
          <w:top w:val="single" w:sz="8" w:space="0" w:color="D1BEBA" w:themeColor="accent4"/>
          <w:left w:val="single" w:sz="8" w:space="0" w:color="D1BEBA" w:themeColor="accent4"/>
          <w:bottom w:val="single" w:sz="8" w:space="0" w:color="D1BEBA" w:themeColor="accent4"/>
          <w:right w:val="single" w:sz="8" w:space="0" w:color="D1BEBA" w:themeColor="accent4"/>
          <w:insideV w:val="single" w:sz="8" w:space="0" w:color="D1BEBA" w:themeColor="accent4"/>
        </w:tcBorders>
      </w:tcPr>
    </w:tblStylePr>
  </w:style>
  <w:style w:type="table" w:styleId="LightGrid-Accent5">
    <w:name w:val="Light Grid Accent 5"/>
    <w:basedOn w:val="TableNormal"/>
    <w:uiPriority w:val="98"/>
    <w:rsid w:val="009629FA"/>
    <w:tblPr>
      <w:tblStyleRowBandSize w:val="1"/>
      <w:tblStyleColBandSize w:val="1"/>
      <w:tblBorders>
        <w:top w:val="single" w:sz="8" w:space="0" w:color="004E5C" w:themeColor="accent5"/>
        <w:left w:val="single" w:sz="8" w:space="0" w:color="004E5C" w:themeColor="accent5"/>
        <w:bottom w:val="single" w:sz="8" w:space="0" w:color="004E5C" w:themeColor="accent5"/>
        <w:right w:val="single" w:sz="8" w:space="0" w:color="004E5C" w:themeColor="accent5"/>
        <w:insideH w:val="single" w:sz="8" w:space="0" w:color="004E5C" w:themeColor="accent5"/>
        <w:insideV w:val="single" w:sz="8" w:space="0" w:color="004E5C"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004E5C" w:themeColor="accent5"/>
          <w:left w:val="single" w:sz="8" w:space="0" w:color="004E5C" w:themeColor="accent5"/>
          <w:bottom w:val="single" w:sz="18" w:space="0" w:color="004E5C" w:themeColor="accent5"/>
          <w:right w:val="single" w:sz="8" w:space="0" w:color="004E5C" w:themeColor="accent5"/>
          <w:insideH w:val="nil"/>
          <w:insideV w:val="single" w:sz="8" w:space="0" w:color="004E5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E5C" w:themeColor="accent5"/>
          <w:left w:val="single" w:sz="8" w:space="0" w:color="004E5C" w:themeColor="accent5"/>
          <w:bottom w:val="single" w:sz="8" w:space="0" w:color="004E5C" w:themeColor="accent5"/>
          <w:right w:val="single" w:sz="8" w:space="0" w:color="004E5C" w:themeColor="accent5"/>
          <w:insideH w:val="nil"/>
          <w:insideV w:val="single" w:sz="8" w:space="0" w:color="004E5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E5C" w:themeColor="accent5"/>
          <w:left w:val="single" w:sz="8" w:space="0" w:color="004E5C" w:themeColor="accent5"/>
          <w:bottom w:val="single" w:sz="8" w:space="0" w:color="004E5C" w:themeColor="accent5"/>
          <w:right w:val="single" w:sz="8" w:space="0" w:color="004E5C" w:themeColor="accent5"/>
        </w:tcBorders>
      </w:tcPr>
    </w:tblStylePr>
    <w:tblStylePr w:type="band1Vert">
      <w:tblPr/>
      <w:tcPr>
        <w:tcBorders>
          <w:top w:val="single" w:sz="8" w:space="0" w:color="004E5C" w:themeColor="accent5"/>
          <w:left w:val="single" w:sz="8" w:space="0" w:color="004E5C" w:themeColor="accent5"/>
          <w:bottom w:val="single" w:sz="8" w:space="0" w:color="004E5C" w:themeColor="accent5"/>
          <w:right w:val="single" w:sz="8" w:space="0" w:color="004E5C" w:themeColor="accent5"/>
        </w:tcBorders>
        <w:shd w:val="clear" w:color="auto" w:fill="97EFFF" w:themeFill="accent5" w:themeFillTint="3F"/>
      </w:tcPr>
    </w:tblStylePr>
    <w:tblStylePr w:type="band1Horz">
      <w:tblPr/>
      <w:tcPr>
        <w:tcBorders>
          <w:top w:val="single" w:sz="8" w:space="0" w:color="004E5C" w:themeColor="accent5"/>
          <w:left w:val="single" w:sz="8" w:space="0" w:color="004E5C" w:themeColor="accent5"/>
          <w:bottom w:val="single" w:sz="8" w:space="0" w:color="004E5C" w:themeColor="accent5"/>
          <w:right w:val="single" w:sz="8" w:space="0" w:color="004E5C" w:themeColor="accent5"/>
          <w:insideV w:val="single" w:sz="8" w:space="0" w:color="004E5C" w:themeColor="accent5"/>
        </w:tcBorders>
        <w:shd w:val="clear" w:color="auto" w:fill="97EFFF" w:themeFill="accent5" w:themeFillTint="3F"/>
      </w:tcPr>
    </w:tblStylePr>
    <w:tblStylePr w:type="band2Horz">
      <w:tblPr/>
      <w:tcPr>
        <w:tcBorders>
          <w:top w:val="single" w:sz="8" w:space="0" w:color="004E5C" w:themeColor="accent5"/>
          <w:left w:val="single" w:sz="8" w:space="0" w:color="004E5C" w:themeColor="accent5"/>
          <w:bottom w:val="single" w:sz="8" w:space="0" w:color="004E5C" w:themeColor="accent5"/>
          <w:right w:val="single" w:sz="8" w:space="0" w:color="004E5C" w:themeColor="accent5"/>
          <w:insideV w:val="single" w:sz="8" w:space="0" w:color="004E5C" w:themeColor="accent5"/>
        </w:tcBorders>
      </w:tcPr>
    </w:tblStylePr>
  </w:style>
  <w:style w:type="table" w:styleId="LightGrid-Accent6">
    <w:name w:val="Light Grid Accent 6"/>
    <w:basedOn w:val="TableNormal"/>
    <w:uiPriority w:val="98"/>
    <w:rsid w:val="009629FA"/>
    <w:tblPr>
      <w:tblStyleRowBandSize w:val="1"/>
      <w:tblStyleColBandSize w:val="1"/>
      <w:tblBorders>
        <w:top w:val="single" w:sz="8" w:space="0" w:color="2D5638" w:themeColor="accent6"/>
        <w:left w:val="single" w:sz="8" w:space="0" w:color="2D5638" w:themeColor="accent6"/>
        <w:bottom w:val="single" w:sz="8" w:space="0" w:color="2D5638" w:themeColor="accent6"/>
        <w:right w:val="single" w:sz="8" w:space="0" w:color="2D5638" w:themeColor="accent6"/>
        <w:insideH w:val="single" w:sz="8" w:space="0" w:color="2D5638" w:themeColor="accent6"/>
        <w:insideV w:val="single" w:sz="8" w:space="0" w:color="2D5638"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HAnsi"/>
        <w:b/>
        <w:bCs/>
      </w:rPr>
      <w:tblPr/>
      <w:tcPr>
        <w:tcBorders>
          <w:top w:val="single" w:sz="8" w:space="0" w:color="2D5638" w:themeColor="accent6"/>
          <w:left w:val="single" w:sz="8" w:space="0" w:color="2D5638" w:themeColor="accent6"/>
          <w:bottom w:val="single" w:sz="18" w:space="0" w:color="2D5638" w:themeColor="accent6"/>
          <w:right w:val="single" w:sz="8" w:space="0" w:color="2D5638" w:themeColor="accent6"/>
          <w:insideH w:val="nil"/>
          <w:insideV w:val="single" w:sz="8" w:space="0" w:color="2D563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D5638" w:themeColor="accent6"/>
          <w:left w:val="single" w:sz="8" w:space="0" w:color="2D5638" w:themeColor="accent6"/>
          <w:bottom w:val="single" w:sz="8" w:space="0" w:color="2D5638" w:themeColor="accent6"/>
          <w:right w:val="single" w:sz="8" w:space="0" w:color="2D5638" w:themeColor="accent6"/>
          <w:insideH w:val="nil"/>
          <w:insideV w:val="single" w:sz="8" w:space="0" w:color="2D563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D5638" w:themeColor="accent6"/>
          <w:left w:val="single" w:sz="8" w:space="0" w:color="2D5638" w:themeColor="accent6"/>
          <w:bottom w:val="single" w:sz="8" w:space="0" w:color="2D5638" w:themeColor="accent6"/>
          <w:right w:val="single" w:sz="8" w:space="0" w:color="2D5638" w:themeColor="accent6"/>
        </w:tcBorders>
      </w:tcPr>
    </w:tblStylePr>
    <w:tblStylePr w:type="band1Vert">
      <w:tblPr/>
      <w:tcPr>
        <w:tcBorders>
          <w:top w:val="single" w:sz="8" w:space="0" w:color="2D5638" w:themeColor="accent6"/>
          <w:left w:val="single" w:sz="8" w:space="0" w:color="2D5638" w:themeColor="accent6"/>
          <w:bottom w:val="single" w:sz="8" w:space="0" w:color="2D5638" w:themeColor="accent6"/>
          <w:right w:val="single" w:sz="8" w:space="0" w:color="2D5638" w:themeColor="accent6"/>
        </w:tcBorders>
        <w:shd w:val="clear" w:color="auto" w:fill="C1DEC9" w:themeFill="accent6" w:themeFillTint="3F"/>
      </w:tcPr>
    </w:tblStylePr>
    <w:tblStylePr w:type="band1Horz">
      <w:tblPr/>
      <w:tcPr>
        <w:tcBorders>
          <w:top w:val="single" w:sz="8" w:space="0" w:color="2D5638" w:themeColor="accent6"/>
          <w:left w:val="single" w:sz="8" w:space="0" w:color="2D5638" w:themeColor="accent6"/>
          <w:bottom w:val="single" w:sz="8" w:space="0" w:color="2D5638" w:themeColor="accent6"/>
          <w:right w:val="single" w:sz="8" w:space="0" w:color="2D5638" w:themeColor="accent6"/>
          <w:insideV w:val="single" w:sz="8" w:space="0" w:color="2D5638" w:themeColor="accent6"/>
        </w:tcBorders>
        <w:shd w:val="clear" w:color="auto" w:fill="C1DEC9" w:themeFill="accent6" w:themeFillTint="3F"/>
      </w:tcPr>
    </w:tblStylePr>
    <w:tblStylePr w:type="band2Horz">
      <w:tblPr/>
      <w:tcPr>
        <w:tcBorders>
          <w:top w:val="single" w:sz="8" w:space="0" w:color="2D5638" w:themeColor="accent6"/>
          <w:left w:val="single" w:sz="8" w:space="0" w:color="2D5638" w:themeColor="accent6"/>
          <w:bottom w:val="single" w:sz="8" w:space="0" w:color="2D5638" w:themeColor="accent6"/>
          <w:right w:val="single" w:sz="8" w:space="0" w:color="2D5638" w:themeColor="accent6"/>
          <w:insideV w:val="single" w:sz="8" w:space="0" w:color="2D5638" w:themeColor="accent6"/>
        </w:tcBorders>
      </w:tcPr>
    </w:tblStylePr>
  </w:style>
  <w:style w:type="table" w:styleId="LightList">
    <w:name w:val="Light List"/>
    <w:basedOn w:val="TableNormal"/>
    <w:uiPriority w:val="98"/>
    <w:rsid w:val="009629F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9629FA"/>
    <w:tblPr>
      <w:tblStyleRowBandSize w:val="1"/>
      <w:tblStyleColBandSize w:val="1"/>
      <w:tblBorders>
        <w:top w:val="single" w:sz="8" w:space="0" w:color="6CBBA8" w:themeColor="accent1"/>
        <w:left w:val="single" w:sz="8" w:space="0" w:color="6CBBA8" w:themeColor="accent1"/>
        <w:bottom w:val="single" w:sz="8" w:space="0" w:color="6CBBA8" w:themeColor="accent1"/>
        <w:right w:val="single" w:sz="8" w:space="0" w:color="6CBBA8"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6CBBA8" w:themeFill="accent1"/>
      </w:tcPr>
    </w:tblStylePr>
    <w:tblStylePr w:type="lastRow">
      <w:pPr>
        <w:spacing w:before="0" w:after="0" w:line="240" w:lineRule="auto"/>
      </w:pPr>
      <w:rPr>
        <w:b/>
        <w:bCs/>
      </w:rPr>
      <w:tblPr/>
      <w:tcPr>
        <w:tcBorders>
          <w:top w:val="double" w:sz="6" w:space="0" w:color="6CBBA8" w:themeColor="accent1"/>
          <w:left w:val="single" w:sz="8" w:space="0" w:color="6CBBA8" w:themeColor="accent1"/>
          <w:bottom w:val="single" w:sz="8" w:space="0" w:color="6CBBA8" w:themeColor="accent1"/>
          <w:right w:val="single" w:sz="8" w:space="0" w:color="6CBBA8" w:themeColor="accent1"/>
        </w:tcBorders>
      </w:tcPr>
    </w:tblStylePr>
    <w:tblStylePr w:type="firstCol">
      <w:rPr>
        <w:b/>
        <w:bCs/>
      </w:rPr>
    </w:tblStylePr>
    <w:tblStylePr w:type="lastCol">
      <w:rPr>
        <w:b/>
        <w:bCs/>
      </w:rPr>
    </w:tblStylePr>
    <w:tblStylePr w:type="band1Vert">
      <w:tblPr/>
      <w:tcPr>
        <w:tcBorders>
          <w:top w:val="single" w:sz="8" w:space="0" w:color="6CBBA8" w:themeColor="accent1"/>
          <w:left w:val="single" w:sz="8" w:space="0" w:color="6CBBA8" w:themeColor="accent1"/>
          <w:bottom w:val="single" w:sz="8" w:space="0" w:color="6CBBA8" w:themeColor="accent1"/>
          <w:right w:val="single" w:sz="8" w:space="0" w:color="6CBBA8" w:themeColor="accent1"/>
        </w:tcBorders>
      </w:tcPr>
    </w:tblStylePr>
    <w:tblStylePr w:type="band1Horz">
      <w:tblPr/>
      <w:tcPr>
        <w:tcBorders>
          <w:top w:val="single" w:sz="8" w:space="0" w:color="6CBBA8" w:themeColor="accent1"/>
          <w:left w:val="single" w:sz="8" w:space="0" w:color="6CBBA8" w:themeColor="accent1"/>
          <w:bottom w:val="single" w:sz="8" w:space="0" w:color="6CBBA8" w:themeColor="accent1"/>
          <w:right w:val="single" w:sz="8" w:space="0" w:color="6CBBA8" w:themeColor="accent1"/>
        </w:tcBorders>
      </w:tcPr>
    </w:tblStylePr>
  </w:style>
  <w:style w:type="table" w:styleId="LightList-Accent2">
    <w:name w:val="Light List Accent 2"/>
    <w:basedOn w:val="TableNormal"/>
    <w:uiPriority w:val="98"/>
    <w:rsid w:val="009629FA"/>
    <w:tblPr>
      <w:tblStyleRowBandSize w:val="1"/>
      <w:tblStyleColBandSize w:val="1"/>
      <w:tblBorders>
        <w:top w:val="single" w:sz="8" w:space="0" w:color="2A3759" w:themeColor="accent2"/>
        <w:left w:val="single" w:sz="8" w:space="0" w:color="2A3759" w:themeColor="accent2"/>
        <w:bottom w:val="single" w:sz="8" w:space="0" w:color="2A3759" w:themeColor="accent2"/>
        <w:right w:val="single" w:sz="8" w:space="0" w:color="2A3759"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2A3759" w:themeFill="accent2"/>
      </w:tcPr>
    </w:tblStylePr>
    <w:tblStylePr w:type="lastRow">
      <w:pPr>
        <w:spacing w:before="0" w:after="0" w:line="240" w:lineRule="auto"/>
      </w:pPr>
      <w:rPr>
        <w:b/>
        <w:bCs/>
      </w:rPr>
      <w:tblPr/>
      <w:tcPr>
        <w:tcBorders>
          <w:top w:val="double" w:sz="6" w:space="0" w:color="2A3759" w:themeColor="accent2"/>
          <w:left w:val="single" w:sz="8" w:space="0" w:color="2A3759" w:themeColor="accent2"/>
          <w:bottom w:val="single" w:sz="8" w:space="0" w:color="2A3759" w:themeColor="accent2"/>
          <w:right w:val="single" w:sz="8" w:space="0" w:color="2A3759" w:themeColor="accent2"/>
        </w:tcBorders>
      </w:tcPr>
    </w:tblStylePr>
    <w:tblStylePr w:type="firstCol">
      <w:rPr>
        <w:b/>
        <w:bCs/>
      </w:rPr>
    </w:tblStylePr>
    <w:tblStylePr w:type="lastCol">
      <w:rPr>
        <w:b/>
        <w:bCs/>
      </w:rPr>
    </w:tblStylePr>
    <w:tblStylePr w:type="band1Vert">
      <w:tblPr/>
      <w:tcPr>
        <w:tcBorders>
          <w:top w:val="single" w:sz="8" w:space="0" w:color="2A3759" w:themeColor="accent2"/>
          <w:left w:val="single" w:sz="8" w:space="0" w:color="2A3759" w:themeColor="accent2"/>
          <w:bottom w:val="single" w:sz="8" w:space="0" w:color="2A3759" w:themeColor="accent2"/>
          <w:right w:val="single" w:sz="8" w:space="0" w:color="2A3759" w:themeColor="accent2"/>
        </w:tcBorders>
      </w:tcPr>
    </w:tblStylePr>
    <w:tblStylePr w:type="band1Horz">
      <w:tblPr/>
      <w:tcPr>
        <w:tcBorders>
          <w:top w:val="single" w:sz="8" w:space="0" w:color="2A3759" w:themeColor="accent2"/>
          <w:left w:val="single" w:sz="8" w:space="0" w:color="2A3759" w:themeColor="accent2"/>
          <w:bottom w:val="single" w:sz="8" w:space="0" w:color="2A3759" w:themeColor="accent2"/>
          <w:right w:val="single" w:sz="8" w:space="0" w:color="2A3759" w:themeColor="accent2"/>
        </w:tcBorders>
      </w:tcPr>
    </w:tblStylePr>
  </w:style>
  <w:style w:type="table" w:styleId="LightList-Accent3">
    <w:name w:val="Light List Accent 3"/>
    <w:basedOn w:val="TableNormal"/>
    <w:uiPriority w:val="98"/>
    <w:rsid w:val="009629FA"/>
    <w:tblPr>
      <w:tblStyleRowBandSize w:val="1"/>
      <w:tblStyleColBandSize w:val="1"/>
      <w:tblBorders>
        <w:top w:val="single" w:sz="8" w:space="0" w:color="81BD00" w:themeColor="accent3"/>
        <w:left w:val="single" w:sz="8" w:space="0" w:color="81BD00" w:themeColor="accent3"/>
        <w:bottom w:val="single" w:sz="8" w:space="0" w:color="81BD00" w:themeColor="accent3"/>
        <w:right w:val="single" w:sz="8" w:space="0" w:color="81BD00"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81BD00" w:themeFill="accent3"/>
      </w:tcPr>
    </w:tblStylePr>
    <w:tblStylePr w:type="lastRow">
      <w:pPr>
        <w:spacing w:before="0" w:after="0" w:line="240" w:lineRule="auto"/>
      </w:pPr>
      <w:rPr>
        <w:b/>
        <w:bCs/>
      </w:rPr>
      <w:tblPr/>
      <w:tcPr>
        <w:tcBorders>
          <w:top w:val="double" w:sz="6" w:space="0" w:color="81BD00" w:themeColor="accent3"/>
          <w:left w:val="single" w:sz="8" w:space="0" w:color="81BD00" w:themeColor="accent3"/>
          <w:bottom w:val="single" w:sz="8" w:space="0" w:color="81BD00" w:themeColor="accent3"/>
          <w:right w:val="single" w:sz="8" w:space="0" w:color="81BD00" w:themeColor="accent3"/>
        </w:tcBorders>
      </w:tcPr>
    </w:tblStylePr>
    <w:tblStylePr w:type="firstCol">
      <w:rPr>
        <w:b/>
        <w:bCs/>
      </w:rPr>
    </w:tblStylePr>
    <w:tblStylePr w:type="lastCol">
      <w:rPr>
        <w:b/>
        <w:bCs/>
      </w:rPr>
    </w:tblStylePr>
    <w:tblStylePr w:type="band1Vert">
      <w:tblPr/>
      <w:tcPr>
        <w:tcBorders>
          <w:top w:val="single" w:sz="8" w:space="0" w:color="81BD00" w:themeColor="accent3"/>
          <w:left w:val="single" w:sz="8" w:space="0" w:color="81BD00" w:themeColor="accent3"/>
          <w:bottom w:val="single" w:sz="8" w:space="0" w:color="81BD00" w:themeColor="accent3"/>
          <w:right w:val="single" w:sz="8" w:space="0" w:color="81BD00" w:themeColor="accent3"/>
        </w:tcBorders>
      </w:tcPr>
    </w:tblStylePr>
    <w:tblStylePr w:type="band1Horz">
      <w:tblPr/>
      <w:tcPr>
        <w:tcBorders>
          <w:top w:val="single" w:sz="8" w:space="0" w:color="81BD00" w:themeColor="accent3"/>
          <w:left w:val="single" w:sz="8" w:space="0" w:color="81BD00" w:themeColor="accent3"/>
          <w:bottom w:val="single" w:sz="8" w:space="0" w:color="81BD00" w:themeColor="accent3"/>
          <w:right w:val="single" w:sz="8" w:space="0" w:color="81BD00" w:themeColor="accent3"/>
        </w:tcBorders>
      </w:tcPr>
    </w:tblStylePr>
  </w:style>
  <w:style w:type="table" w:styleId="LightList-Accent4">
    <w:name w:val="Light List Accent 4"/>
    <w:basedOn w:val="TableNormal"/>
    <w:uiPriority w:val="98"/>
    <w:rsid w:val="009629FA"/>
    <w:tblPr>
      <w:tblStyleRowBandSize w:val="1"/>
      <w:tblStyleColBandSize w:val="1"/>
      <w:tblBorders>
        <w:top w:val="single" w:sz="8" w:space="0" w:color="D1BEBA" w:themeColor="accent4"/>
        <w:left w:val="single" w:sz="8" w:space="0" w:color="D1BEBA" w:themeColor="accent4"/>
        <w:bottom w:val="single" w:sz="8" w:space="0" w:color="D1BEBA" w:themeColor="accent4"/>
        <w:right w:val="single" w:sz="8" w:space="0" w:color="D1BEBA"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D1BEBA" w:themeFill="accent4"/>
      </w:tcPr>
    </w:tblStylePr>
    <w:tblStylePr w:type="lastRow">
      <w:pPr>
        <w:spacing w:before="0" w:after="0" w:line="240" w:lineRule="auto"/>
      </w:pPr>
      <w:rPr>
        <w:b/>
        <w:bCs/>
      </w:rPr>
      <w:tblPr/>
      <w:tcPr>
        <w:tcBorders>
          <w:top w:val="double" w:sz="6" w:space="0" w:color="D1BEBA" w:themeColor="accent4"/>
          <w:left w:val="single" w:sz="8" w:space="0" w:color="D1BEBA" w:themeColor="accent4"/>
          <w:bottom w:val="single" w:sz="8" w:space="0" w:color="D1BEBA" w:themeColor="accent4"/>
          <w:right w:val="single" w:sz="8" w:space="0" w:color="D1BEBA" w:themeColor="accent4"/>
        </w:tcBorders>
      </w:tcPr>
    </w:tblStylePr>
    <w:tblStylePr w:type="firstCol">
      <w:rPr>
        <w:b/>
        <w:bCs/>
      </w:rPr>
    </w:tblStylePr>
    <w:tblStylePr w:type="lastCol">
      <w:rPr>
        <w:b/>
        <w:bCs/>
      </w:rPr>
    </w:tblStylePr>
    <w:tblStylePr w:type="band1Vert">
      <w:tblPr/>
      <w:tcPr>
        <w:tcBorders>
          <w:top w:val="single" w:sz="8" w:space="0" w:color="D1BEBA" w:themeColor="accent4"/>
          <w:left w:val="single" w:sz="8" w:space="0" w:color="D1BEBA" w:themeColor="accent4"/>
          <w:bottom w:val="single" w:sz="8" w:space="0" w:color="D1BEBA" w:themeColor="accent4"/>
          <w:right w:val="single" w:sz="8" w:space="0" w:color="D1BEBA" w:themeColor="accent4"/>
        </w:tcBorders>
      </w:tcPr>
    </w:tblStylePr>
    <w:tblStylePr w:type="band1Horz">
      <w:tblPr/>
      <w:tcPr>
        <w:tcBorders>
          <w:top w:val="single" w:sz="8" w:space="0" w:color="D1BEBA" w:themeColor="accent4"/>
          <w:left w:val="single" w:sz="8" w:space="0" w:color="D1BEBA" w:themeColor="accent4"/>
          <w:bottom w:val="single" w:sz="8" w:space="0" w:color="D1BEBA" w:themeColor="accent4"/>
          <w:right w:val="single" w:sz="8" w:space="0" w:color="D1BEBA" w:themeColor="accent4"/>
        </w:tcBorders>
      </w:tcPr>
    </w:tblStylePr>
  </w:style>
  <w:style w:type="table" w:styleId="LightList-Accent5">
    <w:name w:val="Light List Accent 5"/>
    <w:basedOn w:val="TableNormal"/>
    <w:uiPriority w:val="98"/>
    <w:rsid w:val="009629FA"/>
    <w:tblPr>
      <w:tblStyleRowBandSize w:val="1"/>
      <w:tblStyleColBandSize w:val="1"/>
      <w:tblBorders>
        <w:top w:val="single" w:sz="8" w:space="0" w:color="004E5C" w:themeColor="accent5"/>
        <w:left w:val="single" w:sz="8" w:space="0" w:color="004E5C" w:themeColor="accent5"/>
        <w:bottom w:val="single" w:sz="8" w:space="0" w:color="004E5C" w:themeColor="accent5"/>
        <w:right w:val="single" w:sz="8" w:space="0" w:color="004E5C"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004E5C" w:themeFill="accent5"/>
      </w:tcPr>
    </w:tblStylePr>
    <w:tblStylePr w:type="lastRow">
      <w:pPr>
        <w:spacing w:before="0" w:after="0" w:line="240" w:lineRule="auto"/>
      </w:pPr>
      <w:rPr>
        <w:b/>
        <w:bCs/>
      </w:rPr>
      <w:tblPr/>
      <w:tcPr>
        <w:tcBorders>
          <w:top w:val="double" w:sz="6" w:space="0" w:color="004E5C" w:themeColor="accent5"/>
          <w:left w:val="single" w:sz="8" w:space="0" w:color="004E5C" w:themeColor="accent5"/>
          <w:bottom w:val="single" w:sz="8" w:space="0" w:color="004E5C" w:themeColor="accent5"/>
          <w:right w:val="single" w:sz="8" w:space="0" w:color="004E5C" w:themeColor="accent5"/>
        </w:tcBorders>
      </w:tcPr>
    </w:tblStylePr>
    <w:tblStylePr w:type="firstCol">
      <w:rPr>
        <w:b/>
        <w:bCs/>
      </w:rPr>
    </w:tblStylePr>
    <w:tblStylePr w:type="lastCol">
      <w:rPr>
        <w:b/>
        <w:bCs/>
      </w:rPr>
    </w:tblStylePr>
    <w:tblStylePr w:type="band1Vert">
      <w:tblPr/>
      <w:tcPr>
        <w:tcBorders>
          <w:top w:val="single" w:sz="8" w:space="0" w:color="004E5C" w:themeColor="accent5"/>
          <w:left w:val="single" w:sz="8" w:space="0" w:color="004E5C" w:themeColor="accent5"/>
          <w:bottom w:val="single" w:sz="8" w:space="0" w:color="004E5C" w:themeColor="accent5"/>
          <w:right w:val="single" w:sz="8" w:space="0" w:color="004E5C" w:themeColor="accent5"/>
        </w:tcBorders>
      </w:tcPr>
    </w:tblStylePr>
    <w:tblStylePr w:type="band1Horz">
      <w:tblPr/>
      <w:tcPr>
        <w:tcBorders>
          <w:top w:val="single" w:sz="8" w:space="0" w:color="004E5C" w:themeColor="accent5"/>
          <w:left w:val="single" w:sz="8" w:space="0" w:color="004E5C" w:themeColor="accent5"/>
          <w:bottom w:val="single" w:sz="8" w:space="0" w:color="004E5C" w:themeColor="accent5"/>
          <w:right w:val="single" w:sz="8" w:space="0" w:color="004E5C" w:themeColor="accent5"/>
        </w:tcBorders>
      </w:tcPr>
    </w:tblStylePr>
  </w:style>
  <w:style w:type="table" w:styleId="LightList-Accent6">
    <w:name w:val="Light List Accent 6"/>
    <w:basedOn w:val="TableNormal"/>
    <w:uiPriority w:val="98"/>
    <w:rsid w:val="009629FA"/>
    <w:tblPr>
      <w:tblStyleRowBandSize w:val="1"/>
      <w:tblStyleColBandSize w:val="1"/>
      <w:tblBorders>
        <w:top w:val="single" w:sz="8" w:space="0" w:color="2D5638" w:themeColor="accent6"/>
        <w:left w:val="single" w:sz="8" w:space="0" w:color="2D5638" w:themeColor="accent6"/>
        <w:bottom w:val="single" w:sz="8" w:space="0" w:color="2D5638" w:themeColor="accent6"/>
        <w:right w:val="single" w:sz="8" w:space="0" w:color="2D5638"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shd w:val="clear" w:color="auto" w:fill="2D5638" w:themeFill="accent6"/>
      </w:tcPr>
    </w:tblStylePr>
    <w:tblStylePr w:type="lastRow">
      <w:pPr>
        <w:spacing w:before="0" w:after="0" w:line="240" w:lineRule="auto"/>
      </w:pPr>
      <w:rPr>
        <w:b/>
        <w:bCs/>
      </w:rPr>
      <w:tblPr/>
      <w:tcPr>
        <w:tcBorders>
          <w:top w:val="double" w:sz="6" w:space="0" w:color="2D5638" w:themeColor="accent6"/>
          <w:left w:val="single" w:sz="8" w:space="0" w:color="2D5638" w:themeColor="accent6"/>
          <w:bottom w:val="single" w:sz="8" w:space="0" w:color="2D5638" w:themeColor="accent6"/>
          <w:right w:val="single" w:sz="8" w:space="0" w:color="2D5638" w:themeColor="accent6"/>
        </w:tcBorders>
      </w:tcPr>
    </w:tblStylePr>
    <w:tblStylePr w:type="firstCol">
      <w:rPr>
        <w:b/>
        <w:bCs/>
      </w:rPr>
    </w:tblStylePr>
    <w:tblStylePr w:type="lastCol">
      <w:rPr>
        <w:b/>
        <w:bCs/>
      </w:rPr>
    </w:tblStylePr>
    <w:tblStylePr w:type="band1Vert">
      <w:tblPr/>
      <w:tcPr>
        <w:tcBorders>
          <w:top w:val="single" w:sz="8" w:space="0" w:color="2D5638" w:themeColor="accent6"/>
          <w:left w:val="single" w:sz="8" w:space="0" w:color="2D5638" w:themeColor="accent6"/>
          <w:bottom w:val="single" w:sz="8" w:space="0" w:color="2D5638" w:themeColor="accent6"/>
          <w:right w:val="single" w:sz="8" w:space="0" w:color="2D5638" w:themeColor="accent6"/>
        </w:tcBorders>
      </w:tcPr>
    </w:tblStylePr>
    <w:tblStylePr w:type="band1Horz">
      <w:tblPr/>
      <w:tcPr>
        <w:tcBorders>
          <w:top w:val="single" w:sz="8" w:space="0" w:color="2D5638" w:themeColor="accent6"/>
          <w:left w:val="single" w:sz="8" w:space="0" w:color="2D5638" w:themeColor="accent6"/>
          <w:bottom w:val="single" w:sz="8" w:space="0" w:color="2D5638" w:themeColor="accent6"/>
          <w:right w:val="single" w:sz="8" w:space="0" w:color="2D5638" w:themeColor="accent6"/>
        </w:tcBorders>
      </w:tcPr>
    </w:tblStylePr>
  </w:style>
  <w:style w:type="table" w:styleId="LightShading">
    <w:name w:val="Light Shading"/>
    <w:basedOn w:val="TableNormal"/>
    <w:uiPriority w:val="98"/>
    <w:rsid w:val="009629FA"/>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9629FA"/>
    <w:rPr>
      <w:color w:val="459683" w:themeColor="accent1" w:themeShade="BF"/>
    </w:rPr>
    <w:tblPr>
      <w:tblStyleRowBandSize w:val="1"/>
      <w:tblStyleColBandSize w:val="1"/>
      <w:tblBorders>
        <w:top w:val="single" w:sz="8" w:space="0" w:color="6CBBA8" w:themeColor="accent1"/>
        <w:bottom w:val="single" w:sz="8" w:space="0" w:color="6CBBA8"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6CBBA8" w:themeColor="accent1"/>
          <w:left w:val="nil"/>
          <w:bottom w:val="single" w:sz="8" w:space="0" w:color="6CBBA8" w:themeColor="accent1"/>
          <w:right w:val="nil"/>
          <w:insideH w:val="nil"/>
          <w:insideV w:val="nil"/>
        </w:tcBorders>
      </w:tcPr>
    </w:tblStylePr>
    <w:tblStylePr w:type="lastRow">
      <w:pPr>
        <w:spacing w:before="0" w:after="0" w:line="240" w:lineRule="auto"/>
      </w:pPr>
      <w:rPr>
        <w:b/>
        <w:bCs/>
      </w:rPr>
      <w:tblPr/>
      <w:tcPr>
        <w:tcBorders>
          <w:top w:val="single" w:sz="8" w:space="0" w:color="6CBBA8" w:themeColor="accent1"/>
          <w:left w:val="nil"/>
          <w:bottom w:val="single" w:sz="8" w:space="0" w:color="6CBBA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E9" w:themeFill="accent1" w:themeFillTint="3F"/>
      </w:tcPr>
    </w:tblStylePr>
    <w:tblStylePr w:type="band1Horz">
      <w:tblPr/>
      <w:tcPr>
        <w:tcBorders>
          <w:left w:val="nil"/>
          <w:right w:val="nil"/>
          <w:insideH w:val="nil"/>
          <w:insideV w:val="nil"/>
        </w:tcBorders>
        <w:shd w:val="clear" w:color="auto" w:fill="DAEEE9" w:themeFill="accent1" w:themeFillTint="3F"/>
      </w:tcPr>
    </w:tblStylePr>
  </w:style>
  <w:style w:type="table" w:styleId="LightShading-Accent2">
    <w:name w:val="Light Shading Accent 2"/>
    <w:basedOn w:val="TableNormal"/>
    <w:uiPriority w:val="98"/>
    <w:rsid w:val="009629FA"/>
    <w:rPr>
      <w:color w:val="1F2942" w:themeColor="accent2" w:themeShade="BF"/>
    </w:rPr>
    <w:tblPr>
      <w:tblStyleRowBandSize w:val="1"/>
      <w:tblStyleColBandSize w:val="1"/>
      <w:tblBorders>
        <w:top w:val="single" w:sz="8" w:space="0" w:color="2A3759" w:themeColor="accent2"/>
        <w:bottom w:val="single" w:sz="8" w:space="0" w:color="2A3759"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2A3759" w:themeColor="accent2"/>
          <w:left w:val="nil"/>
          <w:bottom w:val="single" w:sz="8" w:space="0" w:color="2A3759" w:themeColor="accent2"/>
          <w:right w:val="nil"/>
          <w:insideH w:val="nil"/>
          <w:insideV w:val="nil"/>
        </w:tcBorders>
      </w:tcPr>
    </w:tblStylePr>
    <w:tblStylePr w:type="lastRow">
      <w:pPr>
        <w:spacing w:before="0" w:after="0" w:line="240" w:lineRule="auto"/>
      </w:pPr>
      <w:rPr>
        <w:b/>
        <w:bCs/>
      </w:rPr>
      <w:tblPr/>
      <w:tcPr>
        <w:tcBorders>
          <w:top w:val="single" w:sz="8" w:space="0" w:color="2A3759" w:themeColor="accent2"/>
          <w:left w:val="nil"/>
          <w:bottom w:val="single" w:sz="8" w:space="0" w:color="2A375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C8E1" w:themeFill="accent2" w:themeFillTint="3F"/>
      </w:tcPr>
    </w:tblStylePr>
    <w:tblStylePr w:type="band1Horz">
      <w:tblPr/>
      <w:tcPr>
        <w:tcBorders>
          <w:left w:val="nil"/>
          <w:right w:val="nil"/>
          <w:insideH w:val="nil"/>
          <w:insideV w:val="nil"/>
        </w:tcBorders>
        <w:shd w:val="clear" w:color="auto" w:fill="BFC8E1" w:themeFill="accent2" w:themeFillTint="3F"/>
      </w:tcPr>
    </w:tblStylePr>
  </w:style>
  <w:style w:type="table" w:styleId="LightShading-Accent3">
    <w:name w:val="Light Shading Accent 3"/>
    <w:basedOn w:val="TableNormal"/>
    <w:uiPriority w:val="98"/>
    <w:rsid w:val="009629FA"/>
    <w:rPr>
      <w:color w:val="608D00" w:themeColor="accent3" w:themeShade="BF"/>
    </w:rPr>
    <w:tblPr>
      <w:tblStyleRowBandSize w:val="1"/>
      <w:tblStyleColBandSize w:val="1"/>
      <w:tblBorders>
        <w:top w:val="single" w:sz="8" w:space="0" w:color="81BD00" w:themeColor="accent3"/>
        <w:bottom w:val="single" w:sz="8" w:space="0" w:color="81BD00"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81BD00" w:themeColor="accent3"/>
          <w:left w:val="nil"/>
          <w:bottom w:val="single" w:sz="8" w:space="0" w:color="81BD00" w:themeColor="accent3"/>
          <w:right w:val="nil"/>
          <w:insideH w:val="nil"/>
          <w:insideV w:val="nil"/>
        </w:tcBorders>
      </w:tcPr>
    </w:tblStylePr>
    <w:tblStylePr w:type="lastRow">
      <w:pPr>
        <w:spacing w:before="0" w:after="0" w:line="240" w:lineRule="auto"/>
      </w:pPr>
      <w:rPr>
        <w:b/>
        <w:bCs/>
      </w:rPr>
      <w:tblPr/>
      <w:tcPr>
        <w:tcBorders>
          <w:top w:val="single" w:sz="8" w:space="0" w:color="81BD00" w:themeColor="accent3"/>
          <w:left w:val="nil"/>
          <w:bottom w:val="single" w:sz="8" w:space="0" w:color="81BD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FFAF" w:themeFill="accent3" w:themeFillTint="3F"/>
      </w:tcPr>
    </w:tblStylePr>
    <w:tblStylePr w:type="band1Horz">
      <w:tblPr/>
      <w:tcPr>
        <w:tcBorders>
          <w:left w:val="nil"/>
          <w:right w:val="nil"/>
          <w:insideH w:val="nil"/>
          <w:insideV w:val="nil"/>
        </w:tcBorders>
        <w:shd w:val="clear" w:color="auto" w:fill="E5FFAF" w:themeFill="accent3" w:themeFillTint="3F"/>
      </w:tcPr>
    </w:tblStylePr>
  </w:style>
  <w:style w:type="table" w:styleId="LightShading-Accent4">
    <w:name w:val="Light Shading Accent 4"/>
    <w:basedOn w:val="TableNormal"/>
    <w:uiPriority w:val="98"/>
    <w:rsid w:val="009629FA"/>
    <w:rPr>
      <w:color w:val="A9857E" w:themeColor="accent4" w:themeShade="BF"/>
    </w:rPr>
    <w:tblPr>
      <w:tblStyleRowBandSize w:val="1"/>
      <w:tblStyleColBandSize w:val="1"/>
      <w:tblBorders>
        <w:top w:val="single" w:sz="8" w:space="0" w:color="D1BEBA" w:themeColor="accent4"/>
        <w:bottom w:val="single" w:sz="8" w:space="0" w:color="D1BEBA"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D1BEBA" w:themeColor="accent4"/>
          <w:left w:val="nil"/>
          <w:bottom w:val="single" w:sz="8" w:space="0" w:color="D1BEBA" w:themeColor="accent4"/>
          <w:right w:val="nil"/>
          <w:insideH w:val="nil"/>
          <w:insideV w:val="nil"/>
        </w:tcBorders>
      </w:tcPr>
    </w:tblStylePr>
    <w:tblStylePr w:type="lastRow">
      <w:pPr>
        <w:spacing w:before="0" w:after="0" w:line="240" w:lineRule="auto"/>
      </w:pPr>
      <w:rPr>
        <w:b/>
        <w:bCs/>
      </w:rPr>
      <w:tblPr/>
      <w:tcPr>
        <w:tcBorders>
          <w:top w:val="single" w:sz="8" w:space="0" w:color="D1BEBA" w:themeColor="accent4"/>
          <w:left w:val="nil"/>
          <w:bottom w:val="single" w:sz="8" w:space="0" w:color="D1BEB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EEED" w:themeFill="accent4" w:themeFillTint="3F"/>
      </w:tcPr>
    </w:tblStylePr>
    <w:tblStylePr w:type="band1Horz">
      <w:tblPr/>
      <w:tcPr>
        <w:tcBorders>
          <w:left w:val="nil"/>
          <w:right w:val="nil"/>
          <w:insideH w:val="nil"/>
          <w:insideV w:val="nil"/>
        </w:tcBorders>
        <w:shd w:val="clear" w:color="auto" w:fill="F3EEED" w:themeFill="accent4" w:themeFillTint="3F"/>
      </w:tcPr>
    </w:tblStylePr>
  </w:style>
  <w:style w:type="table" w:styleId="LightShading-Accent5">
    <w:name w:val="Light Shading Accent 5"/>
    <w:basedOn w:val="TableNormal"/>
    <w:uiPriority w:val="98"/>
    <w:rsid w:val="009629FA"/>
    <w:rPr>
      <w:color w:val="003A44" w:themeColor="accent5" w:themeShade="BF"/>
    </w:rPr>
    <w:tblPr>
      <w:tblStyleRowBandSize w:val="1"/>
      <w:tblStyleColBandSize w:val="1"/>
      <w:tblBorders>
        <w:top w:val="single" w:sz="8" w:space="0" w:color="004E5C" w:themeColor="accent5"/>
        <w:bottom w:val="single" w:sz="8" w:space="0" w:color="004E5C"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004E5C" w:themeColor="accent5"/>
          <w:left w:val="nil"/>
          <w:bottom w:val="single" w:sz="8" w:space="0" w:color="004E5C" w:themeColor="accent5"/>
          <w:right w:val="nil"/>
          <w:insideH w:val="nil"/>
          <w:insideV w:val="nil"/>
        </w:tcBorders>
      </w:tcPr>
    </w:tblStylePr>
    <w:tblStylePr w:type="lastRow">
      <w:pPr>
        <w:spacing w:before="0" w:after="0" w:line="240" w:lineRule="auto"/>
      </w:pPr>
      <w:rPr>
        <w:b/>
        <w:bCs/>
      </w:rPr>
      <w:tblPr/>
      <w:tcPr>
        <w:tcBorders>
          <w:top w:val="single" w:sz="8" w:space="0" w:color="004E5C" w:themeColor="accent5"/>
          <w:left w:val="nil"/>
          <w:bottom w:val="single" w:sz="8" w:space="0" w:color="004E5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7EFFF" w:themeFill="accent5" w:themeFillTint="3F"/>
      </w:tcPr>
    </w:tblStylePr>
    <w:tblStylePr w:type="band1Horz">
      <w:tblPr/>
      <w:tcPr>
        <w:tcBorders>
          <w:left w:val="nil"/>
          <w:right w:val="nil"/>
          <w:insideH w:val="nil"/>
          <w:insideV w:val="nil"/>
        </w:tcBorders>
        <w:shd w:val="clear" w:color="auto" w:fill="97EFFF" w:themeFill="accent5" w:themeFillTint="3F"/>
      </w:tcPr>
    </w:tblStylePr>
  </w:style>
  <w:style w:type="table" w:styleId="LightShading-Accent6">
    <w:name w:val="Light Shading Accent 6"/>
    <w:basedOn w:val="TableNormal"/>
    <w:uiPriority w:val="98"/>
    <w:rsid w:val="009629FA"/>
    <w:rPr>
      <w:color w:val="214029" w:themeColor="accent6" w:themeShade="BF"/>
    </w:rPr>
    <w:tblPr>
      <w:tblStyleRowBandSize w:val="1"/>
      <w:tblStyleColBandSize w:val="1"/>
      <w:tblBorders>
        <w:top w:val="single" w:sz="8" w:space="0" w:color="2D5638" w:themeColor="accent6"/>
        <w:bottom w:val="single" w:sz="8" w:space="0" w:color="2D5638"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rPr>
      <w:tblPr/>
      <w:tcPr>
        <w:tcBorders>
          <w:top w:val="single" w:sz="8" w:space="0" w:color="2D5638" w:themeColor="accent6"/>
          <w:left w:val="nil"/>
          <w:bottom w:val="single" w:sz="8" w:space="0" w:color="2D5638" w:themeColor="accent6"/>
          <w:right w:val="nil"/>
          <w:insideH w:val="nil"/>
          <w:insideV w:val="nil"/>
        </w:tcBorders>
      </w:tcPr>
    </w:tblStylePr>
    <w:tblStylePr w:type="lastRow">
      <w:pPr>
        <w:spacing w:before="0" w:after="0" w:line="240" w:lineRule="auto"/>
      </w:pPr>
      <w:rPr>
        <w:b/>
        <w:bCs/>
      </w:rPr>
      <w:tblPr/>
      <w:tcPr>
        <w:tcBorders>
          <w:top w:val="single" w:sz="8" w:space="0" w:color="2D5638" w:themeColor="accent6"/>
          <w:left w:val="nil"/>
          <w:bottom w:val="single" w:sz="8" w:space="0" w:color="2D563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DEC9" w:themeFill="accent6" w:themeFillTint="3F"/>
      </w:tcPr>
    </w:tblStylePr>
    <w:tblStylePr w:type="band1Horz">
      <w:tblPr/>
      <w:tcPr>
        <w:tcBorders>
          <w:left w:val="nil"/>
          <w:right w:val="nil"/>
          <w:insideH w:val="nil"/>
          <w:insideV w:val="nil"/>
        </w:tcBorders>
        <w:shd w:val="clear" w:color="auto" w:fill="C1DEC9" w:themeFill="accent6" w:themeFillTint="3F"/>
      </w:tcPr>
    </w:tblStylePr>
  </w:style>
  <w:style w:type="character" w:styleId="LineNumber">
    <w:name w:val="line number"/>
    <w:basedOn w:val="DefaultParagraphFont"/>
    <w:uiPriority w:val="97"/>
    <w:semiHidden/>
    <w:rsid w:val="009629FA"/>
    <w:rPr>
      <w:rFonts w:asciiTheme="minorHAnsi" w:hAnsiTheme="minorHAnsi" w:cstheme="minorHAnsi"/>
    </w:rPr>
  </w:style>
  <w:style w:type="paragraph" w:styleId="List">
    <w:name w:val="List"/>
    <w:basedOn w:val="Normal"/>
    <w:uiPriority w:val="4"/>
    <w:semiHidden/>
    <w:rsid w:val="009629FA"/>
    <w:pPr>
      <w:ind w:left="283" w:hanging="283"/>
      <w:contextualSpacing/>
    </w:pPr>
  </w:style>
  <w:style w:type="paragraph" w:styleId="List2">
    <w:name w:val="List 2"/>
    <w:basedOn w:val="Normal"/>
    <w:uiPriority w:val="4"/>
    <w:semiHidden/>
    <w:rsid w:val="009629FA"/>
    <w:pPr>
      <w:ind w:left="566" w:hanging="283"/>
      <w:contextualSpacing/>
    </w:pPr>
  </w:style>
  <w:style w:type="paragraph" w:styleId="List3">
    <w:name w:val="List 3"/>
    <w:basedOn w:val="Normal"/>
    <w:uiPriority w:val="4"/>
    <w:semiHidden/>
    <w:rsid w:val="009629FA"/>
    <w:pPr>
      <w:ind w:left="849" w:hanging="283"/>
      <w:contextualSpacing/>
    </w:pPr>
  </w:style>
  <w:style w:type="paragraph" w:styleId="List4">
    <w:name w:val="List 4"/>
    <w:basedOn w:val="Normal"/>
    <w:uiPriority w:val="4"/>
    <w:semiHidden/>
    <w:rsid w:val="009629FA"/>
    <w:pPr>
      <w:ind w:left="1132" w:hanging="283"/>
      <w:contextualSpacing/>
    </w:pPr>
  </w:style>
  <w:style w:type="numbering" w:customStyle="1" w:styleId="ListNumbers">
    <w:name w:val="ListNumbers"/>
    <w:uiPriority w:val="99"/>
    <w:rsid w:val="009629FA"/>
    <w:pPr>
      <w:numPr>
        <w:numId w:val="4"/>
      </w:numPr>
    </w:pPr>
  </w:style>
  <w:style w:type="paragraph" w:styleId="ListBullet2">
    <w:name w:val="List Bullet 2"/>
    <w:basedOn w:val="Normal"/>
    <w:uiPriority w:val="3"/>
    <w:qFormat/>
    <w:rsid w:val="00EC2A8C"/>
    <w:pPr>
      <w:numPr>
        <w:ilvl w:val="1"/>
        <w:numId w:val="16"/>
      </w:numPr>
    </w:pPr>
  </w:style>
  <w:style w:type="paragraph" w:styleId="ListBullet3">
    <w:name w:val="List Bullet 3"/>
    <w:basedOn w:val="Normal"/>
    <w:uiPriority w:val="3"/>
    <w:qFormat/>
    <w:rsid w:val="00EC2A8C"/>
    <w:pPr>
      <w:numPr>
        <w:ilvl w:val="2"/>
        <w:numId w:val="16"/>
      </w:numPr>
    </w:pPr>
  </w:style>
  <w:style w:type="paragraph" w:styleId="ListBullet4">
    <w:name w:val="List Bullet 4"/>
    <w:basedOn w:val="Normal"/>
    <w:uiPriority w:val="2"/>
    <w:semiHidden/>
    <w:rsid w:val="009629FA"/>
    <w:pPr>
      <w:numPr>
        <w:numId w:val="8"/>
      </w:numPr>
      <w:contextualSpacing/>
    </w:pPr>
  </w:style>
  <w:style w:type="paragraph" w:styleId="ListBullet5">
    <w:name w:val="List Bullet 5"/>
    <w:basedOn w:val="Normal"/>
    <w:uiPriority w:val="2"/>
    <w:semiHidden/>
    <w:rsid w:val="009629FA"/>
    <w:pPr>
      <w:numPr>
        <w:numId w:val="9"/>
      </w:numPr>
      <w:contextualSpacing/>
    </w:pPr>
  </w:style>
  <w:style w:type="paragraph" w:styleId="ListContinue">
    <w:name w:val="List Continue"/>
    <w:basedOn w:val="Normal"/>
    <w:uiPriority w:val="18"/>
    <w:semiHidden/>
    <w:rsid w:val="009629FA"/>
    <w:pPr>
      <w:ind w:left="283"/>
      <w:contextualSpacing/>
    </w:pPr>
  </w:style>
  <w:style w:type="paragraph" w:styleId="ListContinue2">
    <w:name w:val="List Continue 2"/>
    <w:basedOn w:val="Normal"/>
    <w:uiPriority w:val="18"/>
    <w:semiHidden/>
    <w:rsid w:val="009629FA"/>
    <w:pPr>
      <w:ind w:left="566"/>
      <w:contextualSpacing/>
    </w:pPr>
  </w:style>
  <w:style w:type="paragraph" w:styleId="ListContinue3">
    <w:name w:val="List Continue 3"/>
    <w:basedOn w:val="Normal"/>
    <w:uiPriority w:val="18"/>
    <w:semiHidden/>
    <w:rsid w:val="009629FA"/>
    <w:pPr>
      <w:ind w:left="849"/>
      <w:contextualSpacing/>
    </w:pPr>
  </w:style>
  <w:style w:type="paragraph" w:styleId="ListContinue4">
    <w:name w:val="List Continue 4"/>
    <w:basedOn w:val="Normal"/>
    <w:uiPriority w:val="18"/>
    <w:semiHidden/>
    <w:rsid w:val="009629FA"/>
    <w:pPr>
      <w:ind w:left="1132"/>
      <w:contextualSpacing/>
    </w:pPr>
  </w:style>
  <w:style w:type="paragraph" w:styleId="ListContinue5">
    <w:name w:val="List Continue 5"/>
    <w:basedOn w:val="Normal"/>
    <w:uiPriority w:val="18"/>
    <w:semiHidden/>
    <w:rsid w:val="009629FA"/>
    <w:pPr>
      <w:ind w:left="1415"/>
      <w:contextualSpacing/>
    </w:pPr>
  </w:style>
  <w:style w:type="paragraph" w:styleId="ListNumber">
    <w:name w:val="List Number"/>
    <w:basedOn w:val="Normal"/>
    <w:uiPriority w:val="4"/>
    <w:qFormat/>
    <w:rsid w:val="006807C7"/>
    <w:pPr>
      <w:numPr>
        <w:numId w:val="17"/>
      </w:numPr>
    </w:pPr>
  </w:style>
  <w:style w:type="paragraph" w:styleId="ListNumber2">
    <w:name w:val="List Number 2"/>
    <w:basedOn w:val="Normal"/>
    <w:uiPriority w:val="4"/>
    <w:qFormat/>
    <w:rsid w:val="006807C7"/>
    <w:pPr>
      <w:numPr>
        <w:ilvl w:val="1"/>
        <w:numId w:val="17"/>
      </w:numPr>
    </w:pPr>
  </w:style>
  <w:style w:type="paragraph" w:styleId="ListNumber4">
    <w:name w:val="List Number 4"/>
    <w:basedOn w:val="Normal"/>
    <w:uiPriority w:val="3"/>
    <w:semiHidden/>
    <w:rsid w:val="009629FA"/>
    <w:pPr>
      <w:numPr>
        <w:numId w:val="10"/>
      </w:numPr>
      <w:contextualSpacing/>
    </w:pPr>
  </w:style>
  <w:style w:type="paragraph" w:styleId="ListNumber5">
    <w:name w:val="List Number 5"/>
    <w:basedOn w:val="Normal"/>
    <w:uiPriority w:val="3"/>
    <w:semiHidden/>
    <w:rsid w:val="009629FA"/>
    <w:pPr>
      <w:numPr>
        <w:numId w:val="11"/>
      </w:numPr>
      <w:contextualSpacing/>
    </w:pPr>
  </w:style>
  <w:style w:type="paragraph" w:styleId="ListParagraph">
    <w:name w:val="List Paragraph"/>
    <w:basedOn w:val="Normal"/>
    <w:uiPriority w:val="34"/>
    <w:qFormat/>
    <w:rsid w:val="009629FA"/>
    <w:pPr>
      <w:ind w:left="720"/>
      <w:contextualSpacing/>
    </w:pPr>
  </w:style>
  <w:style w:type="paragraph" w:styleId="MacroText">
    <w:name w:val="macro"/>
    <w:link w:val="MacroTextChar"/>
    <w:uiPriority w:val="97"/>
    <w:semiHidden/>
    <w:rsid w:val="009629FA"/>
    <w:pPr>
      <w:tabs>
        <w:tab w:val="left" w:pos="480"/>
        <w:tab w:val="left" w:pos="960"/>
        <w:tab w:val="left" w:pos="1440"/>
        <w:tab w:val="left" w:pos="1920"/>
        <w:tab w:val="left" w:pos="2400"/>
        <w:tab w:val="left" w:pos="2880"/>
        <w:tab w:val="left" w:pos="3360"/>
        <w:tab w:val="left" w:pos="3840"/>
        <w:tab w:val="left" w:pos="4320"/>
      </w:tabs>
      <w:adjustRightInd w:val="0"/>
      <w:snapToGrid w:val="0"/>
      <w:spacing w:line="240" w:lineRule="atLeast"/>
    </w:pPr>
    <w:rPr>
      <w:rFonts w:asciiTheme="minorHAnsi" w:hAnsiTheme="minorHAnsi" w:cstheme="minorHAnsi"/>
      <w:kern w:val="20"/>
      <w:lang w:val="en-AU" w:eastAsia="zh-CN"/>
    </w:rPr>
  </w:style>
  <w:style w:type="character" w:customStyle="1" w:styleId="MacroTextChar">
    <w:name w:val="Macro Text Char"/>
    <w:basedOn w:val="DefaultParagraphFont"/>
    <w:link w:val="MacroText"/>
    <w:uiPriority w:val="97"/>
    <w:semiHidden/>
    <w:rsid w:val="009629FA"/>
    <w:rPr>
      <w:rFonts w:asciiTheme="minorHAnsi" w:hAnsiTheme="minorHAnsi" w:cstheme="minorHAnsi"/>
      <w:kern w:val="20"/>
      <w:lang w:val="en-AU" w:eastAsia="zh-CN"/>
    </w:rPr>
  </w:style>
  <w:style w:type="table" w:styleId="MediumGrid1">
    <w:name w:val="Medium Grid 1"/>
    <w:basedOn w:val="TableNormal"/>
    <w:uiPriority w:val="98"/>
    <w:rsid w:val="009629F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9629FA"/>
    <w:tblPr>
      <w:tblStyleRowBandSize w:val="1"/>
      <w:tblStyleColBandSize w:val="1"/>
      <w:tblBorders>
        <w:top w:val="single" w:sz="8" w:space="0" w:color="90CCBD" w:themeColor="accent1" w:themeTint="BF"/>
        <w:left w:val="single" w:sz="8" w:space="0" w:color="90CCBD" w:themeColor="accent1" w:themeTint="BF"/>
        <w:bottom w:val="single" w:sz="8" w:space="0" w:color="90CCBD" w:themeColor="accent1" w:themeTint="BF"/>
        <w:right w:val="single" w:sz="8" w:space="0" w:color="90CCBD" w:themeColor="accent1" w:themeTint="BF"/>
        <w:insideH w:val="single" w:sz="8" w:space="0" w:color="90CCBD" w:themeColor="accent1" w:themeTint="BF"/>
        <w:insideV w:val="single" w:sz="8" w:space="0" w:color="90CCBD" w:themeColor="accent1" w:themeTint="BF"/>
      </w:tblBorders>
    </w:tblPr>
    <w:tcPr>
      <w:shd w:val="clear" w:color="auto" w:fill="DAEEE9" w:themeFill="accent1"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90CCBD" w:themeColor="accent1" w:themeTint="BF"/>
        </w:tcBorders>
      </w:tcPr>
    </w:tblStylePr>
    <w:tblStylePr w:type="firstCol">
      <w:rPr>
        <w:b/>
        <w:bCs/>
      </w:rPr>
    </w:tblStylePr>
    <w:tblStylePr w:type="lastCol">
      <w:rPr>
        <w:b/>
        <w:bCs/>
      </w:rPr>
    </w:tblStylePr>
    <w:tblStylePr w:type="band1Vert">
      <w:tblPr/>
      <w:tcPr>
        <w:shd w:val="clear" w:color="auto" w:fill="B5DDD3" w:themeFill="accent1" w:themeFillTint="7F"/>
      </w:tcPr>
    </w:tblStylePr>
    <w:tblStylePr w:type="band1Horz">
      <w:tblPr/>
      <w:tcPr>
        <w:shd w:val="clear" w:color="auto" w:fill="B5DDD3" w:themeFill="accent1" w:themeFillTint="7F"/>
      </w:tcPr>
    </w:tblStylePr>
  </w:style>
  <w:style w:type="table" w:styleId="MediumGrid1-Accent2">
    <w:name w:val="Medium Grid 1 Accent 2"/>
    <w:basedOn w:val="TableNormal"/>
    <w:uiPriority w:val="98"/>
    <w:rsid w:val="009629FA"/>
    <w:tblPr>
      <w:tblStyleRowBandSize w:val="1"/>
      <w:tblStyleColBandSize w:val="1"/>
      <w:tblBorders>
        <w:top w:val="single" w:sz="8" w:space="0" w:color="485E99" w:themeColor="accent2" w:themeTint="BF"/>
        <w:left w:val="single" w:sz="8" w:space="0" w:color="485E99" w:themeColor="accent2" w:themeTint="BF"/>
        <w:bottom w:val="single" w:sz="8" w:space="0" w:color="485E99" w:themeColor="accent2" w:themeTint="BF"/>
        <w:right w:val="single" w:sz="8" w:space="0" w:color="485E99" w:themeColor="accent2" w:themeTint="BF"/>
        <w:insideH w:val="single" w:sz="8" w:space="0" w:color="485E99" w:themeColor="accent2" w:themeTint="BF"/>
        <w:insideV w:val="single" w:sz="8" w:space="0" w:color="485E99" w:themeColor="accent2" w:themeTint="BF"/>
      </w:tblBorders>
    </w:tblPr>
    <w:tcPr>
      <w:shd w:val="clear" w:color="auto" w:fill="BFC8E1" w:themeFill="accent2"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485E99" w:themeColor="accent2" w:themeTint="BF"/>
        </w:tcBorders>
      </w:tcPr>
    </w:tblStylePr>
    <w:tblStylePr w:type="firstCol">
      <w:rPr>
        <w:b/>
        <w:bCs/>
      </w:rPr>
    </w:tblStylePr>
    <w:tblStylePr w:type="lastCol">
      <w:rPr>
        <w:b/>
        <w:bCs/>
      </w:rPr>
    </w:tblStylePr>
    <w:tblStylePr w:type="band1Vert">
      <w:tblPr/>
      <w:tcPr>
        <w:shd w:val="clear" w:color="auto" w:fill="7E91C2" w:themeFill="accent2" w:themeFillTint="7F"/>
      </w:tcPr>
    </w:tblStylePr>
    <w:tblStylePr w:type="band1Horz">
      <w:tblPr/>
      <w:tcPr>
        <w:shd w:val="clear" w:color="auto" w:fill="7E91C2" w:themeFill="accent2" w:themeFillTint="7F"/>
      </w:tcPr>
    </w:tblStylePr>
  </w:style>
  <w:style w:type="table" w:styleId="MediumGrid1-Accent3">
    <w:name w:val="Medium Grid 1 Accent 3"/>
    <w:basedOn w:val="TableNormal"/>
    <w:uiPriority w:val="98"/>
    <w:rsid w:val="009629FA"/>
    <w:tblPr>
      <w:tblStyleRowBandSize w:val="1"/>
      <w:tblStyleColBandSize w:val="1"/>
      <w:tblBorders>
        <w:top w:val="single" w:sz="8" w:space="0" w:color="B2FF0E" w:themeColor="accent3" w:themeTint="BF"/>
        <w:left w:val="single" w:sz="8" w:space="0" w:color="B2FF0E" w:themeColor="accent3" w:themeTint="BF"/>
        <w:bottom w:val="single" w:sz="8" w:space="0" w:color="B2FF0E" w:themeColor="accent3" w:themeTint="BF"/>
        <w:right w:val="single" w:sz="8" w:space="0" w:color="B2FF0E" w:themeColor="accent3" w:themeTint="BF"/>
        <w:insideH w:val="single" w:sz="8" w:space="0" w:color="B2FF0E" w:themeColor="accent3" w:themeTint="BF"/>
        <w:insideV w:val="single" w:sz="8" w:space="0" w:color="B2FF0E" w:themeColor="accent3" w:themeTint="BF"/>
      </w:tblBorders>
    </w:tblPr>
    <w:tcPr>
      <w:shd w:val="clear" w:color="auto" w:fill="E5FFAF" w:themeFill="accent3"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B2FF0E" w:themeColor="accent3" w:themeTint="BF"/>
        </w:tcBorders>
      </w:tcPr>
    </w:tblStylePr>
    <w:tblStylePr w:type="firstCol">
      <w:rPr>
        <w:b/>
        <w:bCs/>
      </w:rPr>
    </w:tblStylePr>
    <w:tblStylePr w:type="lastCol">
      <w:rPr>
        <w:b/>
        <w:bCs/>
      </w:rPr>
    </w:tblStylePr>
    <w:tblStylePr w:type="band1Vert">
      <w:tblPr/>
      <w:tcPr>
        <w:shd w:val="clear" w:color="auto" w:fill="CCFF5F" w:themeFill="accent3" w:themeFillTint="7F"/>
      </w:tcPr>
    </w:tblStylePr>
    <w:tblStylePr w:type="band1Horz">
      <w:tblPr/>
      <w:tcPr>
        <w:shd w:val="clear" w:color="auto" w:fill="CCFF5F" w:themeFill="accent3" w:themeFillTint="7F"/>
      </w:tcPr>
    </w:tblStylePr>
  </w:style>
  <w:style w:type="table" w:styleId="MediumGrid1-Accent4">
    <w:name w:val="Medium Grid 1 Accent 4"/>
    <w:basedOn w:val="TableNormal"/>
    <w:uiPriority w:val="98"/>
    <w:rsid w:val="009629FA"/>
    <w:tblPr>
      <w:tblStyleRowBandSize w:val="1"/>
      <w:tblStyleColBandSize w:val="1"/>
      <w:tblBorders>
        <w:top w:val="single" w:sz="8" w:space="0" w:color="DCCECB" w:themeColor="accent4" w:themeTint="BF"/>
        <w:left w:val="single" w:sz="8" w:space="0" w:color="DCCECB" w:themeColor="accent4" w:themeTint="BF"/>
        <w:bottom w:val="single" w:sz="8" w:space="0" w:color="DCCECB" w:themeColor="accent4" w:themeTint="BF"/>
        <w:right w:val="single" w:sz="8" w:space="0" w:color="DCCECB" w:themeColor="accent4" w:themeTint="BF"/>
        <w:insideH w:val="single" w:sz="8" w:space="0" w:color="DCCECB" w:themeColor="accent4" w:themeTint="BF"/>
        <w:insideV w:val="single" w:sz="8" w:space="0" w:color="DCCECB" w:themeColor="accent4" w:themeTint="BF"/>
      </w:tblBorders>
    </w:tblPr>
    <w:tcPr>
      <w:shd w:val="clear" w:color="auto" w:fill="F3EEED" w:themeFill="accent4"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DCCECB" w:themeColor="accent4" w:themeTint="BF"/>
        </w:tcBorders>
      </w:tcPr>
    </w:tblStylePr>
    <w:tblStylePr w:type="firstCol">
      <w:rPr>
        <w:b/>
        <w:bCs/>
      </w:rPr>
    </w:tblStylePr>
    <w:tblStylePr w:type="lastCol">
      <w:rPr>
        <w:b/>
        <w:bCs/>
      </w:rPr>
    </w:tblStylePr>
    <w:tblStylePr w:type="band1Vert">
      <w:tblPr/>
      <w:tcPr>
        <w:shd w:val="clear" w:color="auto" w:fill="E8DEDC" w:themeFill="accent4" w:themeFillTint="7F"/>
      </w:tcPr>
    </w:tblStylePr>
    <w:tblStylePr w:type="band1Horz">
      <w:tblPr/>
      <w:tcPr>
        <w:shd w:val="clear" w:color="auto" w:fill="E8DEDC" w:themeFill="accent4" w:themeFillTint="7F"/>
      </w:tcPr>
    </w:tblStylePr>
  </w:style>
  <w:style w:type="table" w:styleId="MediumGrid1-Accent5">
    <w:name w:val="Medium Grid 1 Accent 5"/>
    <w:basedOn w:val="TableNormal"/>
    <w:uiPriority w:val="98"/>
    <w:rsid w:val="009629FA"/>
    <w:tblPr>
      <w:tblStyleRowBandSize w:val="1"/>
      <w:tblStyleColBandSize w:val="1"/>
      <w:tblBorders>
        <w:top w:val="single" w:sz="8" w:space="0" w:color="00A6C4" w:themeColor="accent5" w:themeTint="BF"/>
        <w:left w:val="single" w:sz="8" w:space="0" w:color="00A6C4" w:themeColor="accent5" w:themeTint="BF"/>
        <w:bottom w:val="single" w:sz="8" w:space="0" w:color="00A6C4" w:themeColor="accent5" w:themeTint="BF"/>
        <w:right w:val="single" w:sz="8" w:space="0" w:color="00A6C4" w:themeColor="accent5" w:themeTint="BF"/>
        <w:insideH w:val="single" w:sz="8" w:space="0" w:color="00A6C4" w:themeColor="accent5" w:themeTint="BF"/>
        <w:insideV w:val="single" w:sz="8" w:space="0" w:color="00A6C4" w:themeColor="accent5" w:themeTint="BF"/>
      </w:tblBorders>
    </w:tblPr>
    <w:tcPr>
      <w:shd w:val="clear" w:color="auto" w:fill="97EFFF" w:themeFill="accent5"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00A6C4" w:themeColor="accent5" w:themeTint="BF"/>
        </w:tcBorders>
      </w:tcPr>
    </w:tblStylePr>
    <w:tblStylePr w:type="firstCol">
      <w:rPr>
        <w:b/>
        <w:bCs/>
      </w:rPr>
    </w:tblStylePr>
    <w:tblStylePr w:type="lastCol">
      <w:rPr>
        <w:b/>
        <w:bCs/>
      </w:rPr>
    </w:tblStylePr>
    <w:tblStylePr w:type="band1Vert">
      <w:tblPr/>
      <w:tcPr>
        <w:shd w:val="clear" w:color="auto" w:fill="2EDFFF" w:themeFill="accent5" w:themeFillTint="7F"/>
      </w:tcPr>
    </w:tblStylePr>
    <w:tblStylePr w:type="band1Horz">
      <w:tblPr/>
      <w:tcPr>
        <w:shd w:val="clear" w:color="auto" w:fill="2EDFFF" w:themeFill="accent5" w:themeFillTint="7F"/>
      </w:tcPr>
    </w:tblStylePr>
  </w:style>
  <w:style w:type="table" w:styleId="MediumGrid1-Accent6">
    <w:name w:val="Medium Grid 1 Accent 6"/>
    <w:basedOn w:val="TableNormal"/>
    <w:uiPriority w:val="98"/>
    <w:rsid w:val="009629FA"/>
    <w:tblPr>
      <w:tblStyleRowBandSize w:val="1"/>
      <w:tblStyleColBandSize w:val="1"/>
      <w:tblBorders>
        <w:top w:val="single" w:sz="8" w:space="0" w:color="4D9460" w:themeColor="accent6" w:themeTint="BF"/>
        <w:left w:val="single" w:sz="8" w:space="0" w:color="4D9460" w:themeColor="accent6" w:themeTint="BF"/>
        <w:bottom w:val="single" w:sz="8" w:space="0" w:color="4D9460" w:themeColor="accent6" w:themeTint="BF"/>
        <w:right w:val="single" w:sz="8" w:space="0" w:color="4D9460" w:themeColor="accent6" w:themeTint="BF"/>
        <w:insideH w:val="single" w:sz="8" w:space="0" w:color="4D9460" w:themeColor="accent6" w:themeTint="BF"/>
        <w:insideV w:val="single" w:sz="8" w:space="0" w:color="4D9460" w:themeColor="accent6" w:themeTint="BF"/>
      </w:tblBorders>
    </w:tblPr>
    <w:tcPr>
      <w:shd w:val="clear" w:color="auto" w:fill="C1DEC9" w:themeFill="accent6" w:themeFillTint="3F"/>
      <w:tcMar>
        <w:top w:w="57" w:type="dxa"/>
        <w:left w:w="57" w:type="dxa"/>
        <w:bottom w:w="57" w:type="dxa"/>
        <w:right w:w="57" w:type="dxa"/>
      </w:tcMar>
    </w:tcPr>
    <w:tblStylePr w:type="firstRow">
      <w:rPr>
        <w:rFonts w:asciiTheme="majorHAnsi" w:hAnsiTheme="majorHAnsi" w:cstheme="majorHAnsi"/>
        <w:b/>
        <w:bCs/>
      </w:rPr>
    </w:tblStylePr>
    <w:tblStylePr w:type="lastRow">
      <w:rPr>
        <w:b/>
        <w:bCs/>
      </w:rPr>
      <w:tblPr/>
      <w:tcPr>
        <w:tcBorders>
          <w:top w:val="single" w:sz="18" w:space="0" w:color="4D9460" w:themeColor="accent6" w:themeTint="BF"/>
        </w:tcBorders>
      </w:tcPr>
    </w:tblStylePr>
    <w:tblStylePr w:type="firstCol">
      <w:rPr>
        <w:b/>
        <w:bCs/>
      </w:rPr>
    </w:tblStylePr>
    <w:tblStylePr w:type="lastCol">
      <w:rPr>
        <w:b/>
        <w:bCs/>
      </w:rPr>
    </w:tblStylePr>
    <w:tblStylePr w:type="band1Vert">
      <w:tblPr/>
      <w:tcPr>
        <w:shd w:val="clear" w:color="auto" w:fill="82BE92" w:themeFill="accent6" w:themeFillTint="7F"/>
      </w:tcPr>
    </w:tblStylePr>
    <w:tblStylePr w:type="band1Horz">
      <w:tblPr/>
      <w:tcPr>
        <w:shd w:val="clear" w:color="auto" w:fill="82BE92" w:themeFill="accent6" w:themeFillTint="7F"/>
      </w:tcPr>
    </w:tblStylePr>
  </w:style>
  <w:style w:type="table" w:styleId="MediumGrid2">
    <w:name w:val="Medium Grid 2"/>
    <w:basedOn w:val="TableNormal"/>
    <w:uiPriority w:val="98"/>
    <w:rsid w:val="009629FA"/>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9629FA"/>
    <w:rPr>
      <w:rFonts w:eastAsiaTheme="majorEastAsia"/>
      <w:color w:val="000000" w:themeColor="text1"/>
    </w:rPr>
    <w:tblPr>
      <w:tblStyleRowBandSize w:val="1"/>
      <w:tblStyleColBandSize w:val="1"/>
      <w:tblBorders>
        <w:top w:val="single" w:sz="8" w:space="0" w:color="6CBBA8" w:themeColor="accent1"/>
        <w:left w:val="single" w:sz="8" w:space="0" w:color="6CBBA8" w:themeColor="accent1"/>
        <w:bottom w:val="single" w:sz="8" w:space="0" w:color="6CBBA8" w:themeColor="accent1"/>
        <w:right w:val="single" w:sz="8" w:space="0" w:color="6CBBA8" w:themeColor="accent1"/>
        <w:insideH w:val="single" w:sz="8" w:space="0" w:color="6CBBA8" w:themeColor="accent1"/>
        <w:insideV w:val="single" w:sz="8" w:space="0" w:color="6CBBA8" w:themeColor="accent1"/>
      </w:tblBorders>
    </w:tblPr>
    <w:tcPr>
      <w:shd w:val="clear" w:color="auto" w:fill="DAEEE9" w:themeFill="accent1"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0F8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ED" w:themeFill="accent1" w:themeFillTint="33"/>
      </w:tcPr>
    </w:tblStylePr>
    <w:tblStylePr w:type="band1Vert">
      <w:tblPr/>
      <w:tcPr>
        <w:shd w:val="clear" w:color="auto" w:fill="B5DDD3" w:themeFill="accent1" w:themeFillTint="7F"/>
      </w:tcPr>
    </w:tblStylePr>
    <w:tblStylePr w:type="band1Horz">
      <w:tblPr/>
      <w:tcPr>
        <w:tcBorders>
          <w:insideH w:val="single" w:sz="6" w:space="0" w:color="6CBBA8" w:themeColor="accent1"/>
          <w:insideV w:val="single" w:sz="6" w:space="0" w:color="6CBBA8" w:themeColor="accent1"/>
        </w:tcBorders>
        <w:shd w:val="clear" w:color="auto" w:fill="B5DD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9629FA"/>
    <w:rPr>
      <w:rFonts w:eastAsiaTheme="majorEastAsia"/>
      <w:color w:val="000000" w:themeColor="text1"/>
    </w:rPr>
    <w:tblPr>
      <w:tblStyleRowBandSize w:val="1"/>
      <w:tblStyleColBandSize w:val="1"/>
      <w:tblBorders>
        <w:top w:val="single" w:sz="8" w:space="0" w:color="2A3759" w:themeColor="accent2"/>
        <w:left w:val="single" w:sz="8" w:space="0" w:color="2A3759" w:themeColor="accent2"/>
        <w:bottom w:val="single" w:sz="8" w:space="0" w:color="2A3759" w:themeColor="accent2"/>
        <w:right w:val="single" w:sz="8" w:space="0" w:color="2A3759" w:themeColor="accent2"/>
        <w:insideH w:val="single" w:sz="8" w:space="0" w:color="2A3759" w:themeColor="accent2"/>
        <w:insideV w:val="single" w:sz="8" w:space="0" w:color="2A3759" w:themeColor="accent2"/>
      </w:tblBorders>
    </w:tblPr>
    <w:tcPr>
      <w:shd w:val="clear" w:color="auto" w:fill="BFC8E1" w:themeFill="accent2"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5E9F3"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BD2E6" w:themeFill="accent2" w:themeFillTint="33"/>
      </w:tcPr>
    </w:tblStylePr>
    <w:tblStylePr w:type="band1Vert">
      <w:tblPr/>
      <w:tcPr>
        <w:shd w:val="clear" w:color="auto" w:fill="7E91C2" w:themeFill="accent2" w:themeFillTint="7F"/>
      </w:tcPr>
    </w:tblStylePr>
    <w:tblStylePr w:type="band1Horz">
      <w:tblPr/>
      <w:tcPr>
        <w:tcBorders>
          <w:insideH w:val="single" w:sz="6" w:space="0" w:color="2A3759" w:themeColor="accent2"/>
          <w:insideV w:val="single" w:sz="6" w:space="0" w:color="2A3759" w:themeColor="accent2"/>
        </w:tcBorders>
        <w:shd w:val="clear" w:color="auto" w:fill="7E91C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9629FA"/>
    <w:rPr>
      <w:rFonts w:eastAsiaTheme="majorEastAsia"/>
      <w:color w:val="000000" w:themeColor="text1"/>
    </w:rPr>
    <w:tblPr>
      <w:tblStyleRowBandSize w:val="1"/>
      <w:tblStyleColBandSize w:val="1"/>
      <w:tblBorders>
        <w:top w:val="single" w:sz="8" w:space="0" w:color="81BD00" w:themeColor="accent3"/>
        <w:left w:val="single" w:sz="8" w:space="0" w:color="81BD00" w:themeColor="accent3"/>
        <w:bottom w:val="single" w:sz="8" w:space="0" w:color="81BD00" w:themeColor="accent3"/>
        <w:right w:val="single" w:sz="8" w:space="0" w:color="81BD00" w:themeColor="accent3"/>
        <w:insideH w:val="single" w:sz="8" w:space="0" w:color="81BD00" w:themeColor="accent3"/>
        <w:insideV w:val="single" w:sz="8" w:space="0" w:color="81BD00" w:themeColor="accent3"/>
      </w:tblBorders>
    </w:tblPr>
    <w:tcPr>
      <w:shd w:val="clear" w:color="auto" w:fill="E5FFAF" w:themeFill="accent3"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4FFD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FBE" w:themeFill="accent3" w:themeFillTint="33"/>
      </w:tcPr>
    </w:tblStylePr>
    <w:tblStylePr w:type="band1Vert">
      <w:tblPr/>
      <w:tcPr>
        <w:shd w:val="clear" w:color="auto" w:fill="CCFF5F" w:themeFill="accent3" w:themeFillTint="7F"/>
      </w:tcPr>
    </w:tblStylePr>
    <w:tblStylePr w:type="band1Horz">
      <w:tblPr/>
      <w:tcPr>
        <w:tcBorders>
          <w:insideH w:val="single" w:sz="6" w:space="0" w:color="81BD00" w:themeColor="accent3"/>
          <w:insideV w:val="single" w:sz="6" w:space="0" w:color="81BD00" w:themeColor="accent3"/>
        </w:tcBorders>
        <w:shd w:val="clear" w:color="auto" w:fill="CCFF5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9629FA"/>
    <w:rPr>
      <w:rFonts w:eastAsiaTheme="majorEastAsia"/>
      <w:color w:val="000000" w:themeColor="text1"/>
    </w:rPr>
    <w:tblPr>
      <w:tblStyleRowBandSize w:val="1"/>
      <w:tblStyleColBandSize w:val="1"/>
      <w:tblBorders>
        <w:top w:val="single" w:sz="8" w:space="0" w:color="D1BEBA" w:themeColor="accent4"/>
        <w:left w:val="single" w:sz="8" w:space="0" w:color="D1BEBA" w:themeColor="accent4"/>
        <w:bottom w:val="single" w:sz="8" w:space="0" w:color="D1BEBA" w:themeColor="accent4"/>
        <w:right w:val="single" w:sz="8" w:space="0" w:color="D1BEBA" w:themeColor="accent4"/>
        <w:insideH w:val="single" w:sz="8" w:space="0" w:color="D1BEBA" w:themeColor="accent4"/>
        <w:insideV w:val="single" w:sz="8" w:space="0" w:color="D1BEBA" w:themeColor="accent4"/>
      </w:tblBorders>
    </w:tblPr>
    <w:tcPr>
      <w:shd w:val="clear" w:color="auto" w:fill="F3EEED" w:themeFill="accent4" w:themeFillTint="3F"/>
      <w:tcMar>
        <w:top w:w="57" w:type="dxa"/>
        <w:left w:w="57" w:type="dxa"/>
        <w:bottom w:w="57" w:type="dxa"/>
        <w:right w:w="57" w:type="dxa"/>
      </w:tcMar>
    </w:tcPr>
    <w:tblStylePr w:type="firstRow">
      <w:rPr>
        <w:rFonts w:asciiTheme="majorHAnsi" w:hAnsiTheme="majorHAnsi" w:cstheme="majorHAnsi"/>
        <w:b/>
        <w:bCs/>
      </w:rPr>
      <w:tblPr/>
      <w:tcPr>
        <w:shd w:val="clear" w:color="auto" w:fill="FAF8F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1F1" w:themeFill="accent4" w:themeFillTint="33"/>
      </w:tcPr>
    </w:tblStylePr>
    <w:tblStylePr w:type="band1Vert">
      <w:tblPr/>
      <w:tcPr>
        <w:shd w:val="clear" w:color="auto" w:fill="E8DEDC" w:themeFill="accent4" w:themeFillTint="7F"/>
      </w:tcPr>
    </w:tblStylePr>
    <w:tblStylePr w:type="band1Horz">
      <w:tblPr/>
      <w:tcPr>
        <w:tcBorders>
          <w:insideH w:val="single" w:sz="6" w:space="0" w:color="D1BEBA" w:themeColor="accent4"/>
          <w:insideV w:val="single" w:sz="6" w:space="0" w:color="D1BEBA" w:themeColor="accent4"/>
        </w:tcBorders>
        <w:shd w:val="clear" w:color="auto" w:fill="E8DED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9629FA"/>
    <w:rPr>
      <w:rFonts w:eastAsiaTheme="majorEastAsia"/>
      <w:color w:val="000000" w:themeColor="text1"/>
    </w:rPr>
    <w:tblPr>
      <w:tblStyleRowBandSize w:val="1"/>
      <w:tblStyleColBandSize w:val="1"/>
      <w:tblBorders>
        <w:top w:val="single" w:sz="8" w:space="0" w:color="004E5C" w:themeColor="accent5"/>
        <w:left w:val="single" w:sz="8" w:space="0" w:color="004E5C" w:themeColor="accent5"/>
        <w:bottom w:val="single" w:sz="8" w:space="0" w:color="004E5C" w:themeColor="accent5"/>
        <w:right w:val="single" w:sz="8" w:space="0" w:color="004E5C" w:themeColor="accent5"/>
        <w:insideH w:val="single" w:sz="8" w:space="0" w:color="004E5C" w:themeColor="accent5"/>
        <w:insideV w:val="single" w:sz="8" w:space="0" w:color="004E5C" w:themeColor="accent5"/>
      </w:tblBorders>
    </w:tblPr>
    <w:tcPr>
      <w:shd w:val="clear" w:color="auto" w:fill="97EFFF" w:themeFill="accent5" w:themeFillTint="3F"/>
      <w:tcMar>
        <w:top w:w="57" w:type="dxa"/>
        <w:left w:w="57" w:type="dxa"/>
        <w:bottom w:w="57" w:type="dxa"/>
        <w:right w:w="57" w:type="dxa"/>
      </w:tcMar>
    </w:tcPr>
    <w:tblStylePr w:type="firstRow">
      <w:rPr>
        <w:rFonts w:asciiTheme="majorHAnsi" w:hAnsiTheme="majorHAnsi" w:cstheme="majorHAnsi"/>
        <w:b/>
        <w:bCs/>
      </w:rPr>
      <w:tblPr/>
      <w:tcPr>
        <w:shd w:val="clear" w:color="auto" w:fill="D6F8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BF2FF" w:themeFill="accent5" w:themeFillTint="33"/>
      </w:tcPr>
    </w:tblStylePr>
    <w:tblStylePr w:type="band1Vert">
      <w:tblPr/>
      <w:tcPr>
        <w:shd w:val="clear" w:color="auto" w:fill="2EDFFF" w:themeFill="accent5" w:themeFillTint="7F"/>
      </w:tcPr>
    </w:tblStylePr>
    <w:tblStylePr w:type="band1Horz">
      <w:tblPr/>
      <w:tcPr>
        <w:tcBorders>
          <w:insideH w:val="single" w:sz="6" w:space="0" w:color="004E5C" w:themeColor="accent5"/>
          <w:insideV w:val="single" w:sz="6" w:space="0" w:color="004E5C" w:themeColor="accent5"/>
        </w:tcBorders>
        <w:shd w:val="clear" w:color="auto" w:fill="2EDF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9629FA"/>
    <w:rPr>
      <w:rFonts w:eastAsiaTheme="majorEastAsia"/>
      <w:color w:val="000000" w:themeColor="text1"/>
    </w:rPr>
    <w:tblPr>
      <w:tblStyleRowBandSize w:val="1"/>
      <w:tblStyleColBandSize w:val="1"/>
      <w:tblBorders>
        <w:top w:val="single" w:sz="8" w:space="0" w:color="2D5638" w:themeColor="accent6"/>
        <w:left w:val="single" w:sz="8" w:space="0" w:color="2D5638" w:themeColor="accent6"/>
        <w:bottom w:val="single" w:sz="8" w:space="0" w:color="2D5638" w:themeColor="accent6"/>
        <w:right w:val="single" w:sz="8" w:space="0" w:color="2D5638" w:themeColor="accent6"/>
        <w:insideH w:val="single" w:sz="8" w:space="0" w:color="2D5638" w:themeColor="accent6"/>
        <w:insideV w:val="single" w:sz="8" w:space="0" w:color="2D5638" w:themeColor="accent6"/>
      </w:tblBorders>
    </w:tblPr>
    <w:tcPr>
      <w:shd w:val="clear" w:color="auto" w:fill="C1DEC9" w:themeFill="accent6" w:themeFillTint="3F"/>
      <w:tcMar>
        <w:top w:w="57" w:type="dxa"/>
        <w:left w:w="57" w:type="dxa"/>
        <w:bottom w:w="57" w:type="dxa"/>
        <w:right w:w="57" w:type="dxa"/>
      </w:tcMar>
    </w:tcPr>
    <w:tblStylePr w:type="firstRow">
      <w:rPr>
        <w:rFonts w:asciiTheme="majorHAnsi" w:hAnsiTheme="majorHAnsi" w:cstheme="majorHAnsi"/>
        <w:b/>
        <w:bCs/>
      </w:rPr>
      <w:tblPr/>
      <w:tcPr>
        <w:shd w:val="clear" w:color="auto" w:fill="E6F2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E5D3" w:themeFill="accent6" w:themeFillTint="33"/>
      </w:tcPr>
    </w:tblStylePr>
    <w:tblStylePr w:type="band1Vert">
      <w:tblPr/>
      <w:tcPr>
        <w:shd w:val="clear" w:color="auto" w:fill="82BE92" w:themeFill="accent6" w:themeFillTint="7F"/>
      </w:tcPr>
    </w:tblStylePr>
    <w:tblStylePr w:type="band1Horz">
      <w:tblPr/>
      <w:tcPr>
        <w:tcBorders>
          <w:insideH w:val="single" w:sz="6" w:space="0" w:color="2D5638" w:themeColor="accent6"/>
          <w:insideV w:val="single" w:sz="6" w:space="0" w:color="2D5638" w:themeColor="accent6"/>
        </w:tcBorders>
        <w:shd w:val="clear" w:color="auto" w:fill="82BE9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E9" w:themeFill="accent1"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BBA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BBA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BBA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BBA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DD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DDD3" w:themeFill="accent1" w:themeFillTint="7F"/>
      </w:tcPr>
    </w:tblStylePr>
  </w:style>
  <w:style w:type="table" w:styleId="MediumGrid3-Accent2">
    <w:name w:val="Medium Grid 3 Accent 2"/>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FC8E1" w:themeFill="accent2"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A375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A375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A375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A375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E91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E91C2" w:themeFill="accent2" w:themeFillTint="7F"/>
      </w:tcPr>
    </w:tblStylePr>
  </w:style>
  <w:style w:type="table" w:styleId="MediumGrid3-Accent3">
    <w:name w:val="Medium Grid 3 Accent 3"/>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FFAF" w:themeFill="accent3"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1BD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1BD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1BD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1BD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FF5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FF5F" w:themeFill="accent3" w:themeFillTint="7F"/>
      </w:tcPr>
    </w:tblStylePr>
  </w:style>
  <w:style w:type="table" w:styleId="MediumGrid3-Accent4">
    <w:name w:val="Medium Grid 3 Accent 4"/>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EEED" w:themeFill="accent4"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BEB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BEB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BEB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BEB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DED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DEDC" w:themeFill="accent4" w:themeFillTint="7F"/>
      </w:tcPr>
    </w:tblStylePr>
  </w:style>
  <w:style w:type="table" w:styleId="MediumGrid3-Accent5">
    <w:name w:val="Medium Grid 3 Accent 5"/>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7EFFF" w:themeFill="accent5"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E5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E5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E5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E5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EDF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EDFFF" w:themeFill="accent5" w:themeFillTint="7F"/>
      </w:tcPr>
    </w:tblStylePr>
  </w:style>
  <w:style w:type="table" w:styleId="MediumGrid3-Accent6">
    <w:name w:val="Medium Grid 3 Accent 6"/>
    <w:basedOn w:val="TableNormal"/>
    <w:uiPriority w:val="98"/>
    <w:rsid w:val="009629F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DEC9" w:themeFill="accent6" w:themeFillTint="3F"/>
      <w:tcMar>
        <w:top w:w="57" w:type="dxa"/>
        <w:left w:w="57" w:type="dxa"/>
        <w:bottom w:w="57" w:type="dxa"/>
        <w:right w:w="57" w:type="dxa"/>
      </w:tcMar>
    </w:tcPr>
    <w:tblStylePr w:type="firstRow">
      <w:rPr>
        <w:rFonts w:asciiTheme="majorHAnsi" w:hAnsiTheme="majorHAnsi" w:cs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D563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D563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D563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D563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2BE9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2BE92" w:themeFill="accent6" w:themeFillTint="7F"/>
      </w:tcPr>
    </w:tblStylePr>
  </w:style>
  <w:style w:type="table" w:styleId="MediumList1">
    <w:name w:val="Medium List 1"/>
    <w:basedOn w:val="TableNormal"/>
    <w:uiPriority w:val="98"/>
    <w:rsid w:val="009629FA"/>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000000" w:themeColor="text1"/>
        </w:tcBorders>
      </w:tcPr>
    </w:tblStylePr>
    <w:tblStylePr w:type="lastRow">
      <w:rPr>
        <w:b/>
        <w:bCs/>
        <w:color w:val="004E5C"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9629FA"/>
    <w:rPr>
      <w:color w:val="000000" w:themeColor="text1"/>
    </w:rPr>
    <w:tblPr>
      <w:tblStyleRowBandSize w:val="1"/>
      <w:tblStyleColBandSize w:val="1"/>
      <w:tblBorders>
        <w:top w:val="single" w:sz="8" w:space="0" w:color="6CBBA8" w:themeColor="accent1"/>
        <w:bottom w:val="single" w:sz="8" w:space="0" w:color="6CBBA8" w:themeColor="accent1"/>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6CBBA8" w:themeColor="accent1"/>
        </w:tcBorders>
      </w:tcPr>
    </w:tblStylePr>
    <w:tblStylePr w:type="lastRow">
      <w:rPr>
        <w:b/>
        <w:bCs/>
        <w:color w:val="004E5C" w:themeColor="text2"/>
      </w:rPr>
      <w:tblPr/>
      <w:tcPr>
        <w:tcBorders>
          <w:top w:val="single" w:sz="8" w:space="0" w:color="6CBBA8" w:themeColor="accent1"/>
          <w:bottom w:val="single" w:sz="8" w:space="0" w:color="6CBBA8" w:themeColor="accent1"/>
        </w:tcBorders>
      </w:tcPr>
    </w:tblStylePr>
    <w:tblStylePr w:type="firstCol">
      <w:rPr>
        <w:b/>
        <w:bCs/>
      </w:rPr>
    </w:tblStylePr>
    <w:tblStylePr w:type="lastCol">
      <w:rPr>
        <w:b/>
        <w:bCs/>
      </w:rPr>
      <w:tblPr/>
      <w:tcPr>
        <w:tcBorders>
          <w:top w:val="single" w:sz="8" w:space="0" w:color="6CBBA8" w:themeColor="accent1"/>
          <w:bottom w:val="single" w:sz="8" w:space="0" w:color="6CBBA8" w:themeColor="accent1"/>
        </w:tcBorders>
      </w:tcPr>
    </w:tblStylePr>
    <w:tblStylePr w:type="band1Vert">
      <w:tblPr/>
      <w:tcPr>
        <w:shd w:val="clear" w:color="auto" w:fill="DAEEE9" w:themeFill="accent1" w:themeFillTint="3F"/>
      </w:tcPr>
    </w:tblStylePr>
    <w:tblStylePr w:type="band1Horz">
      <w:tblPr/>
      <w:tcPr>
        <w:shd w:val="clear" w:color="auto" w:fill="DAEEE9" w:themeFill="accent1" w:themeFillTint="3F"/>
      </w:tcPr>
    </w:tblStylePr>
  </w:style>
  <w:style w:type="table" w:styleId="MediumList1-Accent2">
    <w:name w:val="Medium List 1 Accent 2"/>
    <w:basedOn w:val="TableNormal"/>
    <w:uiPriority w:val="98"/>
    <w:rsid w:val="009629FA"/>
    <w:rPr>
      <w:color w:val="000000" w:themeColor="text1"/>
    </w:rPr>
    <w:tblPr>
      <w:tblStyleRowBandSize w:val="1"/>
      <w:tblStyleColBandSize w:val="1"/>
      <w:tblBorders>
        <w:top w:val="single" w:sz="8" w:space="0" w:color="2A3759" w:themeColor="accent2"/>
        <w:bottom w:val="single" w:sz="8" w:space="0" w:color="2A3759" w:themeColor="accent2"/>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2A3759" w:themeColor="accent2"/>
        </w:tcBorders>
      </w:tcPr>
    </w:tblStylePr>
    <w:tblStylePr w:type="lastRow">
      <w:rPr>
        <w:b/>
        <w:bCs/>
        <w:color w:val="004E5C" w:themeColor="text2"/>
      </w:rPr>
      <w:tblPr/>
      <w:tcPr>
        <w:tcBorders>
          <w:top w:val="single" w:sz="8" w:space="0" w:color="2A3759" w:themeColor="accent2"/>
          <w:bottom w:val="single" w:sz="8" w:space="0" w:color="2A3759" w:themeColor="accent2"/>
        </w:tcBorders>
      </w:tcPr>
    </w:tblStylePr>
    <w:tblStylePr w:type="firstCol">
      <w:rPr>
        <w:b/>
        <w:bCs/>
      </w:rPr>
    </w:tblStylePr>
    <w:tblStylePr w:type="lastCol">
      <w:rPr>
        <w:b/>
        <w:bCs/>
      </w:rPr>
      <w:tblPr/>
      <w:tcPr>
        <w:tcBorders>
          <w:top w:val="single" w:sz="8" w:space="0" w:color="2A3759" w:themeColor="accent2"/>
          <w:bottom w:val="single" w:sz="8" w:space="0" w:color="2A3759" w:themeColor="accent2"/>
        </w:tcBorders>
      </w:tcPr>
    </w:tblStylePr>
    <w:tblStylePr w:type="band1Vert">
      <w:tblPr/>
      <w:tcPr>
        <w:shd w:val="clear" w:color="auto" w:fill="BFC8E1" w:themeFill="accent2" w:themeFillTint="3F"/>
      </w:tcPr>
    </w:tblStylePr>
    <w:tblStylePr w:type="band1Horz">
      <w:tblPr/>
      <w:tcPr>
        <w:shd w:val="clear" w:color="auto" w:fill="BFC8E1" w:themeFill="accent2" w:themeFillTint="3F"/>
      </w:tcPr>
    </w:tblStylePr>
  </w:style>
  <w:style w:type="table" w:styleId="MediumList1-Accent3">
    <w:name w:val="Medium List 1 Accent 3"/>
    <w:basedOn w:val="TableNormal"/>
    <w:uiPriority w:val="98"/>
    <w:rsid w:val="009629FA"/>
    <w:rPr>
      <w:color w:val="000000" w:themeColor="text1"/>
    </w:rPr>
    <w:tblPr>
      <w:tblStyleRowBandSize w:val="1"/>
      <w:tblStyleColBandSize w:val="1"/>
      <w:tblBorders>
        <w:top w:val="single" w:sz="8" w:space="0" w:color="81BD00" w:themeColor="accent3"/>
        <w:bottom w:val="single" w:sz="8" w:space="0" w:color="81BD00" w:themeColor="accent3"/>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81BD00" w:themeColor="accent3"/>
        </w:tcBorders>
      </w:tcPr>
    </w:tblStylePr>
    <w:tblStylePr w:type="lastRow">
      <w:rPr>
        <w:b/>
        <w:bCs/>
        <w:color w:val="004E5C" w:themeColor="text2"/>
      </w:rPr>
      <w:tblPr/>
      <w:tcPr>
        <w:tcBorders>
          <w:top w:val="single" w:sz="8" w:space="0" w:color="81BD00" w:themeColor="accent3"/>
          <w:bottom w:val="single" w:sz="8" w:space="0" w:color="81BD00" w:themeColor="accent3"/>
        </w:tcBorders>
      </w:tcPr>
    </w:tblStylePr>
    <w:tblStylePr w:type="firstCol">
      <w:rPr>
        <w:b/>
        <w:bCs/>
      </w:rPr>
    </w:tblStylePr>
    <w:tblStylePr w:type="lastCol">
      <w:rPr>
        <w:b/>
        <w:bCs/>
      </w:rPr>
      <w:tblPr/>
      <w:tcPr>
        <w:tcBorders>
          <w:top w:val="single" w:sz="8" w:space="0" w:color="81BD00" w:themeColor="accent3"/>
          <w:bottom w:val="single" w:sz="8" w:space="0" w:color="81BD00" w:themeColor="accent3"/>
        </w:tcBorders>
      </w:tcPr>
    </w:tblStylePr>
    <w:tblStylePr w:type="band1Vert">
      <w:tblPr/>
      <w:tcPr>
        <w:shd w:val="clear" w:color="auto" w:fill="E5FFAF" w:themeFill="accent3" w:themeFillTint="3F"/>
      </w:tcPr>
    </w:tblStylePr>
    <w:tblStylePr w:type="band1Horz">
      <w:tblPr/>
      <w:tcPr>
        <w:shd w:val="clear" w:color="auto" w:fill="E5FFAF" w:themeFill="accent3" w:themeFillTint="3F"/>
      </w:tcPr>
    </w:tblStylePr>
  </w:style>
  <w:style w:type="table" w:styleId="MediumList1-Accent4">
    <w:name w:val="Medium List 1 Accent 4"/>
    <w:basedOn w:val="TableNormal"/>
    <w:uiPriority w:val="98"/>
    <w:rsid w:val="009629FA"/>
    <w:rPr>
      <w:color w:val="000000" w:themeColor="text1"/>
    </w:rPr>
    <w:tblPr>
      <w:tblStyleRowBandSize w:val="1"/>
      <w:tblStyleColBandSize w:val="1"/>
      <w:tblBorders>
        <w:top w:val="single" w:sz="8" w:space="0" w:color="D1BEBA" w:themeColor="accent4"/>
        <w:bottom w:val="single" w:sz="8" w:space="0" w:color="D1BEBA" w:themeColor="accent4"/>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D1BEBA" w:themeColor="accent4"/>
        </w:tcBorders>
      </w:tcPr>
    </w:tblStylePr>
    <w:tblStylePr w:type="lastRow">
      <w:rPr>
        <w:b/>
        <w:bCs/>
        <w:color w:val="004E5C" w:themeColor="text2"/>
      </w:rPr>
      <w:tblPr/>
      <w:tcPr>
        <w:tcBorders>
          <w:top w:val="single" w:sz="8" w:space="0" w:color="D1BEBA" w:themeColor="accent4"/>
          <w:bottom w:val="single" w:sz="8" w:space="0" w:color="D1BEBA" w:themeColor="accent4"/>
        </w:tcBorders>
      </w:tcPr>
    </w:tblStylePr>
    <w:tblStylePr w:type="firstCol">
      <w:rPr>
        <w:b/>
        <w:bCs/>
      </w:rPr>
    </w:tblStylePr>
    <w:tblStylePr w:type="lastCol">
      <w:rPr>
        <w:b/>
        <w:bCs/>
      </w:rPr>
      <w:tblPr/>
      <w:tcPr>
        <w:tcBorders>
          <w:top w:val="single" w:sz="8" w:space="0" w:color="D1BEBA" w:themeColor="accent4"/>
          <w:bottom w:val="single" w:sz="8" w:space="0" w:color="D1BEBA" w:themeColor="accent4"/>
        </w:tcBorders>
      </w:tcPr>
    </w:tblStylePr>
    <w:tblStylePr w:type="band1Vert">
      <w:tblPr/>
      <w:tcPr>
        <w:shd w:val="clear" w:color="auto" w:fill="F3EEED" w:themeFill="accent4" w:themeFillTint="3F"/>
      </w:tcPr>
    </w:tblStylePr>
    <w:tblStylePr w:type="band1Horz">
      <w:tblPr/>
      <w:tcPr>
        <w:shd w:val="clear" w:color="auto" w:fill="F3EEED" w:themeFill="accent4" w:themeFillTint="3F"/>
      </w:tcPr>
    </w:tblStylePr>
  </w:style>
  <w:style w:type="table" w:styleId="MediumList1-Accent5">
    <w:name w:val="Medium List 1 Accent 5"/>
    <w:basedOn w:val="TableNormal"/>
    <w:uiPriority w:val="98"/>
    <w:rsid w:val="009629FA"/>
    <w:rPr>
      <w:color w:val="000000" w:themeColor="text1"/>
    </w:rPr>
    <w:tblPr>
      <w:tblStyleRowBandSize w:val="1"/>
      <w:tblStyleColBandSize w:val="1"/>
      <w:tblBorders>
        <w:top w:val="single" w:sz="8" w:space="0" w:color="004E5C" w:themeColor="accent5"/>
        <w:bottom w:val="single" w:sz="8" w:space="0" w:color="004E5C" w:themeColor="accent5"/>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004E5C" w:themeColor="accent5"/>
        </w:tcBorders>
      </w:tcPr>
    </w:tblStylePr>
    <w:tblStylePr w:type="lastRow">
      <w:rPr>
        <w:b/>
        <w:bCs/>
        <w:color w:val="004E5C" w:themeColor="text2"/>
      </w:rPr>
      <w:tblPr/>
      <w:tcPr>
        <w:tcBorders>
          <w:top w:val="single" w:sz="8" w:space="0" w:color="004E5C" w:themeColor="accent5"/>
          <w:bottom w:val="single" w:sz="8" w:space="0" w:color="004E5C" w:themeColor="accent5"/>
        </w:tcBorders>
      </w:tcPr>
    </w:tblStylePr>
    <w:tblStylePr w:type="firstCol">
      <w:rPr>
        <w:b/>
        <w:bCs/>
      </w:rPr>
    </w:tblStylePr>
    <w:tblStylePr w:type="lastCol">
      <w:rPr>
        <w:b/>
        <w:bCs/>
      </w:rPr>
      <w:tblPr/>
      <w:tcPr>
        <w:tcBorders>
          <w:top w:val="single" w:sz="8" w:space="0" w:color="004E5C" w:themeColor="accent5"/>
          <w:bottom w:val="single" w:sz="8" w:space="0" w:color="004E5C" w:themeColor="accent5"/>
        </w:tcBorders>
      </w:tcPr>
    </w:tblStylePr>
    <w:tblStylePr w:type="band1Vert">
      <w:tblPr/>
      <w:tcPr>
        <w:shd w:val="clear" w:color="auto" w:fill="97EFFF" w:themeFill="accent5" w:themeFillTint="3F"/>
      </w:tcPr>
    </w:tblStylePr>
    <w:tblStylePr w:type="band1Horz">
      <w:tblPr/>
      <w:tcPr>
        <w:shd w:val="clear" w:color="auto" w:fill="97EFFF" w:themeFill="accent5" w:themeFillTint="3F"/>
      </w:tcPr>
    </w:tblStylePr>
  </w:style>
  <w:style w:type="table" w:styleId="MediumList1-Accent6">
    <w:name w:val="Medium List 1 Accent 6"/>
    <w:basedOn w:val="TableNormal"/>
    <w:uiPriority w:val="98"/>
    <w:rsid w:val="009629FA"/>
    <w:rPr>
      <w:color w:val="000000" w:themeColor="text1"/>
    </w:rPr>
    <w:tblPr>
      <w:tblStyleRowBandSize w:val="1"/>
      <w:tblStyleColBandSize w:val="1"/>
      <w:tblBorders>
        <w:top w:val="single" w:sz="8" w:space="0" w:color="2D5638" w:themeColor="accent6"/>
        <w:bottom w:val="single" w:sz="8" w:space="0" w:color="2D5638" w:themeColor="accent6"/>
      </w:tblBorders>
    </w:tblPr>
    <w:tcPr>
      <w:tcMar>
        <w:top w:w="57" w:type="dxa"/>
        <w:left w:w="57" w:type="dxa"/>
        <w:bottom w:w="57" w:type="dxa"/>
        <w:right w:w="57" w:type="dxa"/>
      </w:tcMar>
    </w:tcPr>
    <w:tblStylePr w:type="firstRow">
      <w:rPr>
        <w:rFonts w:asciiTheme="majorHAnsi" w:eastAsiaTheme="majorEastAsia" w:hAnsiTheme="majorHAnsi" w:cstheme="majorHAnsi"/>
      </w:rPr>
      <w:tblPr/>
      <w:tcPr>
        <w:tcBorders>
          <w:top w:val="nil"/>
          <w:bottom w:val="single" w:sz="8" w:space="0" w:color="2D5638" w:themeColor="accent6"/>
        </w:tcBorders>
      </w:tcPr>
    </w:tblStylePr>
    <w:tblStylePr w:type="lastRow">
      <w:rPr>
        <w:b/>
        <w:bCs/>
        <w:color w:val="004E5C" w:themeColor="text2"/>
      </w:rPr>
      <w:tblPr/>
      <w:tcPr>
        <w:tcBorders>
          <w:top w:val="single" w:sz="8" w:space="0" w:color="2D5638" w:themeColor="accent6"/>
          <w:bottom w:val="single" w:sz="8" w:space="0" w:color="2D5638" w:themeColor="accent6"/>
        </w:tcBorders>
      </w:tcPr>
    </w:tblStylePr>
    <w:tblStylePr w:type="firstCol">
      <w:rPr>
        <w:b/>
        <w:bCs/>
      </w:rPr>
    </w:tblStylePr>
    <w:tblStylePr w:type="lastCol">
      <w:rPr>
        <w:b/>
        <w:bCs/>
      </w:rPr>
      <w:tblPr/>
      <w:tcPr>
        <w:tcBorders>
          <w:top w:val="single" w:sz="8" w:space="0" w:color="2D5638" w:themeColor="accent6"/>
          <w:bottom w:val="single" w:sz="8" w:space="0" w:color="2D5638" w:themeColor="accent6"/>
        </w:tcBorders>
      </w:tcPr>
    </w:tblStylePr>
    <w:tblStylePr w:type="band1Vert">
      <w:tblPr/>
      <w:tcPr>
        <w:shd w:val="clear" w:color="auto" w:fill="C1DEC9" w:themeFill="accent6" w:themeFillTint="3F"/>
      </w:tcPr>
    </w:tblStylePr>
    <w:tblStylePr w:type="band1Horz">
      <w:tblPr/>
      <w:tcPr>
        <w:shd w:val="clear" w:color="auto" w:fill="C1DEC9" w:themeFill="accent6" w:themeFillTint="3F"/>
      </w:tcPr>
    </w:tblStylePr>
  </w:style>
  <w:style w:type="table" w:styleId="MediumList2">
    <w:name w:val="Medium List 2"/>
    <w:basedOn w:val="TableNormal"/>
    <w:uiPriority w:val="98"/>
    <w:rsid w:val="009629FA"/>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9629FA"/>
    <w:rPr>
      <w:rFonts w:eastAsiaTheme="majorEastAsia"/>
      <w:color w:val="000000" w:themeColor="text1"/>
    </w:rPr>
    <w:tblPr>
      <w:tblStyleRowBandSize w:val="1"/>
      <w:tblStyleColBandSize w:val="1"/>
      <w:tblBorders>
        <w:top w:val="single" w:sz="8" w:space="0" w:color="6CBBA8" w:themeColor="accent1"/>
        <w:left w:val="single" w:sz="8" w:space="0" w:color="6CBBA8" w:themeColor="accent1"/>
        <w:bottom w:val="single" w:sz="8" w:space="0" w:color="6CBBA8" w:themeColor="accent1"/>
        <w:right w:val="single" w:sz="8" w:space="0" w:color="6CBBA8" w:themeColor="accent1"/>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6CBBA8" w:themeColor="accent1"/>
          <w:right w:val="nil"/>
          <w:insideH w:val="nil"/>
          <w:insideV w:val="nil"/>
        </w:tcBorders>
        <w:shd w:val="clear" w:color="auto" w:fill="FFFFFF" w:themeFill="background1"/>
      </w:tcPr>
    </w:tblStylePr>
    <w:tblStylePr w:type="lastRow">
      <w:tblPr/>
      <w:tcPr>
        <w:tcBorders>
          <w:top w:val="single" w:sz="8" w:space="0" w:color="6CBBA8"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BBA8" w:themeColor="accent1"/>
          <w:insideH w:val="nil"/>
          <w:insideV w:val="nil"/>
        </w:tcBorders>
        <w:shd w:val="clear" w:color="auto" w:fill="FFFFFF" w:themeFill="background1"/>
      </w:tcPr>
    </w:tblStylePr>
    <w:tblStylePr w:type="lastCol">
      <w:tblPr/>
      <w:tcPr>
        <w:tcBorders>
          <w:top w:val="nil"/>
          <w:left w:val="single" w:sz="8" w:space="0" w:color="6CBBA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E9" w:themeFill="accent1" w:themeFillTint="3F"/>
      </w:tcPr>
    </w:tblStylePr>
    <w:tblStylePr w:type="band1Horz">
      <w:tblPr/>
      <w:tcPr>
        <w:tcBorders>
          <w:top w:val="nil"/>
          <w:bottom w:val="nil"/>
          <w:insideH w:val="nil"/>
          <w:insideV w:val="nil"/>
        </w:tcBorders>
        <w:shd w:val="clear" w:color="auto" w:fill="DAEE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9629FA"/>
    <w:rPr>
      <w:rFonts w:eastAsiaTheme="majorEastAsia"/>
      <w:color w:val="000000" w:themeColor="text1"/>
    </w:rPr>
    <w:tblPr>
      <w:tblStyleRowBandSize w:val="1"/>
      <w:tblStyleColBandSize w:val="1"/>
      <w:tblBorders>
        <w:top w:val="single" w:sz="8" w:space="0" w:color="2A3759" w:themeColor="accent2"/>
        <w:left w:val="single" w:sz="8" w:space="0" w:color="2A3759" w:themeColor="accent2"/>
        <w:bottom w:val="single" w:sz="8" w:space="0" w:color="2A3759" w:themeColor="accent2"/>
        <w:right w:val="single" w:sz="8" w:space="0" w:color="2A3759" w:themeColor="accent2"/>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2A3759" w:themeColor="accent2"/>
          <w:right w:val="nil"/>
          <w:insideH w:val="nil"/>
          <w:insideV w:val="nil"/>
        </w:tcBorders>
        <w:shd w:val="clear" w:color="auto" w:fill="FFFFFF" w:themeFill="background1"/>
      </w:tcPr>
    </w:tblStylePr>
    <w:tblStylePr w:type="lastRow">
      <w:tblPr/>
      <w:tcPr>
        <w:tcBorders>
          <w:top w:val="single" w:sz="8" w:space="0" w:color="2A3759"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A3759" w:themeColor="accent2"/>
          <w:insideH w:val="nil"/>
          <w:insideV w:val="nil"/>
        </w:tcBorders>
        <w:shd w:val="clear" w:color="auto" w:fill="FFFFFF" w:themeFill="background1"/>
      </w:tcPr>
    </w:tblStylePr>
    <w:tblStylePr w:type="lastCol">
      <w:tblPr/>
      <w:tcPr>
        <w:tcBorders>
          <w:top w:val="nil"/>
          <w:left w:val="single" w:sz="8" w:space="0" w:color="2A3759"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C8E1" w:themeFill="accent2" w:themeFillTint="3F"/>
      </w:tcPr>
    </w:tblStylePr>
    <w:tblStylePr w:type="band1Horz">
      <w:tblPr/>
      <w:tcPr>
        <w:tcBorders>
          <w:top w:val="nil"/>
          <w:bottom w:val="nil"/>
          <w:insideH w:val="nil"/>
          <w:insideV w:val="nil"/>
        </w:tcBorders>
        <w:shd w:val="clear" w:color="auto" w:fill="BFC8E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9629FA"/>
    <w:rPr>
      <w:rFonts w:eastAsiaTheme="majorEastAsia"/>
      <w:color w:val="000000" w:themeColor="text1"/>
    </w:rPr>
    <w:tblPr>
      <w:tblStyleRowBandSize w:val="1"/>
      <w:tblStyleColBandSize w:val="1"/>
      <w:tblBorders>
        <w:top w:val="single" w:sz="8" w:space="0" w:color="81BD00" w:themeColor="accent3"/>
        <w:left w:val="single" w:sz="8" w:space="0" w:color="81BD00" w:themeColor="accent3"/>
        <w:bottom w:val="single" w:sz="8" w:space="0" w:color="81BD00" w:themeColor="accent3"/>
        <w:right w:val="single" w:sz="8" w:space="0" w:color="81BD00" w:themeColor="accent3"/>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81BD00" w:themeColor="accent3"/>
          <w:right w:val="nil"/>
          <w:insideH w:val="nil"/>
          <w:insideV w:val="nil"/>
        </w:tcBorders>
        <w:shd w:val="clear" w:color="auto" w:fill="FFFFFF" w:themeFill="background1"/>
      </w:tcPr>
    </w:tblStylePr>
    <w:tblStylePr w:type="lastRow">
      <w:tblPr/>
      <w:tcPr>
        <w:tcBorders>
          <w:top w:val="single" w:sz="8" w:space="0" w:color="81BD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1BD00" w:themeColor="accent3"/>
          <w:insideH w:val="nil"/>
          <w:insideV w:val="nil"/>
        </w:tcBorders>
        <w:shd w:val="clear" w:color="auto" w:fill="FFFFFF" w:themeFill="background1"/>
      </w:tcPr>
    </w:tblStylePr>
    <w:tblStylePr w:type="lastCol">
      <w:tblPr/>
      <w:tcPr>
        <w:tcBorders>
          <w:top w:val="nil"/>
          <w:left w:val="single" w:sz="8" w:space="0" w:color="81BD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FFAF" w:themeFill="accent3" w:themeFillTint="3F"/>
      </w:tcPr>
    </w:tblStylePr>
    <w:tblStylePr w:type="band1Horz">
      <w:tblPr/>
      <w:tcPr>
        <w:tcBorders>
          <w:top w:val="nil"/>
          <w:bottom w:val="nil"/>
          <w:insideH w:val="nil"/>
          <w:insideV w:val="nil"/>
        </w:tcBorders>
        <w:shd w:val="clear" w:color="auto" w:fill="E5FFA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9629FA"/>
    <w:rPr>
      <w:rFonts w:eastAsiaTheme="majorEastAsia"/>
      <w:color w:val="000000" w:themeColor="text1"/>
    </w:rPr>
    <w:tblPr>
      <w:tblStyleRowBandSize w:val="1"/>
      <w:tblStyleColBandSize w:val="1"/>
      <w:tblBorders>
        <w:top w:val="single" w:sz="8" w:space="0" w:color="D1BEBA" w:themeColor="accent4"/>
        <w:left w:val="single" w:sz="8" w:space="0" w:color="D1BEBA" w:themeColor="accent4"/>
        <w:bottom w:val="single" w:sz="8" w:space="0" w:color="D1BEBA" w:themeColor="accent4"/>
        <w:right w:val="single" w:sz="8" w:space="0" w:color="D1BEBA" w:themeColor="accent4"/>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D1BEBA" w:themeColor="accent4"/>
          <w:right w:val="nil"/>
          <w:insideH w:val="nil"/>
          <w:insideV w:val="nil"/>
        </w:tcBorders>
        <w:shd w:val="clear" w:color="auto" w:fill="FFFFFF" w:themeFill="background1"/>
      </w:tcPr>
    </w:tblStylePr>
    <w:tblStylePr w:type="lastRow">
      <w:tblPr/>
      <w:tcPr>
        <w:tcBorders>
          <w:top w:val="single" w:sz="8" w:space="0" w:color="D1BEBA"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1BEBA" w:themeColor="accent4"/>
          <w:insideH w:val="nil"/>
          <w:insideV w:val="nil"/>
        </w:tcBorders>
        <w:shd w:val="clear" w:color="auto" w:fill="FFFFFF" w:themeFill="background1"/>
      </w:tcPr>
    </w:tblStylePr>
    <w:tblStylePr w:type="lastCol">
      <w:tblPr/>
      <w:tcPr>
        <w:tcBorders>
          <w:top w:val="nil"/>
          <w:left w:val="single" w:sz="8" w:space="0" w:color="D1BEB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EEED" w:themeFill="accent4" w:themeFillTint="3F"/>
      </w:tcPr>
    </w:tblStylePr>
    <w:tblStylePr w:type="band1Horz">
      <w:tblPr/>
      <w:tcPr>
        <w:tcBorders>
          <w:top w:val="nil"/>
          <w:bottom w:val="nil"/>
          <w:insideH w:val="nil"/>
          <w:insideV w:val="nil"/>
        </w:tcBorders>
        <w:shd w:val="clear" w:color="auto" w:fill="F3EEE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9629FA"/>
    <w:rPr>
      <w:rFonts w:eastAsiaTheme="majorEastAsia"/>
      <w:color w:val="000000" w:themeColor="text1"/>
    </w:rPr>
    <w:tblPr>
      <w:tblStyleRowBandSize w:val="1"/>
      <w:tblStyleColBandSize w:val="1"/>
      <w:tblBorders>
        <w:top w:val="single" w:sz="8" w:space="0" w:color="004E5C" w:themeColor="accent5"/>
        <w:left w:val="single" w:sz="8" w:space="0" w:color="004E5C" w:themeColor="accent5"/>
        <w:bottom w:val="single" w:sz="8" w:space="0" w:color="004E5C" w:themeColor="accent5"/>
        <w:right w:val="single" w:sz="8" w:space="0" w:color="004E5C" w:themeColor="accent5"/>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004E5C" w:themeColor="accent5"/>
          <w:right w:val="nil"/>
          <w:insideH w:val="nil"/>
          <w:insideV w:val="nil"/>
        </w:tcBorders>
        <w:shd w:val="clear" w:color="auto" w:fill="FFFFFF" w:themeFill="background1"/>
      </w:tcPr>
    </w:tblStylePr>
    <w:tblStylePr w:type="lastRow">
      <w:tblPr/>
      <w:tcPr>
        <w:tcBorders>
          <w:top w:val="single" w:sz="8" w:space="0" w:color="004E5C"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E5C" w:themeColor="accent5"/>
          <w:insideH w:val="nil"/>
          <w:insideV w:val="nil"/>
        </w:tcBorders>
        <w:shd w:val="clear" w:color="auto" w:fill="FFFFFF" w:themeFill="background1"/>
      </w:tcPr>
    </w:tblStylePr>
    <w:tblStylePr w:type="lastCol">
      <w:tblPr/>
      <w:tcPr>
        <w:tcBorders>
          <w:top w:val="nil"/>
          <w:left w:val="single" w:sz="8" w:space="0" w:color="004E5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7EFFF" w:themeFill="accent5" w:themeFillTint="3F"/>
      </w:tcPr>
    </w:tblStylePr>
    <w:tblStylePr w:type="band1Horz">
      <w:tblPr/>
      <w:tcPr>
        <w:tcBorders>
          <w:top w:val="nil"/>
          <w:bottom w:val="nil"/>
          <w:insideH w:val="nil"/>
          <w:insideV w:val="nil"/>
        </w:tcBorders>
        <w:shd w:val="clear" w:color="auto" w:fill="97EF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9629FA"/>
    <w:rPr>
      <w:rFonts w:eastAsiaTheme="majorEastAsia"/>
      <w:color w:val="000000" w:themeColor="text1"/>
    </w:rPr>
    <w:tblPr>
      <w:tblStyleRowBandSize w:val="1"/>
      <w:tblStyleColBandSize w:val="1"/>
      <w:tblBorders>
        <w:top w:val="single" w:sz="8" w:space="0" w:color="2D5638" w:themeColor="accent6"/>
        <w:left w:val="single" w:sz="8" w:space="0" w:color="2D5638" w:themeColor="accent6"/>
        <w:bottom w:val="single" w:sz="8" w:space="0" w:color="2D5638" w:themeColor="accent6"/>
        <w:right w:val="single" w:sz="8" w:space="0" w:color="2D5638" w:themeColor="accent6"/>
      </w:tblBorders>
    </w:tblPr>
    <w:tcPr>
      <w:tcMar>
        <w:top w:w="57" w:type="dxa"/>
        <w:left w:w="57" w:type="dxa"/>
        <w:bottom w:w="57" w:type="dxa"/>
        <w:right w:w="57" w:type="dxa"/>
      </w:tcMar>
    </w:tcPr>
    <w:tblStylePr w:type="firstRow">
      <w:rPr>
        <w:rFonts w:asciiTheme="majorHAnsi" w:hAnsiTheme="majorHAnsi" w:cstheme="majorHAnsi"/>
        <w:sz w:val="24"/>
        <w:szCs w:val="24"/>
      </w:rPr>
      <w:tblPr/>
      <w:tcPr>
        <w:tcBorders>
          <w:top w:val="nil"/>
          <w:left w:val="nil"/>
          <w:bottom w:val="single" w:sz="24" w:space="0" w:color="2D5638" w:themeColor="accent6"/>
          <w:right w:val="nil"/>
          <w:insideH w:val="nil"/>
          <w:insideV w:val="nil"/>
        </w:tcBorders>
        <w:shd w:val="clear" w:color="auto" w:fill="FFFFFF" w:themeFill="background1"/>
      </w:tcPr>
    </w:tblStylePr>
    <w:tblStylePr w:type="lastRow">
      <w:tblPr/>
      <w:tcPr>
        <w:tcBorders>
          <w:top w:val="single" w:sz="8" w:space="0" w:color="2D5638"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D5638" w:themeColor="accent6"/>
          <w:insideH w:val="nil"/>
          <w:insideV w:val="nil"/>
        </w:tcBorders>
        <w:shd w:val="clear" w:color="auto" w:fill="FFFFFF" w:themeFill="background1"/>
      </w:tcPr>
    </w:tblStylePr>
    <w:tblStylePr w:type="lastCol">
      <w:tblPr/>
      <w:tcPr>
        <w:tcBorders>
          <w:top w:val="nil"/>
          <w:left w:val="single" w:sz="8" w:space="0" w:color="2D563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DEC9" w:themeFill="accent6" w:themeFillTint="3F"/>
      </w:tcPr>
    </w:tblStylePr>
    <w:tblStylePr w:type="band1Horz">
      <w:tblPr/>
      <w:tcPr>
        <w:tcBorders>
          <w:top w:val="nil"/>
          <w:bottom w:val="nil"/>
          <w:insideH w:val="nil"/>
          <w:insideV w:val="nil"/>
        </w:tcBorders>
        <w:shd w:val="clear" w:color="auto" w:fill="C1DE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9629F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9629FA"/>
    <w:tblPr>
      <w:tblStyleRowBandSize w:val="1"/>
      <w:tblStyleColBandSize w:val="1"/>
      <w:tblBorders>
        <w:top w:val="single" w:sz="8" w:space="0" w:color="90CCBD" w:themeColor="accent1" w:themeTint="BF"/>
        <w:left w:val="single" w:sz="8" w:space="0" w:color="90CCBD" w:themeColor="accent1" w:themeTint="BF"/>
        <w:bottom w:val="single" w:sz="8" w:space="0" w:color="90CCBD" w:themeColor="accent1" w:themeTint="BF"/>
        <w:right w:val="single" w:sz="8" w:space="0" w:color="90CCBD" w:themeColor="accent1" w:themeTint="BF"/>
        <w:insideH w:val="single" w:sz="8" w:space="0" w:color="90CCB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90CCBD" w:themeColor="accent1" w:themeTint="BF"/>
          <w:left w:val="single" w:sz="8" w:space="0" w:color="90CCBD" w:themeColor="accent1" w:themeTint="BF"/>
          <w:bottom w:val="single" w:sz="8" w:space="0" w:color="90CCBD" w:themeColor="accent1" w:themeTint="BF"/>
          <w:right w:val="single" w:sz="8" w:space="0" w:color="90CCBD" w:themeColor="accent1" w:themeTint="BF"/>
          <w:insideH w:val="nil"/>
          <w:insideV w:val="nil"/>
        </w:tcBorders>
        <w:shd w:val="clear" w:color="auto" w:fill="6CBBA8" w:themeFill="accent1"/>
      </w:tcPr>
    </w:tblStylePr>
    <w:tblStylePr w:type="lastRow">
      <w:pPr>
        <w:spacing w:before="0" w:after="0" w:line="240" w:lineRule="auto"/>
      </w:pPr>
      <w:rPr>
        <w:b/>
        <w:bCs/>
      </w:rPr>
      <w:tblPr/>
      <w:tcPr>
        <w:tcBorders>
          <w:top w:val="double" w:sz="6" w:space="0" w:color="90CCBD" w:themeColor="accent1" w:themeTint="BF"/>
          <w:left w:val="single" w:sz="8" w:space="0" w:color="90CCBD" w:themeColor="accent1" w:themeTint="BF"/>
          <w:bottom w:val="single" w:sz="8" w:space="0" w:color="90CCBD" w:themeColor="accent1" w:themeTint="BF"/>
          <w:right w:val="single" w:sz="8" w:space="0" w:color="90CCB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AEEE9" w:themeFill="accent1" w:themeFillTint="3F"/>
      </w:tcPr>
    </w:tblStylePr>
    <w:tblStylePr w:type="band1Horz">
      <w:tblPr/>
      <w:tcPr>
        <w:tcBorders>
          <w:insideH w:val="nil"/>
          <w:insideV w:val="nil"/>
        </w:tcBorders>
        <w:shd w:val="clear" w:color="auto" w:fill="DAEE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9629FA"/>
    <w:tblPr>
      <w:tblStyleRowBandSize w:val="1"/>
      <w:tblStyleColBandSize w:val="1"/>
      <w:tblBorders>
        <w:top w:val="single" w:sz="8" w:space="0" w:color="485E99" w:themeColor="accent2" w:themeTint="BF"/>
        <w:left w:val="single" w:sz="8" w:space="0" w:color="485E99" w:themeColor="accent2" w:themeTint="BF"/>
        <w:bottom w:val="single" w:sz="8" w:space="0" w:color="485E99" w:themeColor="accent2" w:themeTint="BF"/>
        <w:right w:val="single" w:sz="8" w:space="0" w:color="485E99" w:themeColor="accent2" w:themeTint="BF"/>
        <w:insideH w:val="single" w:sz="8" w:space="0" w:color="485E9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485E99" w:themeColor="accent2" w:themeTint="BF"/>
          <w:left w:val="single" w:sz="8" w:space="0" w:color="485E99" w:themeColor="accent2" w:themeTint="BF"/>
          <w:bottom w:val="single" w:sz="8" w:space="0" w:color="485E99" w:themeColor="accent2" w:themeTint="BF"/>
          <w:right w:val="single" w:sz="8" w:space="0" w:color="485E99" w:themeColor="accent2" w:themeTint="BF"/>
          <w:insideH w:val="nil"/>
          <w:insideV w:val="nil"/>
        </w:tcBorders>
        <w:shd w:val="clear" w:color="auto" w:fill="2A3759" w:themeFill="accent2"/>
      </w:tcPr>
    </w:tblStylePr>
    <w:tblStylePr w:type="lastRow">
      <w:pPr>
        <w:spacing w:before="0" w:after="0" w:line="240" w:lineRule="auto"/>
      </w:pPr>
      <w:rPr>
        <w:b/>
        <w:bCs/>
      </w:rPr>
      <w:tblPr/>
      <w:tcPr>
        <w:tcBorders>
          <w:top w:val="double" w:sz="6" w:space="0" w:color="485E99" w:themeColor="accent2" w:themeTint="BF"/>
          <w:left w:val="single" w:sz="8" w:space="0" w:color="485E99" w:themeColor="accent2" w:themeTint="BF"/>
          <w:bottom w:val="single" w:sz="8" w:space="0" w:color="485E99" w:themeColor="accent2" w:themeTint="BF"/>
          <w:right w:val="single" w:sz="8" w:space="0" w:color="485E99" w:themeColor="accent2" w:themeTint="BF"/>
          <w:insideH w:val="nil"/>
          <w:insideV w:val="nil"/>
        </w:tcBorders>
      </w:tcPr>
    </w:tblStylePr>
    <w:tblStylePr w:type="firstCol">
      <w:rPr>
        <w:b/>
        <w:bCs/>
      </w:rPr>
    </w:tblStylePr>
    <w:tblStylePr w:type="lastCol">
      <w:rPr>
        <w:b/>
        <w:bCs/>
      </w:rPr>
    </w:tblStylePr>
    <w:tblStylePr w:type="band1Vert">
      <w:tblPr/>
      <w:tcPr>
        <w:shd w:val="clear" w:color="auto" w:fill="BFC8E1" w:themeFill="accent2" w:themeFillTint="3F"/>
      </w:tcPr>
    </w:tblStylePr>
    <w:tblStylePr w:type="band1Horz">
      <w:tblPr/>
      <w:tcPr>
        <w:tcBorders>
          <w:insideH w:val="nil"/>
          <w:insideV w:val="nil"/>
        </w:tcBorders>
        <w:shd w:val="clear" w:color="auto" w:fill="BFC8E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9629FA"/>
    <w:tblPr>
      <w:tblStyleRowBandSize w:val="1"/>
      <w:tblStyleColBandSize w:val="1"/>
      <w:tblBorders>
        <w:top w:val="single" w:sz="8" w:space="0" w:color="B2FF0E" w:themeColor="accent3" w:themeTint="BF"/>
        <w:left w:val="single" w:sz="8" w:space="0" w:color="B2FF0E" w:themeColor="accent3" w:themeTint="BF"/>
        <w:bottom w:val="single" w:sz="8" w:space="0" w:color="B2FF0E" w:themeColor="accent3" w:themeTint="BF"/>
        <w:right w:val="single" w:sz="8" w:space="0" w:color="B2FF0E" w:themeColor="accent3" w:themeTint="BF"/>
        <w:insideH w:val="single" w:sz="8" w:space="0" w:color="B2FF0E"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B2FF0E" w:themeColor="accent3" w:themeTint="BF"/>
          <w:left w:val="single" w:sz="8" w:space="0" w:color="B2FF0E" w:themeColor="accent3" w:themeTint="BF"/>
          <w:bottom w:val="single" w:sz="8" w:space="0" w:color="B2FF0E" w:themeColor="accent3" w:themeTint="BF"/>
          <w:right w:val="single" w:sz="8" w:space="0" w:color="B2FF0E" w:themeColor="accent3" w:themeTint="BF"/>
          <w:insideH w:val="nil"/>
          <w:insideV w:val="nil"/>
        </w:tcBorders>
        <w:shd w:val="clear" w:color="auto" w:fill="81BD00" w:themeFill="accent3"/>
      </w:tcPr>
    </w:tblStylePr>
    <w:tblStylePr w:type="lastRow">
      <w:pPr>
        <w:spacing w:before="0" w:after="0" w:line="240" w:lineRule="auto"/>
      </w:pPr>
      <w:rPr>
        <w:b/>
        <w:bCs/>
      </w:rPr>
      <w:tblPr/>
      <w:tcPr>
        <w:tcBorders>
          <w:top w:val="double" w:sz="6" w:space="0" w:color="B2FF0E" w:themeColor="accent3" w:themeTint="BF"/>
          <w:left w:val="single" w:sz="8" w:space="0" w:color="B2FF0E" w:themeColor="accent3" w:themeTint="BF"/>
          <w:bottom w:val="single" w:sz="8" w:space="0" w:color="B2FF0E" w:themeColor="accent3" w:themeTint="BF"/>
          <w:right w:val="single" w:sz="8" w:space="0" w:color="B2FF0E"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FFAF" w:themeFill="accent3" w:themeFillTint="3F"/>
      </w:tcPr>
    </w:tblStylePr>
    <w:tblStylePr w:type="band1Horz">
      <w:tblPr/>
      <w:tcPr>
        <w:tcBorders>
          <w:insideH w:val="nil"/>
          <w:insideV w:val="nil"/>
        </w:tcBorders>
        <w:shd w:val="clear" w:color="auto" w:fill="E5FFA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9629FA"/>
    <w:tblPr>
      <w:tblStyleRowBandSize w:val="1"/>
      <w:tblStyleColBandSize w:val="1"/>
      <w:tblBorders>
        <w:top w:val="single" w:sz="8" w:space="0" w:color="DCCECB" w:themeColor="accent4" w:themeTint="BF"/>
        <w:left w:val="single" w:sz="8" w:space="0" w:color="DCCECB" w:themeColor="accent4" w:themeTint="BF"/>
        <w:bottom w:val="single" w:sz="8" w:space="0" w:color="DCCECB" w:themeColor="accent4" w:themeTint="BF"/>
        <w:right w:val="single" w:sz="8" w:space="0" w:color="DCCECB" w:themeColor="accent4" w:themeTint="BF"/>
        <w:insideH w:val="single" w:sz="8" w:space="0" w:color="DCCECB"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DCCECB" w:themeColor="accent4" w:themeTint="BF"/>
          <w:left w:val="single" w:sz="8" w:space="0" w:color="DCCECB" w:themeColor="accent4" w:themeTint="BF"/>
          <w:bottom w:val="single" w:sz="8" w:space="0" w:color="DCCECB" w:themeColor="accent4" w:themeTint="BF"/>
          <w:right w:val="single" w:sz="8" w:space="0" w:color="DCCECB" w:themeColor="accent4" w:themeTint="BF"/>
          <w:insideH w:val="nil"/>
          <w:insideV w:val="nil"/>
        </w:tcBorders>
        <w:shd w:val="clear" w:color="auto" w:fill="D1BEBA" w:themeFill="accent4"/>
      </w:tcPr>
    </w:tblStylePr>
    <w:tblStylePr w:type="lastRow">
      <w:pPr>
        <w:spacing w:before="0" w:after="0" w:line="240" w:lineRule="auto"/>
      </w:pPr>
      <w:rPr>
        <w:b/>
        <w:bCs/>
      </w:rPr>
      <w:tblPr/>
      <w:tcPr>
        <w:tcBorders>
          <w:top w:val="double" w:sz="6" w:space="0" w:color="DCCECB" w:themeColor="accent4" w:themeTint="BF"/>
          <w:left w:val="single" w:sz="8" w:space="0" w:color="DCCECB" w:themeColor="accent4" w:themeTint="BF"/>
          <w:bottom w:val="single" w:sz="8" w:space="0" w:color="DCCECB" w:themeColor="accent4" w:themeTint="BF"/>
          <w:right w:val="single" w:sz="8" w:space="0" w:color="DCCECB" w:themeColor="accent4" w:themeTint="BF"/>
          <w:insideH w:val="nil"/>
          <w:insideV w:val="nil"/>
        </w:tcBorders>
      </w:tcPr>
    </w:tblStylePr>
    <w:tblStylePr w:type="firstCol">
      <w:rPr>
        <w:b/>
        <w:bCs/>
      </w:rPr>
    </w:tblStylePr>
    <w:tblStylePr w:type="lastCol">
      <w:rPr>
        <w:b/>
        <w:bCs/>
      </w:rPr>
    </w:tblStylePr>
    <w:tblStylePr w:type="band1Vert">
      <w:tblPr/>
      <w:tcPr>
        <w:shd w:val="clear" w:color="auto" w:fill="F3EEED" w:themeFill="accent4" w:themeFillTint="3F"/>
      </w:tcPr>
    </w:tblStylePr>
    <w:tblStylePr w:type="band1Horz">
      <w:tblPr/>
      <w:tcPr>
        <w:tcBorders>
          <w:insideH w:val="nil"/>
          <w:insideV w:val="nil"/>
        </w:tcBorders>
        <w:shd w:val="clear" w:color="auto" w:fill="F3EEE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9629FA"/>
    <w:tblPr>
      <w:tblStyleRowBandSize w:val="1"/>
      <w:tblStyleColBandSize w:val="1"/>
      <w:tblBorders>
        <w:top w:val="single" w:sz="8" w:space="0" w:color="00A6C4" w:themeColor="accent5" w:themeTint="BF"/>
        <w:left w:val="single" w:sz="8" w:space="0" w:color="00A6C4" w:themeColor="accent5" w:themeTint="BF"/>
        <w:bottom w:val="single" w:sz="8" w:space="0" w:color="00A6C4" w:themeColor="accent5" w:themeTint="BF"/>
        <w:right w:val="single" w:sz="8" w:space="0" w:color="00A6C4" w:themeColor="accent5" w:themeTint="BF"/>
        <w:insideH w:val="single" w:sz="8" w:space="0" w:color="00A6C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00A6C4" w:themeColor="accent5" w:themeTint="BF"/>
          <w:left w:val="single" w:sz="8" w:space="0" w:color="00A6C4" w:themeColor="accent5" w:themeTint="BF"/>
          <w:bottom w:val="single" w:sz="8" w:space="0" w:color="00A6C4" w:themeColor="accent5" w:themeTint="BF"/>
          <w:right w:val="single" w:sz="8" w:space="0" w:color="00A6C4" w:themeColor="accent5" w:themeTint="BF"/>
          <w:insideH w:val="nil"/>
          <w:insideV w:val="nil"/>
        </w:tcBorders>
        <w:shd w:val="clear" w:color="auto" w:fill="004E5C" w:themeFill="accent5"/>
      </w:tcPr>
    </w:tblStylePr>
    <w:tblStylePr w:type="lastRow">
      <w:pPr>
        <w:spacing w:before="0" w:after="0" w:line="240" w:lineRule="auto"/>
      </w:pPr>
      <w:rPr>
        <w:b/>
        <w:bCs/>
      </w:rPr>
      <w:tblPr/>
      <w:tcPr>
        <w:tcBorders>
          <w:top w:val="double" w:sz="6" w:space="0" w:color="00A6C4" w:themeColor="accent5" w:themeTint="BF"/>
          <w:left w:val="single" w:sz="8" w:space="0" w:color="00A6C4" w:themeColor="accent5" w:themeTint="BF"/>
          <w:bottom w:val="single" w:sz="8" w:space="0" w:color="00A6C4" w:themeColor="accent5" w:themeTint="BF"/>
          <w:right w:val="single" w:sz="8" w:space="0" w:color="00A6C4" w:themeColor="accent5" w:themeTint="BF"/>
          <w:insideH w:val="nil"/>
          <w:insideV w:val="nil"/>
        </w:tcBorders>
      </w:tcPr>
    </w:tblStylePr>
    <w:tblStylePr w:type="firstCol">
      <w:rPr>
        <w:b/>
        <w:bCs/>
      </w:rPr>
    </w:tblStylePr>
    <w:tblStylePr w:type="lastCol">
      <w:rPr>
        <w:b/>
        <w:bCs/>
      </w:rPr>
    </w:tblStylePr>
    <w:tblStylePr w:type="band1Vert">
      <w:tblPr/>
      <w:tcPr>
        <w:shd w:val="clear" w:color="auto" w:fill="97EFFF" w:themeFill="accent5" w:themeFillTint="3F"/>
      </w:tcPr>
    </w:tblStylePr>
    <w:tblStylePr w:type="band1Horz">
      <w:tblPr/>
      <w:tcPr>
        <w:tcBorders>
          <w:insideH w:val="nil"/>
          <w:insideV w:val="nil"/>
        </w:tcBorders>
        <w:shd w:val="clear" w:color="auto" w:fill="97EF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9629FA"/>
    <w:tblPr>
      <w:tblStyleRowBandSize w:val="1"/>
      <w:tblStyleColBandSize w:val="1"/>
      <w:tblBorders>
        <w:top w:val="single" w:sz="8" w:space="0" w:color="4D9460" w:themeColor="accent6" w:themeTint="BF"/>
        <w:left w:val="single" w:sz="8" w:space="0" w:color="4D9460" w:themeColor="accent6" w:themeTint="BF"/>
        <w:bottom w:val="single" w:sz="8" w:space="0" w:color="4D9460" w:themeColor="accent6" w:themeTint="BF"/>
        <w:right w:val="single" w:sz="8" w:space="0" w:color="4D9460" w:themeColor="accent6" w:themeTint="BF"/>
        <w:insideH w:val="single" w:sz="8" w:space="0" w:color="4D9460"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8" w:space="0" w:color="4D9460" w:themeColor="accent6" w:themeTint="BF"/>
          <w:left w:val="single" w:sz="8" w:space="0" w:color="4D9460" w:themeColor="accent6" w:themeTint="BF"/>
          <w:bottom w:val="single" w:sz="8" w:space="0" w:color="4D9460" w:themeColor="accent6" w:themeTint="BF"/>
          <w:right w:val="single" w:sz="8" w:space="0" w:color="4D9460" w:themeColor="accent6" w:themeTint="BF"/>
          <w:insideH w:val="nil"/>
          <w:insideV w:val="nil"/>
        </w:tcBorders>
        <w:shd w:val="clear" w:color="auto" w:fill="2D5638" w:themeFill="accent6"/>
      </w:tcPr>
    </w:tblStylePr>
    <w:tblStylePr w:type="lastRow">
      <w:pPr>
        <w:spacing w:before="0" w:after="0" w:line="240" w:lineRule="auto"/>
      </w:pPr>
      <w:rPr>
        <w:b/>
        <w:bCs/>
      </w:rPr>
      <w:tblPr/>
      <w:tcPr>
        <w:tcBorders>
          <w:top w:val="double" w:sz="6" w:space="0" w:color="4D9460" w:themeColor="accent6" w:themeTint="BF"/>
          <w:left w:val="single" w:sz="8" w:space="0" w:color="4D9460" w:themeColor="accent6" w:themeTint="BF"/>
          <w:bottom w:val="single" w:sz="8" w:space="0" w:color="4D9460" w:themeColor="accent6" w:themeTint="BF"/>
          <w:right w:val="single" w:sz="8" w:space="0" w:color="4D9460" w:themeColor="accent6" w:themeTint="BF"/>
          <w:insideH w:val="nil"/>
          <w:insideV w:val="nil"/>
        </w:tcBorders>
      </w:tcPr>
    </w:tblStylePr>
    <w:tblStylePr w:type="firstCol">
      <w:rPr>
        <w:b/>
        <w:bCs/>
      </w:rPr>
    </w:tblStylePr>
    <w:tblStylePr w:type="lastCol">
      <w:rPr>
        <w:b/>
        <w:bCs/>
      </w:rPr>
    </w:tblStylePr>
    <w:tblStylePr w:type="band1Vert">
      <w:tblPr/>
      <w:tcPr>
        <w:shd w:val="clear" w:color="auto" w:fill="C1DEC9" w:themeFill="accent6" w:themeFillTint="3F"/>
      </w:tcPr>
    </w:tblStylePr>
    <w:tblStylePr w:type="band1Horz">
      <w:tblPr/>
      <w:tcPr>
        <w:tcBorders>
          <w:insideH w:val="nil"/>
          <w:insideV w:val="nil"/>
        </w:tcBorders>
        <w:shd w:val="clear" w:color="auto" w:fill="C1DE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6CBBA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BBA8" w:themeFill="accent1"/>
      </w:tcPr>
    </w:tblStylePr>
    <w:tblStylePr w:type="lastCol">
      <w:rPr>
        <w:b/>
        <w:bCs/>
        <w:color w:val="FFFFFF" w:themeColor="background1"/>
      </w:rPr>
      <w:tblPr/>
      <w:tcPr>
        <w:tcBorders>
          <w:left w:val="nil"/>
          <w:right w:val="nil"/>
          <w:insideH w:val="nil"/>
          <w:insideV w:val="nil"/>
        </w:tcBorders>
        <w:shd w:val="clear" w:color="auto" w:fill="6CBBA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2A375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A3759" w:themeFill="accent2"/>
      </w:tcPr>
    </w:tblStylePr>
    <w:tblStylePr w:type="lastCol">
      <w:rPr>
        <w:b/>
        <w:bCs/>
        <w:color w:val="FFFFFF" w:themeColor="background1"/>
      </w:rPr>
      <w:tblPr/>
      <w:tcPr>
        <w:tcBorders>
          <w:left w:val="nil"/>
          <w:right w:val="nil"/>
          <w:insideH w:val="nil"/>
          <w:insideV w:val="nil"/>
        </w:tcBorders>
        <w:shd w:val="clear" w:color="auto" w:fill="2A375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1BD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1BD00" w:themeFill="accent3"/>
      </w:tcPr>
    </w:tblStylePr>
    <w:tblStylePr w:type="lastCol">
      <w:rPr>
        <w:b/>
        <w:bCs/>
        <w:color w:val="FFFFFF" w:themeColor="background1"/>
      </w:rPr>
      <w:tblPr/>
      <w:tcPr>
        <w:tcBorders>
          <w:left w:val="nil"/>
          <w:right w:val="nil"/>
          <w:insideH w:val="nil"/>
          <w:insideV w:val="nil"/>
        </w:tcBorders>
        <w:shd w:val="clear" w:color="auto" w:fill="81BD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D1BEB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BEBA" w:themeFill="accent4"/>
      </w:tcPr>
    </w:tblStylePr>
    <w:tblStylePr w:type="lastCol">
      <w:rPr>
        <w:b/>
        <w:bCs/>
        <w:color w:val="FFFFFF" w:themeColor="background1"/>
      </w:rPr>
      <w:tblPr/>
      <w:tcPr>
        <w:tcBorders>
          <w:left w:val="nil"/>
          <w:right w:val="nil"/>
          <w:insideH w:val="nil"/>
          <w:insideV w:val="nil"/>
        </w:tcBorders>
        <w:shd w:val="clear" w:color="auto" w:fill="D1BEB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4E5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E5C" w:themeFill="accent5"/>
      </w:tcPr>
    </w:tblStylePr>
    <w:tblStylePr w:type="lastCol">
      <w:rPr>
        <w:b/>
        <w:bCs/>
        <w:color w:val="FFFFFF" w:themeColor="background1"/>
      </w:rPr>
      <w:tblPr/>
      <w:tcPr>
        <w:tcBorders>
          <w:left w:val="nil"/>
          <w:right w:val="nil"/>
          <w:insideH w:val="nil"/>
          <w:insideV w:val="nil"/>
        </w:tcBorders>
        <w:shd w:val="clear" w:color="auto" w:fill="004E5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9629FA"/>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cs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2D563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D5638" w:themeFill="accent6"/>
      </w:tcPr>
    </w:tblStylePr>
    <w:tblStylePr w:type="lastCol">
      <w:rPr>
        <w:b/>
        <w:bCs/>
        <w:color w:val="FFFFFF" w:themeColor="background1"/>
      </w:rPr>
      <w:tblPr/>
      <w:tcPr>
        <w:tcBorders>
          <w:left w:val="nil"/>
          <w:right w:val="nil"/>
          <w:insideH w:val="nil"/>
          <w:insideV w:val="nil"/>
        </w:tcBorders>
        <w:shd w:val="clear" w:color="auto" w:fill="2D563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9629F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rPr>
  </w:style>
  <w:style w:type="character" w:customStyle="1" w:styleId="MessageHeaderChar">
    <w:name w:val="Message Header Char"/>
    <w:basedOn w:val="DefaultParagraphFont"/>
    <w:link w:val="MessageHeader"/>
    <w:uiPriority w:val="97"/>
    <w:semiHidden/>
    <w:rsid w:val="009629FA"/>
    <w:rPr>
      <w:rFonts w:asciiTheme="minorHAnsi" w:eastAsiaTheme="majorEastAsia" w:hAnsiTheme="minorHAnsi"/>
      <w:color w:val="000000" w:themeColor="text1"/>
      <w:sz w:val="24"/>
      <w:shd w:val="pct20" w:color="auto" w:fill="auto"/>
      <w:lang w:val="en-AU" w:eastAsia="ja-JP"/>
    </w:rPr>
  </w:style>
  <w:style w:type="paragraph" w:styleId="NoSpacing">
    <w:name w:val="No Spacing"/>
    <w:uiPriority w:val="97"/>
    <w:qFormat/>
    <w:rsid w:val="00E035B3"/>
    <w:pPr>
      <w:adjustRightInd w:val="0"/>
      <w:snapToGrid w:val="0"/>
    </w:pPr>
    <w:rPr>
      <w:rFonts w:asciiTheme="minorHAnsi" w:hAnsiTheme="minorHAnsi" w:cstheme="minorHAnsi"/>
      <w:color w:val="004E5C" w:themeColor="text2"/>
      <w:kern w:val="20"/>
      <w:szCs w:val="24"/>
      <w:lang w:val="en-AU" w:eastAsia="zh-CN"/>
    </w:rPr>
  </w:style>
  <w:style w:type="paragraph" w:styleId="NormalWeb">
    <w:name w:val="Normal (Web)"/>
    <w:basedOn w:val="Normal"/>
    <w:uiPriority w:val="99"/>
    <w:rsid w:val="009629FA"/>
  </w:style>
  <w:style w:type="paragraph" w:styleId="NormalIndent">
    <w:name w:val="Normal Indent"/>
    <w:basedOn w:val="Normal"/>
    <w:uiPriority w:val="97"/>
    <w:semiHidden/>
    <w:rsid w:val="009629FA"/>
    <w:pPr>
      <w:ind w:left="720"/>
    </w:pPr>
  </w:style>
  <w:style w:type="paragraph" w:styleId="NoteHeading">
    <w:name w:val="Note Heading"/>
    <w:basedOn w:val="Normal"/>
    <w:next w:val="Normal"/>
    <w:link w:val="NoteHeadingChar"/>
    <w:uiPriority w:val="97"/>
    <w:semiHidden/>
    <w:rsid w:val="009629FA"/>
    <w:pPr>
      <w:spacing w:after="0" w:line="240" w:lineRule="auto"/>
    </w:pPr>
    <w:rPr>
      <w:rFonts w:asciiTheme="majorHAnsi" w:hAnsiTheme="majorHAnsi" w:cstheme="majorHAnsi"/>
    </w:rPr>
  </w:style>
  <w:style w:type="character" w:customStyle="1" w:styleId="NoteHeadingChar">
    <w:name w:val="Note Heading Char"/>
    <w:basedOn w:val="DefaultParagraphFont"/>
    <w:link w:val="NoteHeading"/>
    <w:uiPriority w:val="97"/>
    <w:semiHidden/>
    <w:rsid w:val="009629FA"/>
    <w:rPr>
      <w:rFonts w:asciiTheme="majorHAnsi" w:eastAsia="MS Mincho" w:hAnsiTheme="majorHAnsi" w:cstheme="majorHAnsi"/>
      <w:color w:val="000000" w:themeColor="text1"/>
      <w:sz w:val="22"/>
      <w:lang w:val="en-AU" w:eastAsia="ja-JP"/>
    </w:rPr>
  </w:style>
  <w:style w:type="character" w:styleId="PlaceholderText">
    <w:name w:val="Placeholder Text"/>
    <w:basedOn w:val="DefaultParagraphFont"/>
    <w:uiPriority w:val="99"/>
    <w:semiHidden/>
    <w:rsid w:val="009629FA"/>
    <w:rPr>
      <w:rFonts w:asciiTheme="minorHAnsi" w:hAnsiTheme="minorHAnsi" w:cstheme="minorHAnsi"/>
      <w:color w:val="808080"/>
    </w:rPr>
  </w:style>
  <w:style w:type="paragraph" w:styleId="PlainText">
    <w:name w:val="Plain Text"/>
    <w:basedOn w:val="Normal"/>
    <w:link w:val="PlainTextChar"/>
    <w:uiPriority w:val="97"/>
    <w:semiHidden/>
    <w:rsid w:val="009629FA"/>
    <w:pPr>
      <w:spacing w:after="0" w:line="240" w:lineRule="auto"/>
    </w:pPr>
    <w:rPr>
      <w:sz w:val="21"/>
      <w:szCs w:val="21"/>
    </w:rPr>
  </w:style>
  <w:style w:type="character" w:customStyle="1" w:styleId="PlainTextChar">
    <w:name w:val="Plain Text Char"/>
    <w:basedOn w:val="DefaultParagraphFont"/>
    <w:link w:val="PlainText"/>
    <w:uiPriority w:val="97"/>
    <w:semiHidden/>
    <w:rsid w:val="009629FA"/>
    <w:rPr>
      <w:rFonts w:asciiTheme="minorHAnsi" w:eastAsia="MS Mincho" w:hAnsiTheme="minorHAnsi"/>
      <w:color w:val="000000" w:themeColor="text1"/>
      <w:sz w:val="21"/>
      <w:szCs w:val="21"/>
      <w:lang w:val="en-AU" w:eastAsia="ja-JP"/>
    </w:rPr>
  </w:style>
  <w:style w:type="paragraph" w:styleId="Quote">
    <w:name w:val="Quote"/>
    <w:basedOn w:val="Normal"/>
    <w:next w:val="Normal"/>
    <w:link w:val="QuoteChar"/>
    <w:uiPriority w:val="5"/>
    <w:qFormat/>
    <w:rsid w:val="009629FA"/>
    <w:pPr>
      <w:spacing w:before="280" w:line="300" w:lineRule="atLeast"/>
    </w:pPr>
    <w:rPr>
      <w:b/>
      <w:iCs/>
    </w:rPr>
  </w:style>
  <w:style w:type="character" w:customStyle="1" w:styleId="QuoteChar">
    <w:name w:val="Quote Char"/>
    <w:basedOn w:val="DefaultParagraphFont"/>
    <w:link w:val="Quote"/>
    <w:uiPriority w:val="5"/>
    <w:rsid w:val="004F046B"/>
    <w:rPr>
      <w:rFonts w:asciiTheme="minorHAnsi" w:eastAsia="MS Mincho" w:hAnsiTheme="minorHAnsi"/>
      <w:b/>
      <w:iCs/>
      <w:color w:val="004E5C" w:themeColor="text2"/>
      <w:sz w:val="24"/>
      <w:lang w:val="en-AU" w:eastAsia="ja-JP"/>
    </w:rPr>
  </w:style>
  <w:style w:type="paragraph" w:styleId="Salutation">
    <w:name w:val="Salutation"/>
    <w:basedOn w:val="Normal"/>
    <w:next w:val="Normal"/>
    <w:link w:val="SalutationChar"/>
    <w:uiPriority w:val="97"/>
    <w:semiHidden/>
    <w:rsid w:val="009629FA"/>
  </w:style>
  <w:style w:type="character" w:customStyle="1" w:styleId="SalutationChar">
    <w:name w:val="Salutation Char"/>
    <w:basedOn w:val="DefaultParagraphFont"/>
    <w:link w:val="Salutation"/>
    <w:uiPriority w:val="97"/>
    <w:semiHidden/>
    <w:rsid w:val="009629FA"/>
    <w:rPr>
      <w:rFonts w:asciiTheme="minorHAnsi" w:eastAsia="MS Mincho" w:hAnsiTheme="minorHAnsi"/>
      <w:color w:val="000000" w:themeColor="text1"/>
      <w:sz w:val="22"/>
      <w:lang w:val="en-AU" w:eastAsia="ja-JP"/>
    </w:rPr>
  </w:style>
  <w:style w:type="paragraph" w:styleId="Signature">
    <w:name w:val="Signature"/>
    <w:basedOn w:val="Normal"/>
    <w:link w:val="SignatureChar"/>
    <w:uiPriority w:val="97"/>
    <w:semiHidden/>
    <w:rsid w:val="009629FA"/>
    <w:pPr>
      <w:spacing w:after="0" w:line="240" w:lineRule="auto"/>
      <w:ind w:left="4252"/>
    </w:pPr>
  </w:style>
  <w:style w:type="character" w:customStyle="1" w:styleId="SignatureChar">
    <w:name w:val="Signature Char"/>
    <w:basedOn w:val="DefaultParagraphFont"/>
    <w:link w:val="Signature"/>
    <w:uiPriority w:val="97"/>
    <w:semiHidden/>
    <w:rsid w:val="009629FA"/>
    <w:rPr>
      <w:rFonts w:asciiTheme="minorHAnsi" w:eastAsia="MS Mincho" w:hAnsiTheme="minorHAnsi"/>
      <w:color w:val="000000" w:themeColor="text1"/>
      <w:sz w:val="22"/>
      <w:lang w:val="en-AU" w:eastAsia="ja-JP"/>
    </w:rPr>
  </w:style>
  <w:style w:type="character" w:styleId="Strong">
    <w:name w:val="Strong"/>
    <w:basedOn w:val="DefaultParagraphFont"/>
    <w:uiPriority w:val="22"/>
    <w:qFormat/>
    <w:rsid w:val="009629FA"/>
    <w:rPr>
      <w:rFonts w:asciiTheme="minorHAnsi" w:hAnsiTheme="minorHAnsi" w:cstheme="minorHAnsi"/>
      <w:b/>
      <w:bCs/>
    </w:rPr>
  </w:style>
  <w:style w:type="paragraph" w:styleId="Subtitle">
    <w:name w:val="Subtitle"/>
    <w:basedOn w:val="Normal"/>
    <w:next w:val="Normal"/>
    <w:link w:val="SubtitleChar"/>
    <w:uiPriority w:val="11"/>
    <w:qFormat/>
    <w:rsid w:val="009629FA"/>
    <w:pPr>
      <w:numPr>
        <w:ilvl w:val="1"/>
      </w:numPr>
    </w:pPr>
    <w:rPr>
      <w:rFonts w:eastAsiaTheme="majorEastAsia"/>
      <w:i/>
      <w:iCs/>
      <w:color w:val="6CBBA8" w:themeColor="accent1"/>
      <w:spacing w:val="15"/>
    </w:rPr>
  </w:style>
  <w:style w:type="character" w:customStyle="1" w:styleId="SubtitleChar">
    <w:name w:val="Subtitle Char"/>
    <w:basedOn w:val="DefaultParagraphFont"/>
    <w:link w:val="Subtitle"/>
    <w:uiPriority w:val="11"/>
    <w:rsid w:val="009629FA"/>
    <w:rPr>
      <w:rFonts w:asciiTheme="minorHAnsi" w:eastAsiaTheme="majorEastAsia" w:hAnsiTheme="minorHAnsi"/>
      <w:i/>
      <w:iCs/>
      <w:color w:val="6CBBA8" w:themeColor="accent1"/>
      <w:spacing w:val="15"/>
      <w:sz w:val="24"/>
      <w:lang w:val="en-AU" w:eastAsia="ja-JP"/>
    </w:rPr>
  </w:style>
  <w:style w:type="character" w:styleId="SubtleEmphasis">
    <w:name w:val="Subtle Emphasis"/>
    <w:basedOn w:val="DefaultParagraphFont"/>
    <w:uiPriority w:val="97"/>
    <w:semiHidden/>
    <w:rsid w:val="009629FA"/>
    <w:rPr>
      <w:rFonts w:asciiTheme="minorHAnsi" w:hAnsiTheme="minorHAnsi" w:cstheme="minorHAnsi"/>
      <w:i/>
      <w:iCs/>
      <w:color w:val="808080" w:themeColor="text1" w:themeTint="7F"/>
    </w:rPr>
  </w:style>
  <w:style w:type="character" w:styleId="SubtleReference">
    <w:name w:val="Subtle Reference"/>
    <w:basedOn w:val="DefaultParagraphFont"/>
    <w:uiPriority w:val="97"/>
    <w:semiHidden/>
    <w:rsid w:val="009629FA"/>
    <w:rPr>
      <w:rFonts w:asciiTheme="minorHAnsi" w:hAnsiTheme="minorHAnsi" w:cstheme="minorHAnsi"/>
      <w:smallCaps/>
      <w:color w:val="2A3759" w:themeColor="accent2"/>
      <w:u w:val="single"/>
    </w:rPr>
  </w:style>
  <w:style w:type="table" w:styleId="Table3Deffects1">
    <w:name w:val="Table 3D effects 1"/>
    <w:basedOn w:val="TableNormal"/>
    <w:uiPriority w:val="98"/>
    <w:rsid w:val="009629FA"/>
    <w:pPr>
      <w:adjustRightInd w:val="0"/>
      <w:snapToGrid w:val="0"/>
      <w:spacing w:after="80" w:line="240" w:lineRule="atLeast"/>
    </w:pPr>
    <w:tblPr/>
    <w:tcPr>
      <w:shd w:val="solid" w:color="C0C0C0" w:fill="FFFFFF"/>
      <w:tcMar>
        <w:top w:w="57" w:type="dxa"/>
        <w:left w:w="57" w:type="dxa"/>
        <w:bottom w:w="57" w:type="dxa"/>
        <w:right w:w="57" w:type="dxa"/>
      </w:tcMar>
    </w:tcPr>
    <w:tblStylePr w:type="firstRow">
      <w:rPr>
        <w:rFonts w:asciiTheme="majorHAnsi" w:hAnsiTheme="majorHAnsi" w:cs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9629FA"/>
    <w:pPr>
      <w:adjustRightInd w:val="0"/>
      <w:snapToGrid w:val="0"/>
      <w:spacing w:after="80" w:line="240" w:lineRule="atLeast"/>
    </w:pPr>
    <w:tblPr>
      <w:tblStyleRowBandSize w:val="1"/>
    </w:tblPr>
    <w:tcPr>
      <w:shd w:val="solid" w:color="C0C0C0" w:fill="FFFFFF"/>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9629FA"/>
    <w:pPr>
      <w:adjustRightInd w:val="0"/>
      <w:snapToGrid w:val="0"/>
      <w:spacing w:after="80" w:line="240" w:lineRule="atLeast"/>
    </w:pPr>
    <w:tblPr>
      <w:tblStyleRowBandSize w:val="1"/>
      <w:tblStyleColBandSize w:val="1"/>
    </w:tblPr>
    <w:tcPr>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9629FA"/>
    <w:pPr>
      <w:adjustRightInd w:val="0"/>
      <w:snapToGrid w:val="0"/>
      <w:spacing w:after="80" w:line="240" w:lineRule="atLeast"/>
    </w:p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9629FA"/>
    <w:pPr>
      <w:adjustRightInd w:val="0"/>
      <w:snapToGrid w:val="0"/>
      <w:spacing w:after="80" w:line="240" w:lineRule="atLeast"/>
    </w:p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9629FA"/>
    <w:pPr>
      <w:adjustRightInd w:val="0"/>
      <w:snapToGrid w:val="0"/>
      <w:spacing w:after="80" w:line="24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9629FA"/>
    <w:pPr>
      <w:adjustRightInd w:val="0"/>
      <w:snapToGrid w:val="0"/>
      <w:spacing w:after="80" w:line="24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9629FA"/>
    <w:pPr>
      <w:adjustRightInd w:val="0"/>
      <w:snapToGrid w:val="0"/>
      <w:spacing w:after="80" w:line="24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cs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9629FA"/>
    <w:pPr>
      <w:adjustRightInd w:val="0"/>
      <w:snapToGrid w:val="0"/>
      <w:spacing w:after="80" w:line="240" w:lineRule="atLeast"/>
    </w:p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cs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9629FA"/>
    <w:pPr>
      <w:adjustRightInd w:val="0"/>
      <w:snapToGrid w:val="0"/>
      <w:spacing w:after="80" w:line="24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9629FA"/>
    <w:pPr>
      <w:adjustRightInd w:val="0"/>
      <w:snapToGrid w:val="0"/>
      <w:spacing w:after="80" w:line="24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cs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9629FA"/>
    <w:pPr>
      <w:adjustRightInd w:val="0"/>
      <w:snapToGrid w:val="0"/>
      <w:spacing w:after="80" w:line="240" w:lineRule="atLeast"/>
    </w:pPr>
    <w:rPr>
      <w:b/>
      <w:bCs/>
    </w:rPr>
    <w:tblPr>
      <w:tblStyleColBandSize w:val="1"/>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9629FA"/>
    <w:pPr>
      <w:adjustRightInd w:val="0"/>
      <w:snapToGrid w:val="0"/>
      <w:spacing w:after="80" w:line="24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9629FA"/>
    <w:pPr>
      <w:adjustRightInd w:val="0"/>
      <w:snapToGrid w:val="0"/>
      <w:spacing w:after="80" w:line="240" w:lineRule="atLeast"/>
    </w:pPr>
    <w:tblPr>
      <w:tblStyleColBandSize w:val="1"/>
    </w:tblPr>
    <w:tcPr>
      <w:tcMar>
        <w:top w:w="57" w:type="dxa"/>
        <w:left w:w="57" w:type="dxa"/>
        <w:bottom w:w="57" w:type="dxa"/>
        <w:right w:w="57" w:type="dxa"/>
      </w:tcMar>
    </w:tcPr>
    <w:tblStylePr w:type="firstRow">
      <w:rPr>
        <w:rFonts w:asciiTheme="majorHAnsi" w:hAnsiTheme="majorHAnsi" w:cs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9629FA"/>
    <w:pPr>
      <w:adjustRightInd w:val="0"/>
      <w:snapToGrid w:val="0"/>
      <w:spacing w:after="80" w:line="24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cs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9629FA"/>
    <w:pPr>
      <w:adjustRightInd w:val="0"/>
      <w:snapToGrid w:val="0"/>
      <w:spacing w:after="80" w:line="240" w:lineRule="atLeast"/>
    </w:p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9629FA"/>
    <w:pPr>
      <w:adjustRightInd w:val="0"/>
      <w:snapToGrid w:val="0"/>
      <w:spacing w:after="80" w:line="24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9629FA"/>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9629FA"/>
    <w:pPr>
      <w:adjustRightInd w:val="0"/>
      <w:snapToGrid w:val="0"/>
      <w:spacing w:after="80" w:line="240" w:lineRule="atLeast"/>
    </w:p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9629FA"/>
    <w:pPr>
      <w:adjustRightInd w:val="0"/>
      <w:snapToGrid w:val="0"/>
      <w:spacing w:after="80" w:line="24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9629FA"/>
    <w:pPr>
      <w:adjustRightInd w:val="0"/>
      <w:snapToGrid w:val="0"/>
      <w:spacing w:after="80" w:line="24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9629FA"/>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9629FA"/>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9629FA"/>
    <w:pPr>
      <w:adjustRightInd w:val="0"/>
      <w:snapToGrid w:val="0"/>
      <w:spacing w:after="80" w:line="24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9629FA"/>
    <w:pPr>
      <w:adjustRightInd w:val="0"/>
      <w:snapToGrid w:val="0"/>
      <w:spacing w:after="80" w:line="24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9629FA"/>
    <w:pPr>
      <w:adjustRightInd w:val="0"/>
      <w:snapToGrid w:val="0"/>
      <w:spacing w:after="80" w:line="240" w:lineRule="atLeast"/>
    </w:p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cs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9629FA"/>
    <w:pPr>
      <w:adjustRightInd w:val="0"/>
      <w:snapToGrid w:val="0"/>
      <w:spacing w:after="80" w:line="240" w:lineRule="atLeast"/>
    </w:p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cs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9629FA"/>
    <w:pPr>
      <w:adjustRightInd w:val="0"/>
      <w:snapToGrid w:val="0"/>
      <w:spacing w:after="80" w:line="240" w:lineRule="atLeast"/>
    </w:p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9629FA"/>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9629FA"/>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9629FA"/>
    <w:pPr>
      <w:adjustRightInd w:val="0"/>
      <w:snapToGrid w:val="0"/>
      <w:spacing w:after="80" w:line="24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9629FA"/>
    <w:pPr>
      <w:adjustRightInd w:val="0"/>
      <w:snapToGrid w:val="0"/>
      <w:spacing w:after="80" w:line="24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9629FA"/>
    <w:pPr>
      <w:adjustRightInd w:val="0"/>
      <w:snapToGrid w:val="0"/>
      <w:spacing w:after="80" w:line="24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cs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9629FA"/>
    <w:pPr>
      <w:spacing w:after="0"/>
      <w:ind w:left="200" w:hanging="200"/>
    </w:pPr>
  </w:style>
  <w:style w:type="paragraph" w:styleId="TableofFigures">
    <w:name w:val="table of figures"/>
    <w:basedOn w:val="Normal"/>
    <w:next w:val="Normal"/>
    <w:uiPriority w:val="97"/>
    <w:semiHidden/>
    <w:rsid w:val="009629FA"/>
    <w:pPr>
      <w:spacing w:after="0"/>
    </w:pPr>
  </w:style>
  <w:style w:type="table" w:styleId="TableProfessional">
    <w:name w:val="Table Professional"/>
    <w:basedOn w:val="TableNormal"/>
    <w:uiPriority w:val="98"/>
    <w:rsid w:val="009629FA"/>
    <w:pPr>
      <w:adjustRightInd w:val="0"/>
      <w:snapToGrid w:val="0"/>
      <w:spacing w:after="80" w:line="24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9629FA"/>
    <w:pPr>
      <w:adjustRightInd w:val="0"/>
      <w:snapToGrid w:val="0"/>
      <w:spacing w:after="80" w:line="240" w:lineRule="atLeast"/>
    </w:p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cs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9629FA"/>
    <w:pPr>
      <w:adjustRightInd w:val="0"/>
      <w:snapToGrid w:val="0"/>
      <w:spacing w:after="80" w:line="240" w:lineRule="atLeast"/>
    </w:pPr>
    <w:tblPr/>
    <w:tcPr>
      <w:tcMar>
        <w:top w:w="57" w:type="dxa"/>
        <w:left w:w="57" w:type="dxa"/>
        <w:bottom w:w="57" w:type="dxa"/>
        <w:right w:w="57" w:type="dxa"/>
      </w:tcMar>
    </w:tcPr>
    <w:tblStylePr w:type="firstRow">
      <w:rPr>
        <w:rFonts w:asciiTheme="majorHAnsi" w:hAnsiTheme="majorHAnsi" w:cs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9629FA"/>
    <w:pPr>
      <w:adjustRightInd w:val="0"/>
      <w:snapToGrid w:val="0"/>
      <w:spacing w:after="80" w:line="24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s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9629FA"/>
    <w:pPr>
      <w:adjustRightInd w:val="0"/>
      <w:snapToGrid w:val="0"/>
      <w:spacing w:after="80" w:line="240" w:lineRule="atLeast"/>
    </w:pPr>
    <w:tblPr>
      <w:tblStyleRowBandSize w:val="1"/>
    </w:tblPr>
    <w:tcPr>
      <w:tcMar>
        <w:top w:w="57" w:type="dxa"/>
        <w:left w:w="57" w:type="dxa"/>
        <w:bottom w:w="57" w:type="dxa"/>
        <w:right w:w="57" w:type="dxa"/>
      </w:tcMar>
    </w:tcPr>
    <w:tblStylePr w:type="firstRow">
      <w:rPr>
        <w:rFonts w:asciiTheme="majorHAnsi" w:hAnsiTheme="majorHAnsi" w:cs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9629FA"/>
    <w:pPr>
      <w:adjustRightInd w:val="0"/>
      <w:snapToGrid w:val="0"/>
      <w:spacing w:after="80" w:line="240" w:lineRule="atLeast"/>
    </w:p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cs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9629FA"/>
    <w:pPr>
      <w:adjustRightInd w:val="0"/>
      <w:snapToGrid w:val="0"/>
      <w:spacing w:after="8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cstheme="majorHAnsi"/>
      </w:rPr>
    </w:tblStylePr>
  </w:style>
  <w:style w:type="table" w:styleId="TableWeb1">
    <w:name w:val="Table Web 1"/>
    <w:basedOn w:val="TableNormal"/>
    <w:uiPriority w:val="98"/>
    <w:rsid w:val="009629FA"/>
    <w:pPr>
      <w:adjustRightInd w:val="0"/>
      <w:snapToGrid w:val="0"/>
      <w:spacing w:after="80" w:line="24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table" w:styleId="TableWeb2">
    <w:name w:val="Table Web 2"/>
    <w:basedOn w:val="TableNormal"/>
    <w:uiPriority w:val="98"/>
    <w:rsid w:val="009629FA"/>
    <w:pPr>
      <w:adjustRightInd w:val="0"/>
      <w:snapToGrid w:val="0"/>
      <w:spacing w:after="80" w:line="24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table" w:styleId="TableWeb3">
    <w:name w:val="Table Web 3"/>
    <w:basedOn w:val="TableNormal"/>
    <w:uiPriority w:val="98"/>
    <w:rsid w:val="009629FA"/>
    <w:pPr>
      <w:adjustRightInd w:val="0"/>
      <w:snapToGrid w:val="0"/>
      <w:spacing w:after="80" w:line="24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cs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97"/>
    <w:semiHidden/>
    <w:rsid w:val="009629FA"/>
    <w:pPr>
      <w:pBdr>
        <w:bottom w:val="single" w:sz="8" w:space="4" w:color="6CBBA8" w:themeColor="accent1"/>
      </w:pBdr>
      <w:spacing w:after="300" w:line="240" w:lineRule="auto"/>
      <w:contextualSpacing/>
    </w:pPr>
    <w:rPr>
      <w:rFonts w:eastAsiaTheme="majorEastAsia"/>
      <w:color w:val="003A44" w:themeColor="text2" w:themeShade="BF"/>
      <w:spacing w:val="5"/>
      <w:kern w:val="28"/>
      <w:sz w:val="52"/>
      <w:szCs w:val="52"/>
    </w:rPr>
  </w:style>
  <w:style w:type="character" w:customStyle="1" w:styleId="TitleChar">
    <w:name w:val="Title Char"/>
    <w:basedOn w:val="DefaultParagraphFont"/>
    <w:link w:val="Title"/>
    <w:uiPriority w:val="97"/>
    <w:semiHidden/>
    <w:rsid w:val="009629FA"/>
    <w:rPr>
      <w:rFonts w:asciiTheme="minorHAnsi" w:eastAsiaTheme="majorEastAsia" w:hAnsiTheme="minorHAnsi"/>
      <w:color w:val="003A44" w:themeColor="text2" w:themeShade="BF"/>
      <w:spacing w:val="5"/>
      <w:kern w:val="28"/>
      <w:sz w:val="52"/>
      <w:szCs w:val="52"/>
      <w:lang w:val="en-AU" w:eastAsia="ja-JP"/>
    </w:rPr>
  </w:style>
  <w:style w:type="paragraph" w:styleId="TOAHeading">
    <w:name w:val="toa heading"/>
    <w:basedOn w:val="Normal"/>
    <w:next w:val="Normal"/>
    <w:uiPriority w:val="97"/>
    <w:semiHidden/>
    <w:rsid w:val="009629FA"/>
    <w:rPr>
      <w:rFonts w:asciiTheme="majorHAnsi" w:eastAsiaTheme="majorEastAsia" w:hAnsiTheme="majorHAnsi" w:cstheme="majorHAnsi"/>
      <w:b/>
      <w:bCs/>
    </w:rPr>
  </w:style>
  <w:style w:type="paragraph" w:styleId="TOC5">
    <w:name w:val="toc 5"/>
    <w:basedOn w:val="Normal"/>
    <w:next w:val="Normal"/>
    <w:autoRedefine/>
    <w:uiPriority w:val="97"/>
    <w:semiHidden/>
    <w:rsid w:val="009629FA"/>
    <w:pPr>
      <w:spacing w:after="100"/>
      <w:ind w:left="800"/>
    </w:pPr>
  </w:style>
  <w:style w:type="paragraph" w:styleId="TOC6">
    <w:name w:val="toc 6"/>
    <w:basedOn w:val="Normal"/>
    <w:next w:val="Normal"/>
    <w:autoRedefine/>
    <w:uiPriority w:val="97"/>
    <w:semiHidden/>
    <w:rsid w:val="009629FA"/>
    <w:pPr>
      <w:spacing w:after="100"/>
      <w:ind w:left="1000"/>
    </w:pPr>
  </w:style>
  <w:style w:type="paragraph" w:styleId="TOC7">
    <w:name w:val="toc 7"/>
    <w:basedOn w:val="Normal"/>
    <w:next w:val="Normal"/>
    <w:autoRedefine/>
    <w:uiPriority w:val="97"/>
    <w:semiHidden/>
    <w:rsid w:val="009629FA"/>
    <w:pPr>
      <w:spacing w:after="100"/>
      <w:ind w:left="1200"/>
    </w:pPr>
  </w:style>
  <w:style w:type="paragraph" w:styleId="TOC8">
    <w:name w:val="toc 8"/>
    <w:basedOn w:val="Normal"/>
    <w:next w:val="Normal"/>
    <w:autoRedefine/>
    <w:uiPriority w:val="97"/>
    <w:semiHidden/>
    <w:rsid w:val="009629FA"/>
    <w:pPr>
      <w:spacing w:after="100"/>
      <w:ind w:left="1400"/>
    </w:pPr>
  </w:style>
  <w:style w:type="paragraph" w:styleId="TOC9">
    <w:name w:val="toc 9"/>
    <w:basedOn w:val="Normal"/>
    <w:next w:val="Normal"/>
    <w:autoRedefine/>
    <w:uiPriority w:val="97"/>
    <w:semiHidden/>
    <w:rsid w:val="009629FA"/>
    <w:pPr>
      <w:spacing w:after="100"/>
      <w:ind w:left="1600"/>
    </w:pPr>
  </w:style>
  <w:style w:type="paragraph" w:styleId="TOCHeading">
    <w:name w:val="TOC Heading"/>
    <w:basedOn w:val="Normal"/>
    <w:next w:val="Normal"/>
    <w:uiPriority w:val="39"/>
    <w:qFormat/>
    <w:rsid w:val="00F444AA"/>
    <w:pPr>
      <w:pageBreakBefore/>
      <w:spacing w:after="2500"/>
      <w:contextualSpacing/>
    </w:pPr>
    <w:rPr>
      <w:sz w:val="44"/>
    </w:rPr>
  </w:style>
  <w:style w:type="table" w:customStyle="1" w:styleId="LayoutGrid">
    <w:name w:val="Layout Grid"/>
    <w:basedOn w:val="TableNormal"/>
    <w:uiPriority w:val="99"/>
    <w:rsid w:val="009629FA"/>
    <w:rPr>
      <w:rFonts w:asciiTheme="minorHAnsi" w:hAnsiTheme="minorHAnsi"/>
    </w:rPr>
    <w:tblPr>
      <w:tblCellMar>
        <w:left w:w="0" w:type="dxa"/>
        <w:right w:w="0" w:type="dxa"/>
      </w:tblCellMar>
    </w:tblPr>
  </w:style>
  <w:style w:type="character" w:customStyle="1" w:styleId="HeaderChar">
    <w:name w:val="Header Char"/>
    <w:basedOn w:val="DefaultParagraphFont"/>
    <w:link w:val="Header"/>
    <w:uiPriority w:val="99"/>
    <w:rsid w:val="009629FA"/>
    <w:rPr>
      <w:rFonts w:asciiTheme="minorHAnsi" w:eastAsia="MS Mincho" w:hAnsiTheme="minorHAnsi"/>
      <w:caps/>
      <w:color w:val="000000" w:themeColor="text1"/>
      <w:kern w:val="60"/>
      <w:sz w:val="13"/>
      <w:lang w:val="en-AU" w:eastAsia="ja-JP"/>
    </w:rPr>
  </w:style>
  <w:style w:type="paragraph" w:styleId="TOC2">
    <w:name w:val="toc 2"/>
    <w:basedOn w:val="Normal"/>
    <w:next w:val="Normal"/>
    <w:uiPriority w:val="39"/>
    <w:unhideWhenUsed/>
    <w:rsid w:val="00A14020"/>
    <w:pPr>
      <w:tabs>
        <w:tab w:val="right" w:leader="underscore" w:pos="9639"/>
      </w:tabs>
    </w:pPr>
  </w:style>
  <w:style w:type="paragraph" w:customStyle="1" w:styleId="HeaderTitle">
    <w:name w:val="Header Title"/>
    <w:basedOn w:val="Header"/>
    <w:semiHidden/>
    <w:qFormat/>
    <w:rsid w:val="009629FA"/>
    <w:rPr>
      <w:b/>
      <w:caps w:val="0"/>
      <w:sz w:val="17"/>
    </w:rPr>
  </w:style>
  <w:style w:type="numbering" w:customStyle="1" w:styleId="ListBullets">
    <w:name w:val="ListBullets"/>
    <w:uiPriority w:val="99"/>
    <w:rsid w:val="009629FA"/>
    <w:pPr>
      <w:numPr>
        <w:numId w:val="5"/>
      </w:numPr>
    </w:pPr>
  </w:style>
  <w:style w:type="numbering" w:customStyle="1" w:styleId="NubmeredHeadings">
    <w:name w:val="Nubmered Headings"/>
    <w:uiPriority w:val="99"/>
    <w:rsid w:val="009629FA"/>
    <w:pPr>
      <w:numPr>
        <w:numId w:val="6"/>
      </w:numPr>
    </w:pPr>
  </w:style>
  <w:style w:type="numbering" w:customStyle="1" w:styleId="TicksList">
    <w:name w:val="Ticks_List"/>
    <w:uiPriority w:val="99"/>
    <w:rsid w:val="009629FA"/>
    <w:pPr>
      <w:numPr>
        <w:numId w:val="7"/>
      </w:numPr>
    </w:pPr>
  </w:style>
  <w:style w:type="character" w:customStyle="1" w:styleId="Heading4Char">
    <w:name w:val="Heading 4 Char"/>
    <w:basedOn w:val="DefaultParagraphFont"/>
    <w:link w:val="Heading4"/>
    <w:uiPriority w:val="9"/>
    <w:rsid w:val="004F046B"/>
    <w:rPr>
      <w:rFonts w:ascii="Arial" w:eastAsia="MS Mincho" w:hAnsi="Arial" w:cstheme="majorHAnsi"/>
      <w:bCs/>
      <w:color w:val="004E5C" w:themeColor="text2"/>
      <w:sz w:val="22"/>
      <w:szCs w:val="28"/>
      <w:lang w:val="en-AU" w:eastAsia="ja-JP"/>
    </w:rPr>
  </w:style>
  <w:style w:type="paragraph" w:customStyle="1" w:styleId="QuotePullOut2">
    <w:name w:val="Quote PullOut 2"/>
    <w:basedOn w:val="Normal"/>
    <w:uiPriority w:val="5"/>
    <w:qFormat/>
    <w:rsid w:val="00017F31"/>
    <w:pPr>
      <w:pBdr>
        <w:top w:val="single" w:sz="4" w:space="18" w:color="FFFFFF" w:themeColor="background2"/>
        <w:left w:val="single" w:sz="4" w:space="12" w:color="FFFFFF" w:themeColor="background2"/>
        <w:bottom w:val="single" w:sz="4" w:space="18" w:color="FFFFFF" w:themeColor="background2"/>
        <w:right w:val="single" w:sz="4" w:space="12" w:color="FFFFFF" w:themeColor="background2"/>
      </w:pBdr>
      <w:shd w:val="clear" w:color="auto" w:fill="2A3759" w:themeFill="accent2"/>
      <w:spacing w:before="200" w:after="200" w:line="300" w:lineRule="atLeast"/>
      <w:ind w:left="261" w:right="261"/>
      <w:contextualSpacing/>
    </w:pPr>
    <w:rPr>
      <w:rFonts w:ascii="Arial" w:hAnsi="Arial"/>
      <w:color w:val="FFFFFF" w:themeColor="background2"/>
    </w:rPr>
  </w:style>
  <w:style w:type="paragraph" w:styleId="TOC3">
    <w:name w:val="toc 3"/>
    <w:basedOn w:val="Normal"/>
    <w:next w:val="Normal"/>
    <w:uiPriority w:val="39"/>
    <w:unhideWhenUsed/>
    <w:rsid w:val="00A14020"/>
    <w:pPr>
      <w:tabs>
        <w:tab w:val="right" w:leader="underscore" w:pos="9639"/>
      </w:tabs>
      <w:spacing w:after="100"/>
      <w:ind w:left="440"/>
    </w:pPr>
  </w:style>
  <w:style w:type="paragraph" w:customStyle="1" w:styleId="QuotePullOut3">
    <w:name w:val="Quote PullOut 3"/>
    <w:basedOn w:val="QuotePullOut2"/>
    <w:uiPriority w:val="5"/>
    <w:qFormat/>
    <w:rsid w:val="009629FA"/>
    <w:pPr>
      <w:pBdr>
        <w:top w:val="single" w:sz="4" w:space="18" w:color="6CBBA8" w:themeColor="accent1"/>
        <w:left w:val="single" w:sz="4" w:space="12" w:color="6CBBA8" w:themeColor="accent1"/>
        <w:bottom w:val="single" w:sz="4" w:space="18" w:color="6CBBA8" w:themeColor="accent1"/>
        <w:right w:val="single" w:sz="4" w:space="12" w:color="6CBBA8" w:themeColor="accent1"/>
      </w:pBdr>
      <w:shd w:val="clear" w:color="auto" w:fill="6CBBA8" w:themeFill="accent1"/>
      <w:jc w:val="center"/>
    </w:pPr>
    <w:rPr>
      <w:color w:val="FFFFFF" w:themeColor="background1"/>
      <w:sz w:val="28"/>
    </w:rPr>
  </w:style>
  <w:style w:type="paragraph" w:styleId="ListNumber3">
    <w:name w:val="List Number 3"/>
    <w:basedOn w:val="Normal"/>
    <w:uiPriority w:val="4"/>
    <w:rsid w:val="006807C7"/>
    <w:pPr>
      <w:numPr>
        <w:ilvl w:val="2"/>
        <w:numId w:val="17"/>
      </w:numPr>
    </w:pPr>
  </w:style>
  <w:style w:type="paragraph" w:customStyle="1" w:styleId="QuotePullOut1">
    <w:name w:val="Quote PullOut 1"/>
    <w:basedOn w:val="Quote"/>
    <w:next w:val="Normal"/>
    <w:uiPriority w:val="5"/>
    <w:qFormat/>
    <w:rsid w:val="009629FA"/>
    <w:pPr>
      <w:pBdr>
        <w:top w:val="single" w:sz="12" w:space="1" w:color="004E5C" w:themeColor="text2"/>
      </w:pBdr>
      <w:contextualSpacing/>
    </w:pPr>
  </w:style>
  <w:style w:type="paragraph" w:customStyle="1" w:styleId="FooterInfo">
    <w:name w:val="Footer Info"/>
    <w:basedOn w:val="Footer"/>
    <w:uiPriority w:val="9"/>
    <w:qFormat/>
    <w:rsid w:val="009629FA"/>
    <w:rPr>
      <w:rFonts w:asciiTheme="minorHAnsi" w:hAnsiTheme="minorHAnsi"/>
      <w:color w:val="004E5C" w:themeColor="text2"/>
      <w:sz w:val="20"/>
    </w:rPr>
  </w:style>
  <w:style w:type="character" w:customStyle="1" w:styleId="Heading3Char">
    <w:name w:val="Heading 3 Char"/>
    <w:basedOn w:val="DefaultParagraphFont"/>
    <w:link w:val="Heading3"/>
    <w:uiPriority w:val="9"/>
    <w:rsid w:val="009B16B2"/>
    <w:rPr>
      <w:rFonts w:ascii="Arial" w:eastAsia="MS Mincho" w:hAnsi="Arial" w:cstheme="majorHAnsi"/>
      <w:bCs/>
      <w:color w:val="004E5C" w:themeColor="text2"/>
      <w:sz w:val="24"/>
      <w:szCs w:val="26"/>
      <w:lang w:val="en-AU" w:eastAsia="ja-JP"/>
    </w:rPr>
  </w:style>
  <w:style w:type="paragraph" w:customStyle="1" w:styleId="TableSubheading">
    <w:name w:val="Table Subheading"/>
    <w:basedOn w:val="TableText"/>
    <w:uiPriority w:val="6"/>
    <w:qFormat/>
    <w:rsid w:val="009629FA"/>
    <w:rPr>
      <w:b/>
    </w:rPr>
  </w:style>
  <w:style w:type="paragraph" w:customStyle="1" w:styleId="NonTocHeading1">
    <w:name w:val="NonToc_Heading1"/>
    <w:basedOn w:val="Normal"/>
    <w:next w:val="Normal"/>
    <w:uiPriority w:val="2"/>
    <w:qFormat/>
    <w:rsid w:val="00A14020"/>
    <w:rPr>
      <w:rFonts w:cstheme="majorHAnsi"/>
      <w:bCs/>
      <w:kern w:val="32"/>
      <w:sz w:val="40"/>
      <w:szCs w:val="32"/>
    </w:rPr>
  </w:style>
  <w:style w:type="numbering" w:customStyle="1" w:styleId="BulletedList">
    <w:name w:val="Bulleted List"/>
    <w:uiPriority w:val="99"/>
    <w:rsid w:val="008F1957"/>
    <w:pPr>
      <w:numPr>
        <w:numId w:val="14"/>
      </w:numPr>
    </w:pPr>
  </w:style>
  <w:style w:type="numbering" w:customStyle="1" w:styleId="NumberList">
    <w:name w:val="Number List"/>
    <w:uiPriority w:val="99"/>
    <w:rsid w:val="006807C7"/>
    <w:pPr>
      <w:numPr>
        <w:numId w:val="15"/>
      </w:numPr>
    </w:pPr>
  </w:style>
  <w:style w:type="character" w:customStyle="1" w:styleId="Heading2Char">
    <w:name w:val="Heading 2 Char"/>
    <w:basedOn w:val="DefaultParagraphFont"/>
    <w:link w:val="Heading2"/>
    <w:uiPriority w:val="9"/>
    <w:rsid w:val="00025830"/>
    <w:rPr>
      <w:rFonts w:ascii="Arial" w:eastAsia="MS Mincho" w:hAnsi="Arial" w:cstheme="majorHAnsi"/>
      <w:bCs/>
      <w:iCs/>
      <w:color w:val="004E5C" w:themeColor="text2"/>
      <w:sz w:val="28"/>
      <w:szCs w:val="28"/>
      <w:lang w:val="en-AU" w:eastAsia="ja-JP"/>
    </w:rPr>
  </w:style>
  <w:style w:type="character" w:customStyle="1" w:styleId="Heading1Char">
    <w:name w:val="Heading 1 Char"/>
    <w:basedOn w:val="DefaultParagraphFont"/>
    <w:link w:val="Heading1"/>
    <w:uiPriority w:val="9"/>
    <w:rsid w:val="00025830"/>
    <w:rPr>
      <w:rFonts w:asciiTheme="minorHAnsi" w:eastAsia="MS Mincho" w:hAnsiTheme="minorHAnsi" w:cstheme="majorHAnsi"/>
      <w:bCs/>
      <w:color w:val="004E5C" w:themeColor="text2"/>
      <w:kern w:val="32"/>
      <w:sz w:val="40"/>
      <w:szCs w:val="32"/>
      <w:lang w:val="en-AU" w:eastAsia="ja-JP"/>
    </w:rPr>
  </w:style>
  <w:style w:type="character" w:customStyle="1" w:styleId="FooterChar">
    <w:name w:val="Footer Char"/>
    <w:basedOn w:val="DefaultParagraphFont"/>
    <w:link w:val="Footer"/>
    <w:uiPriority w:val="99"/>
    <w:rsid w:val="00025830"/>
    <w:rPr>
      <w:rFonts w:ascii="Calibri" w:eastAsia="MS Mincho" w:hAnsi="Calibri"/>
      <w:caps/>
      <w:color w:val="FFFFFF" w:themeColor="background2"/>
      <w:sz w:val="19"/>
      <w:lang w:val="en-AU" w:eastAsia="ja-JP"/>
    </w:rPr>
  </w:style>
  <w:style w:type="table" w:customStyle="1" w:styleId="TableGrid10">
    <w:name w:val="Table Grid1"/>
    <w:basedOn w:val="TableNormal"/>
    <w:next w:val="TableGrid"/>
    <w:uiPriority w:val="59"/>
    <w:rsid w:val="00025830"/>
    <w:rPr>
      <w:rFonts w:asciiTheme="minorHAnsi" w:eastAsia="Calibr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sid w:val="00025830"/>
    <w:rPr>
      <w:rFonts w:asciiTheme="minorHAnsi" w:eastAsia="Calibr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025830"/>
    <w:rPr>
      <w:rFonts w:asciiTheme="minorHAnsi" w:eastAsia="Calibr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025830"/>
    <w:rPr>
      <w:rFonts w:asciiTheme="minorHAnsi" w:eastAsia="Calibr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25830"/>
    <w:pPr>
      <w:autoSpaceDE w:val="0"/>
      <w:autoSpaceDN w:val="0"/>
      <w:adjustRightInd w:val="0"/>
    </w:pPr>
    <w:rPr>
      <w:rFonts w:ascii="Cambria" w:eastAsiaTheme="minorEastAsia" w:hAnsi="Cambria" w:cs="Cambria"/>
      <w:color w:val="000000"/>
      <w:sz w:val="24"/>
      <w:szCs w:val="24"/>
      <w:lang w:eastAsia="zh-CN"/>
    </w:rPr>
  </w:style>
  <w:style w:type="character" w:customStyle="1" w:styleId="Heading5Char">
    <w:name w:val="Heading 5 Char"/>
    <w:basedOn w:val="DefaultParagraphFont"/>
    <w:link w:val="Heading5"/>
    <w:uiPriority w:val="9"/>
    <w:rsid w:val="00025830"/>
    <w:rPr>
      <w:rFonts w:asciiTheme="majorHAnsi" w:eastAsia="MS Mincho" w:hAnsiTheme="majorHAnsi" w:cstheme="majorHAnsi"/>
      <w:b/>
      <w:bCs/>
      <w:i/>
      <w:iCs/>
      <w:color w:val="004E5C" w:themeColor="text2"/>
      <w:sz w:val="16"/>
      <w:szCs w:val="26"/>
      <w:lang w:val="en-AU" w:eastAsia="ja-JP"/>
    </w:rPr>
  </w:style>
  <w:style w:type="paragraph" w:customStyle="1" w:styleId="TextPI">
    <w:name w:val="Text PI"/>
    <w:basedOn w:val="Normal"/>
    <w:qFormat/>
    <w:rsid w:val="00025830"/>
    <w:rPr>
      <w:rFonts w:ascii="Flordian Regular" w:hAnsi="Flordian Regular"/>
      <w:lang w:eastAsia="en-US"/>
    </w:rPr>
  </w:style>
  <w:style w:type="character" w:customStyle="1" w:styleId="tx">
    <w:name w:val="tx"/>
    <w:basedOn w:val="DefaultParagraphFont"/>
    <w:rsid w:val="00025830"/>
  </w:style>
  <w:style w:type="table" w:customStyle="1" w:styleId="ListTable6Colorful1">
    <w:name w:val="List Table 6 Colorful1"/>
    <w:basedOn w:val="TableNormal"/>
    <w:uiPriority w:val="51"/>
    <w:rsid w:val="00025830"/>
    <w:rPr>
      <w:rFonts w:asciiTheme="minorHAnsi" w:eastAsiaTheme="minorEastAsia" w:hAnsiTheme="minorHAnsi" w:cstheme="minorBidi"/>
      <w:color w:val="000000" w:themeColor="text1"/>
      <w:sz w:val="22"/>
      <w:szCs w:val="22"/>
      <w:lang w:val="en-AU"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
    <w:name w:val="List Table 6 Colorful"/>
    <w:basedOn w:val="TableNormal"/>
    <w:uiPriority w:val="51"/>
    <w:rsid w:val="00025830"/>
    <w:rPr>
      <w:rFonts w:asciiTheme="minorHAnsi" w:eastAsiaTheme="minorEastAsia" w:hAnsiTheme="minorHAnsi" w:cstheme="minorBidi"/>
      <w:color w:val="000000" w:themeColor="text1"/>
      <w:sz w:val="22"/>
      <w:szCs w:val="22"/>
      <w:lang w:val="en-AU"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025830"/>
  </w:style>
  <w:style w:type="character" w:customStyle="1" w:styleId="TextChar">
    <w:name w:val="Text Char"/>
    <w:basedOn w:val="DefaultParagraphFont"/>
    <w:link w:val="Text"/>
    <w:locked/>
    <w:rsid w:val="00025830"/>
    <w:rPr>
      <w:lang w:eastAsia="de-DE"/>
    </w:rPr>
  </w:style>
  <w:style w:type="paragraph" w:customStyle="1" w:styleId="Text">
    <w:name w:val="Text"/>
    <w:basedOn w:val="Normal"/>
    <w:link w:val="TextChar"/>
    <w:rsid w:val="00025830"/>
    <w:pPr>
      <w:spacing w:before="0" w:after="0" w:line="240" w:lineRule="auto"/>
    </w:pPr>
    <w:rPr>
      <w:rFonts w:eastAsia="SimSun"/>
      <w:sz w:val="20"/>
      <w:szCs w:val="20"/>
      <w:lang w:val="en-GB" w:eastAsia="de-DE"/>
    </w:rPr>
  </w:style>
  <w:style w:type="paragraph" w:customStyle="1" w:styleId="TPDescriptions">
    <w:name w:val="TP: Descriptions"/>
    <w:basedOn w:val="Normal"/>
    <w:rsid w:val="00025830"/>
    <w:pPr>
      <w:spacing w:after="0" w:line="240" w:lineRule="auto"/>
      <w:ind w:left="142"/>
    </w:pPr>
    <w:rPr>
      <w:rFonts w:eastAsiaTheme="minorHAnsi"/>
      <w:b/>
      <w:bCs/>
      <w:lang w:val="en-AU" w:eastAsia="en-US"/>
    </w:rPr>
  </w:style>
  <w:style w:type="paragraph" w:customStyle="1" w:styleId="TPText10pt">
    <w:name w:val="TP Text 10pt"/>
    <w:basedOn w:val="Normal"/>
    <w:rsid w:val="00025830"/>
    <w:pPr>
      <w:spacing w:before="40" w:after="40" w:line="240" w:lineRule="auto"/>
      <w:ind w:left="113"/>
    </w:pPr>
    <w:rPr>
      <w:rFonts w:eastAsiaTheme="minorHAnsi"/>
      <w:sz w:val="20"/>
      <w:szCs w:val="20"/>
      <w:lang w:val="en-AU" w:eastAsia="en-US"/>
    </w:rPr>
  </w:style>
  <w:style w:type="paragraph" w:customStyle="1" w:styleId="A-H-U-Number">
    <w:name w:val="A-/H-/U-Number"/>
    <w:basedOn w:val="Normal"/>
    <w:rsid w:val="00025830"/>
    <w:pPr>
      <w:spacing w:before="0" w:after="0" w:line="240" w:lineRule="auto"/>
      <w:ind w:left="113" w:right="113"/>
      <w:jc w:val="center"/>
    </w:pPr>
    <w:rPr>
      <w:rFonts w:ascii="Calibri" w:eastAsiaTheme="minorHAnsi" w:hAnsi="Calibri"/>
      <w:b/>
      <w:bCs/>
      <w:lang w:val="en-AU" w:eastAsia="de-DE"/>
    </w:rPr>
  </w:style>
  <w:style w:type="paragraph" w:customStyle="1" w:styleId="BI-StudyNumber">
    <w:name w:val="BI-/Study Number"/>
    <w:basedOn w:val="Normal"/>
    <w:rsid w:val="00025830"/>
    <w:pPr>
      <w:spacing w:before="0" w:after="0" w:line="240" w:lineRule="auto"/>
      <w:ind w:left="113" w:right="113"/>
      <w:jc w:val="center"/>
    </w:pPr>
    <w:rPr>
      <w:rFonts w:ascii="Calibri" w:eastAsiaTheme="minorHAnsi" w:hAnsi="Calibri"/>
      <w:b/>
      <w:bCs/>
      <w:lang w:val="en-AU" w:eastAsia="de-DE"/>
    </w:rPr>
  </w:style>
  <w:style w:type="paragraph" w:customStyle="1" w:styleId="GMDDocumentName">
    <w:name w:val="GMD Document Name"/>
    <w:basedOn w:val="Normal"/>
    <w:next w:val="Text"/>
    <w:semiHidden/>
    <w:rsid w:val="00025830"/>
    <w:pPr>
      <w:spacing w:before="0" w:after="0" w:line="240" w:lineRule="auto"/>
    </w:pPr>
    <w:rPr>
      <w:rFonts w:ascii="BISans" w:eastAsia="Times New Roman" w:hAnsi="BISans"/>
      <w:b/>
      <w:lang w:eastAsia="en-US"/>
    </w:rPr>
  </w:style>
  <w:style w:type="character" w:customStyle="1" w:styleId="highlight2">
    <w:name w:val="highlight2"/>
    <w:basedOn w:val="DefaultParagraphFont"/>
    <w:rsid w:val="00025830"/>
  </w:style>
  <w:style w:type="character" w:customStyle="1" w:styleId="cit">
    <w:name w:val="cit"/>
    <w:basedOn w:val="DefaultParagraphFont"/>
    <w:rsid w:val="00025830"/>
  </w:style>
  <w:style w:type="character" w:customStyle="1" w:styleId="fm-citation-ids-label">
    <w:name w:val="fm-citation-ids-label"/>
    <w:basedOn w:val="DefaultParagraphFont"/>
    <w:rsid w:val="00025830"/>
  </w:style>
  <w:style w:type="paragraph" w:styleId="Revision">
    <w:name w:val="Revision"/>
    <w:hidden/>
    <w:uiPriority w:val="99"/>
    <w:semiHidden/>
    <w:rsid w:val="00025830"/>
    <w:rPr>
      <w:rFonts w:eastAsiaTheme="minorEastAsia"/>
      <w:sz w:val="24"/>
      <w:szCs w:val="24"/>
      <w:lang w:val="en-US" w:eastAsia="zh-CN"/>
    </w:rPr>
  </w:style>
  <w:style w:type="character" w:customStyle="1" w:styleId="mixed-citation">
    <w:name w:val="mixed-citation"/>
    <w:basedOn w:val="DefaultParagraphFont"/>
    <w:rsid w:val="005C1AD4"/>
  </w:style>
  <w:style w:type="character" w:customStyle="1" w:styleId="ref-title">
    <w:name w:val="ref-title"/>
    <w:basedOn w:val="DefaultParagraphFont"/>
    <w:rsid w:val="005C1AD4"/>
  </w:style>
  <w:style w:type="character" w:customStyle="1" w:styleId="ref-journal">
    <w:name w:val="ref-journal"/>
    <w:basedOn w:val="DefaultParagraphFont"/>
    <w:rsid w:val="005C1AD4"/>
  </w:style>
  <w:style w:type="character" w:customStyle="1" w:styleId="ref-vol">
    <w:name w:val="ref-vol"/>
    <w:basedOn w:val="DefaultParagraphFont"/>
    <w:rsid w:val="005C1AD4"/>
  </w:style>
  <w:style w:type="character" w:customStyle="1" w:styleId="element-citation">
    <w:name w:val="element-citation"/>
    <w:basedOn w:val="DefaultParagraphFont"/>
    <w:rsid w:val="005C1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0367760">
      <w:bodyDiv w:val="1"/>
      <w:marLeft w:val="0"/>
      <w:marRight w:val="0"/>
      <w:marTop w:val="0"/>
      <w:marBottom w:val="0"/>
      <w:divBdr>
        <w:top w:val="none" w:sz="0" w:space="0" w:color="auto"/>
        <w:left w:val="none" w:sz="0" w:space="0" w:color="auto"/>
        <w:bottom w:val="none" w:sz="0" w:space="0" w:color="auto"/>
        <w:right w:val="none" w:sz="0" w:space="0" w:color="auto"/>
      </w:divBdr>
      <w:divsChild>
        <w:div w:id="447240716">
          <w:marLeft w:val="0"/>
          <w:marRight w:val="0"/>
          <w:marTop w:val="100"/>
          <w:marBottom w:val="100"/>
          <w:divBdr>
            <w:top w:val="none" w:sz="0" w:space="0" w:color="auto"/>
            <w:left w:val="none" w:sz="0" w:space="0" w:color="auto"/>
            <w:bottom w:val="none" w:sz="0" w:space="0" w:color="auto"/>
            <w:right w:val="none" w:sz="0" w:space="0" w:color="auto"/>
          </w:divBdr>
          <w:divsChild>
            <w:div w:id="175119956">
              <w:marLeft w:val="0"/>
              <w:marRight w:val="0"/>
              <w:marTop w:val="0"/>
              <w:marBottom w:val="0"/>
              <w:divBdr>
                <w:top w:val="none" w:sz="0" w:space="0" w:color="auto"/>
                <w:left w:val="none" w:sz="0" w:space="0" w:color="auto"/>
                <w:bottom w:val="none" w:sz="0" w:space="0" w:color="auto"/>
                <w:right w:val="none" w:sz="0" w:space="0" w:color="auto"/>
              </w:divBdr>
              <w:divsChild>
                <w:div w:id="1413505508">
                  <w:marLeft w:val="105"/>
                  <w:marRight w:val="105"/>
                  <w:marTop w:val="150"/>
                  <w:marBottom w:val="150"/>
                  <w:divBdr>
                    <w:top w:val="none" w:sz="0" w:space="0" w:color="auto"/>
                    <w:left w:val="none" w:sz="0" w:space="0" w:color="auto"/>
                    <w:bottom w:val="none" w:sz="0" w:space="0" w:color="auto"/>
                    <w:right w:val="none" w:sz="0" w:space="0" w:color="auto"/>
                  </w:divBdr>
                  <w:divsChild>
                    <w:div w:id="1121729465">
                      <w:marLeft w:val="0"/>
                      <w:marRight w:val="0"/>
                      <w:marTop w:val="0"/>
                      <w:marBottom w:val="0"/>
                      <w:divBdr>
                        <w:top w:val="none" w:sz="0" w:space="0" w:color="auto"/>
                        <w:left w:val="none" w:sz="0" w:space="0" w:color="auto"/>
                        <w:bottom w:val="none" w:sz="0" w:space="0" w:color="auto"/>
                        <w:right w:val="none" w:sz="0" w:space="0" w:color="auto"/>
                      </w:divBdr>
                      <w:divsChild>
                        <w:div w:id="980501727">
                          <w:marLeft w:val="0"/>
                          <w:marRight w:val="0"/>
                          <w:marTop w:val="0"/>
                          <w:marBottom w:val="0"/>
                          <w:divBdr>
                            <w:top w:val="none" w:sz="0" w:space="0" w:color="auto"/>
                            <w:left w:val="none" w:sz="0" w:space="0" w:color="auto"/>
                            <w:bottom w:val="none" w:sz="0" w:space="0" w:color="auto"/>
                            <w:right w:val="none" w:sz="0" w:space="0" w:color="auto"/>
                          </w:divBdr>
                          <w:divsChild>
                            <w:div w:id="1914897109">
                              <w:marLeft w:val="0"/>
                              <w:marRight w:val="0"/>
                              <w:marTop w:val="0"/>
                              <w:marBottom w:val="0"/>
                              <w:divBdr>
                                <w:top w:val="none" w:sz="0" w:space="0" w:color="auto"/>
                                <w:left w:val="none" w:sz="0" w:space="0" w:color="auto"/>
                                <w:bottom w:val="none" w:sz="0" w:space="0" w:color="auto"/>
                                <w:right w:val="none" w:sz="0" w:space="0" w:color="auto"/>
                              </w:divBdr>
                              <w:divsChild>
                                <w:div w:id="678964347">
                                  <w:marLeft w:val="105"/>
                                  <w:marRight w:val="105"/>
                                  <w:marTop w:val="150"/>
                                  <w:marBottom w:val="150"/>
                                  <w:divBdr>
                                    <w:top w:val="none" w:sz="0" w:space="0" w:color="auto"/>
                                    <w:left w:val="none" w:sz="0" w:space="0" w:color="auto"/>
                                    <w:bottom w:val="none" w:sz="0" w:space="0" w:color="auto"/>
                                    <w:right w:val="none" w:sz="0" w:space="0" w:color="auto"/>
                                  </w:divBdr>
                                  <w:divsChild>
                                    <w:div w:id="792594523">
                                      <w:marLeft w:val="0"/>
                                      <w:marRight w:val="0"/>
                                      <w:marTop w:val="0"/>
                                      <w:marBottom w:val="0"/>
                                      <w:divBdr>
                                        <w:top w:val="none" w:sz="0" w:space="0" w:color="auto"/>
                                        <w:left w:val="none" w:sz="0" w:space="0" w:color="auto"/>
                                        <w:bottom w:val="none" w:sz="0" w:space="0" w:color="auto"/>
                                        <w:right w:val="none" w:sz="0" w:space="0" w:color="auto"/>
                                      </w:divBdr>
                                      <w:divsChild>
                                        <w:div w:id="1358122985">
                                          <w:marLeft w:val="0"/>
                                          <w:marRight w:val="0"/>
                                          <w:marTop w:val="0"/>
                                          <w:marBottom w:val="0"/>
                                          <w:divBdr>
                                            <w:top w:val="none" w:sz="0" w:space="0" w:color="auto"/>
                                            <w:left w:val="none" w:sz="0" w:space="0" w:color="auto"/>
                                            <w:bottom w:val="none" w:sz="0" w:space="0" w:color="auto"/>
                                            <w:right w:val="none" w:sz="0" w:space="0" w:color="auto"/>
                                          </w:divBdr>
                                          <w:divsChild>
                                            <w:div w:id="1892307799">
                                              <w:marLeft w:val="0"/>
                                              <w:marRight w:val="0"/>
                                              <w:marTop w:val="0"/>
                                              <w:marBottom w:val="0"/>
                                              <w:divBdr>
                                                <w:top w:val="none" w:sz="0" w:space="0" w:color="auto"/>
                                                <w:left w:val="none" w:sz="0" w:space="0" w:color="auto"/>
                                                <w:bottom w:val="none" w:sz="0" w:space="0" w:color="auto"/>
                                                <w:right w:val="none" w:sz="0" w:space="0" w:color="auto"/>
                                              </w:divBdr>
                                              <w:divsChild>
                                                <w:div w:id="194467252">
                                                  <w:marLeft w:val="0"/>
                                                  <w:marRight w:val="0"/>
                                                  <w:marTop w:val="0"/>
                                                  <w:marBottom w:val="0"/>
                                                  <w:divBdr>
                                                    <w:top w:val="none" w:sz="0" w:space="0" w:color="auto"/>
                                                    <w:left w:val="none" w:sz="0" w:space="0" w:color="auto"/>
                                                    <w:bottom w:val="none" w:sz="0" w:space="0" w:color="auto"/>
                                                    <w:right w:val="none" w:sz="0" w:space="0" w:color="auto"/>
                                                  </w:divBdr>
                                                  <w:divsChild>
                                                    <w:div w:id="273442650">
                                                      <w:marLeft w:val="105"/>
                                                      <w:marRight w:val="105"/>
                                                      <w:marTop w:val="150"/>
                                                      <w:marBottom w:val="150"/>
                                                      <w:divBdr>
                                                        <w:top w:val="none" w:sz="0" w:space="0" w:color="auto"/>
                                                        <w:left w:val="none" w:sz="0" w:space="0" w:color="auto"/>
                                                        <w:bottom w:val="none" w:sz="0" w:space="0" w:color="auto"/>
                                                        <w:right w:val="none" w:sz="0" w:space="0" w:color="auto"/>
                                                      </w:divBdr>
                                                      <w:divsChild>
                                                        <w:div w:id="145978300">
                                                          <w:marLeft w:val="0"/>
                                                          <w:marRight w:val="0"/>
                                                          <w:marTop w:val="0"/>
                                                          <w:marBottom w:val="0"/>
                                                          <w:divBdr>
                                                            <w:top w:val="none" w:sz="0" w:space="0" w:color="auto"/>
                                                            <w:left w:val="none" w:sz="0" w:space="0" w:color="auto"/>
                                                            <w:bottom w:val="none" w:sz="0" w:space="0" w:color="auto"/>
                                                            <w:right w:val="none" w:sz="0" w:space="0" w:color="auto"/>
                                                          </w:divBdr>
                                                          <w:divsChild>
                                                            <w:div w:id="47732352">
                                                              <w:marLeft w:val="0"/>
                                                              <w:marRight w:val="0"/>
                                                              <w:marTop w:val="0"/>
                                                              <w:marBottom w:val="0"/>
                                                              <w:divBdr>
                                                                <w:top w:val="none" w:sz="0" w:space="0" w:color="auto"/>
                                                                <w:left w:val="none" w:sz="0" w:space="0" w:color="auto"/>
                                                                <w:bottom w:val="none" w:sz="0" w:space="0" w:color="auto"/>
                                                                <w:right w:val="none" w:sz="0" w:space="0" w:color="auto"/>
                                                              </w:divBdr>
                                                              <w:divsChild>
                                                                <w:div w:id="1006059905">
                                                                  <w:marLeft w:val="0"/>
                                                                  <w:marRight w:val="0"/>
                                                                  <w:marTop w:val="0"/>
                                                                  <w:marBottom w:val="0"/>
                                                                  <w:divBdr>
                                                                    <w:top w:val="none" w:sz="0" w:space="0" w:color="auto"/>
                                                                    <w:left w:val="none" w:sz="0" w:space="0" w:color="auto"/>
                                                                    <w:bottom w:val="none" w:sz="0" w:space="0" w:color="auto"/>
                                                                    <w:right w:val="none" w:sz="0" w:space="0" w:color="auto"/>
                                                                  </w:divBdr>
                                                                  <w:divsChild>
                                                                    <w:div w:id="307789080">
                                                                      <w:marLeft w:val="0"/>
                                                                      <w:marRight w:val="0"/>
                                                                      <w:marTop w:val="0"/>
                                                                      <w:marBottom w:val="0"/>
                                                                      <w:divBdr>
                                                                        <w:top w:val="none" w:sz="0" w:space="0" w:color="auto"/>
                                                                        <w:left w:val="none" w:sz="0" w:space="0" w:color="auto"/>
                                                                        <w:bottom w:val="none" w:sz="0" w:space="0" w:color="auto"/>
                                                                        <w:right w:val="none" w:sz="0" w:space="0" w:color="auto"/>
                                                                      </w:divBdr>
                                                                      <w:divsChild>
                                                                        <w:div w:id="678965539">
                                                                          <w:marLeft w:val="0"/>
                                                                          <w:marRight w:val="0"/>
                                                                          <w:marTop w:val="0"/>
                                                                          <w:marBottom w:val="0"/>
                                                                          <w:divBdr>
                                                                            <w:top w:val="none" w:sz="0" w:space="0" w:color="auto"/>
                                                                            <w:left w:val="none" w:sz="0" w:space="0" w:color="auto"/>
                                                                            <w:bottom w:val="none" w:sz="0" w:space="0" w:color="auto"/>
                                                                            <w:right w:val="none" w:sz="0" w:space="0" w:color="auto"/>
                                                                          </w:divBdr>
                                                                          <w:divsChild>
                                                                            <w:div w:id="997153005">
                                                                              <w:marLeft w:val="105"/>
                                                                              <w:marRight w:val="105"/>
                                                                              <w:marTop w:val="150"/>
                                                                              <w:marBottom w:val="150"/>
                                                                              <w:divBdr>
                                                                                <w:top w:val="none" w:sz="0" w:space="0" w:color="auto"/>
                                                                                <w:left w:val="none" w:sz="0" w:space="0" w:color="auto"/>
                                                                                <w:bottom w:val="none" w:sz="0" w:space="0" w:color="auto"/>
                                                                                <w:right w:val="none" w:sz="0" w:space="0" w:color="auto"/>
                                                                              </w:divBdr>
                                                                              <w:divsChild>
                                                                                <w:div w:id="1126578882">
                                                                                  <w:marLeft w:val="0"/>
                                                                                  <w:marRight w:val="0"/>
                                                                                  <w:marTop w:val="0"/>
                                                                                  <w:marBottom w:val="0"/>
                                                                                  <w:divBdr>
                                                                                    <w:top w:val="none" w:sz="0" w:space="0" w:color="auto"/>
                                                                                    <w:left w:val="none" w:sz="0" w:space="0" w:color="auto"/>
                                                                                    <w:bottom w:val="none" w:sz="0" w:space="0" w:color="auto"/>
                                                                                    <w:right w:val="none" w:sz="0" w:space="0" w:color="auto"/>
                                                                                  </w:divBdr>
                                                                                  <w:divsChild>
                                                                                    <w:div w:id="365715468">
                                                                                      <w:marLeft w:val="0"/>
                                                                                      <w:marRight w:val="0"/>
                                                                                      <w:marTop w:val="0"/>
                                                                                      <w:marBottom w:val="0"/>
                                                                                      <w:divBdr>
                                                                                        <w:top w:val="none" w:sz="0" w:space="0" w:color="auto"/>
                                                                                        <w:left w:val="none" w:sz="0" w:space="0" w:color="auto"/>
                                                                                        <w:bottom w:val="none" w:sz="0" w:space="0" w:color="auto"/>
                                                                                        <w:right w:val="none" w:sz="0" w:space="0" w:color="auto"/>
                                                                                      </w:divBdr>
                                                                                      <w:divsChild>
                                                                                        <w:div w:id="80883392">
                                                                                          <w:marLeft w:val="0"/>
                                                                                          <w:marRight w:val="0"/>
                                                                                          <w:marTop w:val="0"/>
                                                                                          <w:marBottom w:val="0"/>
                                                                                          <w:divBdr>
                                                                                            <w:top w:val="none" w:sz="0" w:space="0" w:color="auto"/>
                                                                                            <w:left w:val="none" w:sz="0" w:space="0" w:color="auto"/>
                                                                                            <w:bottom w:val="none" w:sz="0" w:space="0" w:color="auto"/>
                                                                                            <w:right w:val="none" w:sz="0" w:space="0" w:color="auto"/>
                                                                                          </w:divBdr>
                                                                                          <w:divsChild>
                                                                                            <w:div w:id="2099062897">
                                                                                              <w:marLeft w:val="0"/>
                                                                                              <w:marRight w:val="0"/>
                                                                                              <w:marTop w:val="0"/>
                                                                                              <w:marBottom w:val="0"/>
                                                                                              <w:divBdr>
                                                                                                <w:top w:val="none" w:sz="0" w:space="0" w:color="auto"/>
                                                                                                <w:left w:val="none" w:sz="0" w:space="0" w:color="auto"/>
                                                                                                <w:bottom w:val="none" w:sz="0" w:space="0" w:color="auto"/>
                                                                                                <w:right w:val="none" w:sz="0" w:space="0" w:color="auto"/>
                                                                                              </w:divBdr>
                                                                                              <w:divsChild>
                                                                                                <w:div w:id="1035927695">
                                                                                                  <w:marLeft w:val="0"/>
                                                                                                  <w:marRight w:val="0"/>
                                                                                                  <w:marTop w:val="0"/>
                                                                                                  <w:marBottom w:val="0"/>
                                                                                                  <w:divBdr>
                                                                                                    <w:top w:val="none" w:sz="0" w:space="0" w:color="auto"/>
                                                                                                    <w:left w:val="none" w:sz="0" w:space="0" w:color="auto"/>
                                                                                                    <w:bottom w:val="none" w:sz="0" w:space="0" w:color="auto"/>
                                                                                                    <w:right w:val="none" w:sz="0" w:space="0" w:color="auto"/>
                                                                                                  </w:divBdr>
                                                                                                  <w:divsChild>
                                                                                                    <w:div w:id="7485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5194090">
      <w:bodyDiv w:val="1"/>
      <w:marLeft w:val="0"/>
      <w:marRight w:val="0"/>
      <w:marTop w:val="0"/>
      <w:marBottom w:val="0"/>
      <w:divBdr>
        <w:top w:val="none" w:sz="0" w:space="0" w:color="auto"/>
        <w:left w:val="none" w:sz="0" w:space="0" w:color="auto"/>
        <w:bottom w:val="none" w:sz="0" w:space="0" w:color="auto"/>
        <w:right w:val="none" w:sz="0" w:space="0" w:color="auto"/>
      </w:divBdr>
    </w:div>
    <w:div w:id="1853031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bi.nlm.nih.gov/pubmed/?term=Singh%20HK%5BAuthor%5D&amp;cauthor=true&amp;cauthor_uid=27401287" TargetMode="External"/><Relationship Id="rId18" Type="http://schemas.openxmlformats.org/officeDocument/2006/relationships/hyperlink" Target="https://www.ncbi.nlm.nih.gov/pubmed/?term=Cunich%20MM%5BAuthor%5D&amp;cauthor=true&amp;cauthor_uid=27660315" TargetMode="External"/><Relationship Id="rId26" Type="http://schemas.openxmlformats.org/officeDocument/2006/relationships/hyperlink" Target="https://www.ncbi.nlm.nih.gov/pubmed/?term=Bacopa+monnieri+and+fertility" TargetMode="External"/><Relationship Id="rId39" Type="http://schemas.openxmlformats.org/officeDocument/2006/relationships/hyperlink" Target="https://www.ncbi.nlm.nih.gov/pubmed/?term=Prina%20AM%5BAuthor%5D&amp;cauthor=true&amp;cauthor_uid=27583652" TargetMode="External"/><Relationship Id="rId3" Type="http://schemas.openxmlformats.org/officeDocument/2006/relationships/styles" Target="styles.xml"/><Relationship Id="rId21" Type="http://schemas.openxmlformats.org/officeDocument/2006/relationships/hyperlink" Target="https://www.ncbi.nlm.nih.gov/pubmed/?term=Kelly%20SJ%5BAuthor%5D&amp;cauthor=true&amp;cauthor_uid=27660315" TargetMode="External"/><Relationship Id="rId34" Type="http://schemas.openxmlformats.org/officeDocument/2006/relationships/hyperlink" Target="http://www.naturalstandard.com" TargetMode="External"/><Relationship Id="rId42" Type="http://schemas.openxmlformats.org/officeDocument/2006/relationships/hyperlink" Target="https://www.ncbi.nlm.nih.gov/pubmed/?term=Liu%20Z%5BAuthor%5D&amp;cauthor=true&amp;cauthor_uid=27583652"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ncbi.nlm.nih.gov/pubmed/?term=Singh%20S%5BAuthor%5D&amp;cauthor=true&amp;cauthor_uid=27401287" TargetMode="External"/><Relationship Id="rId17" Type="http://schemas.openxmlformats.org/officeDocument/2006/relationships/hyperlink" Target="https://www.ncbi.nlm.nih.gov/pubmed/?term=Shrestha%20RN%5BAuthor%5D&amp;cauthor=true&amp;cauthor_uid=27660315" TargetMode="External"/><Relationship Id="rId25" Type="http://schemas.openxmlformats.org/officeDocument/2006/relationships/hyperlink" Target="https://www.ncbi.nlm.nih.gov/pubmed/?term=Singh%20SK%5BAuthor%5D&amp;cauthor=true&amp;cauthor_uid=19041444" TargetMode="External"/><Relationship Id="rId33" Type="http://schemas.openxmlformats.org/officeDocument/2006/relationships/hyperlink" Target="http://dx.doi.org/10.1016/S0140-6736(13)61489-0" TargetMode="External"/><Relationship Id="rId38" Type="http://schemas.openxmlformats.org/officeDocument/2006/relationships/hyperlink" Target="https://www.ncbi.nlm.nih.gov/pubmed/?term=Wu%20YT%5BAuthor%5D&amp;cauthor=true&amp;cauthor_uid=27583652" TargetMode="External"/><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ncbi.nlm.nih.gov/pubmed/?term=Schofield%20D%5BAuthor%5D&amp;cauthor=true&amp;cauthor_uid=27660315" TargetMode="External"/><Relationship Id="rId20" Type="http://schemas.openxmlformats.org/officeDocument/2006/relationships/hyperlink" Target="https://www.ncbi.nlm.nih.gov/pubmed/?term=Veerman%20L%5BAuthor%5D&amp;cauthor=true&amp;cauthor_uid=27660315" TargetMode="External"/><Relationship Id="rId29" Type="http://schemas.openxmlformats.org/officeDocument/2006/relationships/hyperlink" Target="https://www.ncbi.nlm.nih.gov/pubmed/?term=Khonsung%20P%5BAuthor%5D&amp;cauthor=true&amp;cauthor_uid=27460904" TargetMode="External"/><Relationship Id="rId41" Type="http://schemas.openxmlformats.org/officeDocument/2006/relationships/hyperlink" Target="https://www.ncbi.nlm.nih.gov/pubmed/?term=J%C3%B6nsson%20L%5BAuthor%5D&amp;cauthor=true&amp;cauthor_uid=2758365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ubmed/?term=Patel%20SK%5BAuthor%5D&amp;cauthor=true&amp;cauthor_uid=27401287" TargetMode="External"/><Relationship Id="rId24" Type="http://schemas.openxmlformats.org/officeDocument/2006/relationships/hyperlink" Target="https://www.ncbi.nlm.nih.gov/pubmed/?term=Singh%20A%5BAuthor%5D&amp;cauthor=true&amp;cauthor_uid=19041444" TargetMode="External"/><Relationship Id="rId32" Type="http://schemas.openxmlformats.org/officeDocument/2006/relationships/hyperlink" Target="https://www.ncbi.nlm.nih.gov/pubmed/27460904" TargetMode="External"/><Relationship Id="rId37" Type="http://schemas.openxmlformats.org/officeDocument/2006/relationships/hyperlink" Target="https://www.ncbi.nlm.nih.gov/pubmed/?term=Ali%20GC%5BAuthor%5D&amp;cauthor=true&amp;cauthor_uid=27583652" TargetMode="External"/><Relationship Id="rId40" Type="http://schemas.openxmlformats.org/officeDocument/2006/relationships/hyperlink" Target="https://www.ncbi.nlm.nih.gov/pubmed/?term=Winblad%20B%5BAuthor%5D&amp;cauthor=true&amp;cauthor_uid=27583652" TargetMode="External"/><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ncbi.nlm.nih.gov/pubmed/27401287" TargetMode="External"/><Relationship Id="rId23" Type="http://schemas.openxmlformats.org/officeDocument/2006/relationships/hyperlink" Target="https://www.ncbi.nlm.nih.gov/pubmed/27660315" TargetMode="External"/><Relationship Id="rId28" Type="http://schemas.openxmlformats.org/officeDocument/2006/relationships/hyperlink" Target="https://www.ncbi.nlm.nih.gov/pubmed/?term=Jaijoy%20K%5BAuthor%5D&amp;cauthor=true&amp;cauthor_uid=27460904" TargetMode="External"/><Relationship Id="rId36" Type="http://schemas.openxmlformats.org/officeDocument/2006/relationships/hyperlink" Target="https://www.ncbi.nlm.nih.gov/pubmed/?term=Guerchet%20M%5BAuthor%5D&amp;cauthor=true&amp;cauthor_uid=27583652" TargetMode="External"/><Relationship Id="rId10" Type="http://schemas.openxmlformats.org/officeDocument/2006/relationships/hyperlink" Target="https://www.ncbi.nlm.nih.gov/pubmed/?term=Muralidhara%5BAuthor%5D&amp;cauthor=true&amp;cauthor_uid=25153704" TargetMode="External"/><Relationship Id="rId19" Type="http://schemas.openxmlformats.org/officeDocument/2006/relationships/hyperlink" Target="https://www.ncbi.nlm.nih.gov/pubmed/?term=Tanton%20R%5BAuthor%5D&amp;cauthor=true&amp;cauthor_uid=27660315" TargetMode="External"/><Relationship Id="rId31" Type="http://schemas.openxmlformats.org/officeDocument/2006/relationships/hyperlink" Target="https://www.ncbi.nlm.nih.gov/pubmed/?term=Ingkaninan%20K%5BAuthor%5D&amp;cauthor=true&amp;cauthor_uid=27460904" TargetMode="External"/><Relationship Id="rId44" Type="http://schemas.openxmlformats.org/officeDocument/2006/relationships/hyperlink" Target="https://www.ncbi.nlm.nih.gov/pubmed/27583652" TargetMode="External"/><Relationship Id="rId4" Type="http://schemas.microsoft.com/office/2007/relationships/stylesWithEffects" Target="stylesWithEffects.xml"/><Relationship Id="rId9" Type="http://schemas.openxmlformats.org/officeDocument/2006/relationships/hyperlink" Target="https://www.ncbi.nlm.nih.gov/pmc/articles/PMC4703222/" TargetMode="External"/><Relationship Id="rId14" Type="http://schemas.openxmlformats.org/officeDocument/2006/relationships/hyperlink" Target="https://www.ncbi.nlm.nih.gov/pubmed/?term=Singh%20SK%5BAuthor%5D&amp;cauthor=true&amp;cauthor_uid=27401287" TargetMode="External"/><Relationship Id="rId22" Type="http://schemas.openxmlformats.org/officeDocument/2006/relationships/hyperlink" Target="https://www.ncbi.nlm.nih.gov/pubmed/?term=Passey%20ME%5BAuthor%5D&amp;cauthor=true&amp;cauthor_uid=27660315" TargetMode="External"/><Relationship Id="rId27" Type="http://schemas.openxmlformats.org/officeDocument/2006/relationships/hyperlink" Target="https://www.ncbi.nlm.nih.gov/pubmed/?term=Sireeratawong%20S%5BAuthor%5D&amp;cauthor=true&amp;cauthor_uid=27460904" TargetMode="External"/><Relationship Id="rId30" Type="http://schemas.openxmlformats.org/officeDocument/2006/relationships/hyperlink" Target="https://www.ncbi.nlm.nih.gov/pubmed/?term=Lertprasertsuk%20N%5BAuthor%5D&amp;cauthor=true&amp;cauthor_uid=27460904" TargetMode="External"/><Relationship Id="rId35" Type="http://schemas.openxmlformats.org/officeDocument/2006/relationships/hyperlink" Target="https://www.ncbi.nlm.nih.gov/pubmed/?term=Wimo%20A%5BAuthor%5D&amp;cauthor=true&amp;cauthor_uid=27583652" TargetMode="External"/><Relationship Id="rId43" Type="http://schemas.openxmlformats.org/officeDocument/2006/relationships/hyperlink" Target="https://www.ncbi.nlm.nih.gov/pubmed/?term=Prince%20M%5BAuthor%5D&amp;cauthor=true&amp;cauthor_uid=27583652" TargetMode="External"/><Relationship Id="rId48" Type="http://schemas.openxmlformats.org/officeDocument/2006/relationships/theme" Target="theme/theme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Relationship Id="rId1" Type="http://schemas.openxmlformats.org/officeDocument/2006/relationships/hyperlink" Target="http://www.ich.org/fileadmin/Public_Web_Site/ICH_Products/GCP_Renovation/ICH_Reflection_paper_GCP_Renovation_Jan_2017_Final.pdf" TargetMode="External"/></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_rels/settings.xml.rels><?xml version="1.0" encoding="UTF-8"?><Relationships xmlns="http://schemas.openxmlformats.org/package/2006/relationships"><Relationship Id="rId1" Type="http://schemas.openxmlformats.org/officeDocument/2006/relationships/attachedTemplate" Target="file:///C:\Users\Anna.Pohl.SFIHEALTH\AppData\Roaming\Microsoft\Templates\1.%20SFI%20Word%20NO%20Cover%205Jan17.dotx" TargetMode="External"/></Relationships>
</file>

<file path=word/theme/theme1.xml><?xml version="1.0" encoding="utf-8"?>
<a:theme xmlns:a="http://schemas.openxmlformats.org/drawingml/2006/main" name="Office Theme">
  <a:themeElements>
    <a:clrScheme name="LMC Colours">
      <a:dk1>
        <a:sysClr val="windowText" lastClr="000000"/>
      </a:dk1>
      <a:lt1>
        <a:sysClr val="window" lastClr="FFFFFF"/>
      </a:lt1>
      <a:dk2>
        <a:srgbClr val="004E5C"/>
      </a:dk2>
      <a:lt2>
        <a:srgbClr val="FFFFFF"/>
      </a:lt2>
      <a:accent1>
        <a:srgbClr val="6CBBA8"/>
      </a:accent1>
      <a:accent2>
        <a:srgbClr val="2A3759"/>
      </a:accent2>
      <a:accent3>
        <a:srgbClr val="81BD00"/>
      </a:accent3>
      <a:accent4>
        <a:srgbClr val="D1BEBA"/>
      </a:accent4>
      <a:accent5>
        <a:srgbClr val="004E5C"/>
      </a:accent5>
      <a:accent6>
        <a:srgbClr val="2D5638"/>
      </a:accent6>
      <a:hlink>
        <a:srgbClr val="004E5C"/>
      </a:hlink>
      <a:folHlink>
        <a:srgbClr val="2A3759"/>
      </a:folHlink>
    </a:clrScheme>
    <a:fontScheme name="LMC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txDef>
      <a:spPr>
        <a:solidFill>
          <a:schemeClr val="accent1"/>
        </a:solidFill>
        <a:ln w="6350">
          <a:noFill/>
        </a:ln>
        <a:effectLst/>
      </a:spPr>
      <a:bodyPr wrap="square" rtlCol="0"/>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6A1741-751A-4F27-A82B-E42AF66E9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LMC Word NO Cover 5Jan17.dotx</Template>
  <TotalTime>0</TotalTime>
  <Pages>1</Pages>
  <Words>16376</Words>
  <Characters>93345</Characters>
  <Application>Microsoft Office Word</Application>
  <DocSecurity>0</DocSecurity>
  <Lines>777</Lines>
  <Paragraphs>219</Paragraphs>
  <ScaleCrop>false</ScaleCrop>
  <HeadingPairs>
    <vt:vector size="2" baseType="variant">
      <vt:variant>
        <vt:lpstr>Title</vt:lpstr>
      </vt:variant>
      <vt:variant>
        <vt:i4>1</vt:i4>
      </vt:variant>
    </vt:vector>
  </HeadingPairs>
  <TitlesOfParts>
    <vt:vector size="1" baseType="lpstr">
      <vt:lpstr/>
    </vt:vector>
  </TitlesOfParts>
  <Company>LMC</Company>
  <LinksUpToDate>false</LinksUpToDate>
  <CharactersWithSpaces>109502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Pohl</dc:creator>
  <cp:lastModifiedBy>Anna Pohl</cp:lastModifiedBy>
  <cp:revision>2</cp:revision>
  <cp:lastPrinted>2016-12-08T01:18:00Z</cp:lastPrinted>
  <dcterms:created xsi:type="dcterms:W3CDTF">2017-03-07T00:25:00Z</dcterms:created>
  <dcterms:modified xsi:type="dcterms:W3CDTF">2017-03-07T00:25:00Z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Title">
    <vt:lpwstr>Report Title</vt:lpwstr>
  </property>
  <property fmtid="{D5CDD505-2E9C-101B-9397-08002B2CF9AE}" pid="3" name="CoverHeading">
    <vt:lpwstr>Document title goes here</vt:lpwstr>
  </property>
  <property fmtid="{D5CDD505-2E9C-101B-9397-08002B2CF9AE}" pid="4" name="CoverSubheading">
    <vt:lpwstr>Sub-title here</vt:lpwstr>
  </property>
  <property fmtid="{D5CDD505-2E9C-101B-9397-08002B2CF9AE}" pid="5" name="CoverDate">
    <vt:lpwstr>Monday, 00 Month 2016</vt:lpwstr>
  </property>
  <property fmtid="{D5CDD505-2E9C-101B-9397-08002B2CF9AE}" pid="6" name="Division">
    <vt:lpwstr>Division</vt:lpwstr>
  </property>
  <property fmtid="{D5CDD505-2E9C-101B-9397-08002B2CF9AE}" pid="7" name="VersionControl">
    <vt:lpwstr>xxx</vt:lpwstr>
  </property>
</Properties>
</file>