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363E" w:rsidRDefault="00DE10EF" w:rsidP="009252AD">
      <w:pPr>
        <w:pStyle w:val="Heading1"/>
      </w:pPr>
      <w:r>
        <w:t>2.5: CLINICAL OVERVIEW</w:t>
      </w:r>
    </w:p>
    <w:p w:rsidR="00A11146" w:rsidRDefault="009252AD" w:rsidP="009252AD">
      <w:pPr>
        <w:pStyle w:val="Heading2"/>
      </w:pPr>
      <w:r>
        <w:t>2.5.1 Product Development Rationale</w:t>
      </w:r>
    </w:p>
    <w:p w:rsidR="00A11146" w:rsidRDefault="009252AD" w:rsidP="009252AD">
      <w:pPr>
        <w:pStyle w:val="Heading2"/>
      </w:pPr>
      <w:r>
        <w:t>2.5.2 Overview of Biopharmaceutics</w:t>
      </w:r>
    </w:p>
    <w:p w:rsidR="00A11146" w:rsidRDefault="009252AD" w:rsidP="009252AD">
      <w:pPr>
        <w:pStyle w:val="Heading2"/>
      </w:pPr>
      <w:r>
        <w:t>2.5.3 Overview of Clinical Pharmacology</w:t>
      </w:r>
    </w:p>
    <w:p w:rsidR="00A11146" w:rsidRDefault="009252AD" w:rsidP="009252AD">
      <w:pPr>
        <w:pStyle w:val="Heading2"/>
      </w:pPr>
      <w:r>
        <w:t>2.5.4 Overview of Efficacy</w:t>
      </w:r>
    </w:p>
    <w:p w:rsidR="00A11146" w:rsidRPr="00A11146" w:rsidRDefault="009252AD" w:rsidP="009252AD">
      <w:pPr>
        <w:pStyle w:val="Heading2"/>
      </w:pPr>
      <w:r>
        <w:t>2.5.5 Overview of Safety</w:t>
      </w:r>
    </w:p>
    <w:p w:rsidR="00A11146" w:rsidRDefault="009252AD" w:rsidP="009252AD">
      <w:pPr>
        <w:pStyle w:val="Heading2"/>
      </w:pPr>
      <w:r>
        <w:t>2.5.6 Benefits and Risks Conclusions</w:t>
      </w:r>
    </w:p>
    <w:p w:rsidR="009252AD" w:rsidRDefault="009252AD" w:rsidP="009252AD">
      <w:pPr>
        <w:pStyle w:val="Heading2"/>
      </w:pPr>
      <w:r>
        <w:t>2.5.7 Literature References</w:t>
      </w:r>
    </w:p>
    <w:p w:rsidR="00246926" w:rsidRDefault="009252AD" w:rsidP="009252AD">
      <w:pPr>
        <w:pStyle w:val="Heading1"/>
      </w:pPr>
      <w:r>
        <w:t>2.7: CLINICAL SUMMARY</w:t>
      </w:r>
    </w:p>
    <w:p w:rsidR="00246926" w:rsidRDefault="009252AD" w:rsidP="00CA0A25">
      <w:pPr>
        <w:pStyle w:val="Heading2"/>
      </w:pPr>
      <w:r>
        <w:t>2.7.1 Summary of Biopharmaceutic Studies and Associated Analytical Methods</w:t>
      </w:r>
    </w:p>
    <w:p w:rsidR="0009451F" w:rsidRDefault="0009451F" w:rsidP="0009451F">
      <w:pPr>
        <w:pStyle w:val="Heading2"/>
        <w:spacing w:before="0" w:line="360" w:lineRule="auto"/>
        <w:rPr>
          <w:b w:val="0"/>
          <w:color w:val="000000" w:themeColor="text1"/>
          <w:sz w:val="22"/>
          <w:szCs w:val="22"/>
        </w:rPr>
      </w:pPr>
    </w:p>
    <w:p w:rsidR="0009451F" w:rsidRDefault="0009451F" w:rsidP="0009451F">
      <w:pPr>
        <w:pStyle w:val="Heading2"/>
        <w:spacing w:before="0" w:line="360" w:lineRule="auto"/>
        <w:rPr>
          <w:sz w:val="22"/>
          <w:szCs w:val="22"/>
        </w:rPr>
      </w:pPr>
      <w:r>
        <w:rPr>
          <w:b w:val="0"/>
          <w:color w:val="000000" w:themeColor="text1"/>
          <w:sz w:val="22"/>
          <w:szCs w:val="22"/>
        </w:rPr>
        <w:t>No biopharmaceutics studies including bioavailability, relative bioavailability and bioequivalence of different dosage forms or formulation of Bacopa extract have been reported in clinical set-up.</w:t>
      </w:r>
      <w:r>
        <w:rPr>
          <w:sz w:val="22"/>
          <w:szCs w:val="22"/>
        </w:rPr>
        <w:t xml:space="preserve"> </w:t>
      </w:r>
    </w:p>
    <w:p w:rsidR="0009451F" w:rsidRDefault="0009451F" w:rsidP="0009451F">
      <w:pPr>
        <w:pStyle w:val="Heading2"/>
        <w:spacing w:before="0" w:line="360" w:lineRule="auto"/>
        <w:rPr>
          <w:sz w:val="22"/>
          <w:szCs w:val="22"/>
        </w:rPr>
      </w:pPr>
    </w:p>
    <w:p w:rsidR="002E7A5D" w:rsidRPr="002E7A5D" w:rsidRDefault="002E7A5D" w:rsidP="002E7A5D"/>
    <w:p w:rsidR="00CA0A25" w:rsidRDefault="00CA0A25" w:rsidP="0009451F">
      <w:pPr>
        <w:pStyle w:val="Heading2"/>
        <w:spacing w:before="0" w:line="360" w:lineRule="auto"/>
      </w:pPr>
      <w:r>
        <w:lastRenderedPageBreak/>
        <w:t>2.7.2 Summary of Clinical Pharmacology Studies</w:t>
      </w:r>
    </w:p>
    <w:p w:rsidR="002E7A5D" w:rsidRDefault="002E7A5D" w:rsidP="002E7A5D">
      <w:pPr>
        <w:spacing w:after="0" w:line="360" w:lineRule="auto"/>
        <w:rPr>
          <w:rFonts w:ascii="Calibri" w:eastAsia="Calibri" w:hAnsi="Calibri" w:cs="Times New Roman"/>
          <w:sz w:val="24"/>
          <w:szCs w:val="24"/>
        </w:rPr>
      </w:pPr>
    </w:p>
    <w:p w:rsidR="002E7A5D" w:rsidRPr="0024127F" w:rsidRDefault="002E7A5D" w:rsidP="002E7A5D">
      <w:pPr>
        <w:spacing w:after="0" w:line="360" w:lineRule="auto"/>
        <w:rPr>
          <w:rFonts w:ascii="Calibri" w:eastAsia="Calibri" w:hAnsi="Calibri" w:cs="Times New Roman"/>
          <w:sz w:val="24"/>
          <w:szCs w:val="24"/>
        </w:rPr>
      </w:pPr>
      <w:r>
        <w:rPr>
          <w:rFonts w:ascii="Calibri" w:eastAsia="Calibri" w:hAnsi="Calibri" w:cs="Times New Roman"/>
          <w:sz w:val="24"/>
          <w:szCs w:val="24"/>
        </w:rPr>
        <w:t xml:space="preserve">The principal constituents of </w:t>
      </w:r>
      <w:r>
        <w:rPr>
          <w:rFonts w:ascii="Calibri" w:eastAsia="Calibri" w:hAnsi="Calibri" w:cs="Times New Roman"/>
          <w:i/>
          <w:sz w:val="24"/>
          <w:szCs w:val="24"/>
        </w:rPr>
        <w:t>BM</w:t>
      </w:r>
      <w:r>
        <w:rPr>
          <w:rFonts w:ascii="Calibri" w:eastAsia="Calibri" w:hAnsi="Calibri" w:cs="Times New Roman"/>
          <w:sz w:val="24"/>
          <w:szCs w:val="24"/>
        </w:rPr>
        <w:t xml:space="preserve"> are triterpene saponins of the dammarane class, which have been named bacosides and bacopasapponins, and which contain two or three sugars each. Pharmacological activity is attributed to the saponin bacoside and bacosaponin constituents.</w:t>
      </w:r>
    </w:p>
    <w:p w:rsidR="002E7A5D" w:rsidRDefault="002E7A5D" w:rsidP="002E7A5D">
      <w:pPr>
        <w:spacing w:after="0" w:line="360" w:lineRule="auto"/>
        <w:contextualSpacing/>
        <w:rPr>
          <w:b/>
          <w:w w:val="105"/>
          <w:sz w:val="28"/>
          <w:u w:val="single"/>
        </w:rPr>
      </w:pPr>
      <w:r>
        <w:rPr>
          <w:rFonts w:ascii="Calibri" w:eastAsia="Calibri" w:hAnsi="Calibri" w:cs="Times New Roman"/>
          <w:sz w:val="24"/>
          <w:szCs w:val="24"/>
        </w:rPr>
        <w:t xml:space="preserve">Pharmacological actions such as analgesic effects, anthelmintic effects, antifungal, antioxidant effects, anti-stress effects, anti-ulcer effects, anti-inflammatory, hepatoprotective effects, immunological effects, mast cell effects, muscular effects, neurological effects, nootropic effects, phytotoxic effects, sedative effects, cardiovascular effects have been studied using human, rats, mice, guineapig, human cell lines, </w:t>
      </w:r>
      <w:r>
        <w:rPr>
          <w:rFonts w:ascii="Calibri" w:eastAsia="Calibri" w:hAnsi="Calibri" w:cs="Times New Roman"/>
          <w:i/>
          <w:sz w:val="24"/>
          <w:szCs w:val="24"/>
        </w:rPr>
        <w:t>C.elegans</w:t>
      </w:r>
      <w:r>
        <w:rPr>
          <w:rFonts w:ascii="Calibri" w:eastAsia="Calibri" w:hAnsi="Calibri" w:cs="Times New Roman"/>
          <w:sz w:val="24"/>
          <w:szCs w:val="24"/>
        </w:rPr>
        <w:t xml:space="preserve">, isolated aorta and heart through  oral and </w:t>
      </w:r>
      <w:r>
        <w:rPr>
          <w:rFonts w:ascii="Calibri" w:eastAsia="Calibri" w:hAnsi="Calibri" w:cs="Times New Roman"/>
          <w:i/>
          <w:sz w:val="24"/>
          <w:szCs w:val="24"/>
        </w:rPr>
        <w:t>in vitro</w:t>
      </w:r>
      <w:r>
        <w:rPr>
          <w:rFonts w:ascii="Calibri" w:eastAsia="Calibri" w:hAnsi="Calibri" w:cs="Times New Roman"/>
          <w:sz w:val="24"/>
          <w:szCs w:val="24"/>
        </w:rPr>
        <w:t xml:space="preserve"> incubation method. </w:t>
      </w:r>
    </w:p>
    <w:p w:rsidR="002E7A5D" w:rsidRDefault="002E7A5D" w:rsidP="002E7A5D">
      <w:pPr>
        <w:autoSpaceDE w:val="0"/>
        <w:autoSpaceDN w:val="0"/>
        <w:adjustRightInd w:val="0"/>
        <w:spacing w:after="0" w:line="360" w:lineRule="auto"/>
        <w:rPr>
          <w:rFonts w:cstheme="minorHAnsi"/>
          <w:sz w:val="24"/>
          <w:szCs w:val="24"/>
        </w:rPr>
      </w:pPr>
      <w:r>
        <w:rPr>
          <w:rFonts w:eastAsia="Times New Roman" w:cstheme="minorHAnsi"/>
          <w:color w:val="000000"/>
          <w:sz w:val="24"/>
          <w:szCs w:val="24"/>
          <w:lang w:eastAsia="en-AU"/>
        </w:rPr>
        <w:t>From multiple animal studies it was suggested that bacosides induce membrane dephosphorylation, with a concomitant increase in protein and RNA turnover in specific brain areas.</w:t>
      </w:r>
      <w:r>
        <w:rPr>
          <w:rFonts w:eastAsia="Times New Roman" w:cstheme="minorHAnsi"/>
          <w:color w:val="000000"/>
          <w:sz w:val="24"/>
          <w:szCs w:val="24"/>
          <w:vertAlign w:val="superscript"/>
          <w:lang w:eastAsia="en-AU"/>
        </w:rPr>
        <w:t> </w:t>
      </w:r>
      <w:bookmarkStart w:id="0" w:name="ft24"/>
      <w:r>
        <w:rPr>
          <w:rFonts w:eastAsia="Times New Roman" w:cstheme="minorHAnsi"/>
          <w:color w:val="000000"/>
          <w:sz w:val="24"/>
          <w:szCs w:val="24"/>
          <w:vertAlign w:val="superscript"/>
          <w:lang w:eastAsia="en-AU"/>
        </w:rPr>
        <w:fldChar w:fldCharType="begin"/>
        <w:instrText xml:space="preserve"> HYPERLINK "http://www.greenpharmacy.info/article.asp?issn=0973-8258;year=2010;volume=4;issue=1;spage=1;epage=9;aulast=Gohil" \l "ref24" </w:instrText>
        <w:fldChar w:fldCharType="end"/>
      </w:r>
      <w:bookmarkEnd w:id="0"/>
      <w:r>
        <w:rPr>
          <w:rFonts w:eastAsia="Times New Roman" w:cstheme="minorHAnsi"/>
          <w:color w:val="000000"/>
          <w:sz w:val="24"/>
          <w:szCs w:val="24"/>
          <w:lang w:eastAsia="en-AU"/>
        </w:rPr>
        <w:t>The other proposal that was put forward was that BM enhances protein kinase activity in the hippocampus which may also contribute to its nootropic action and thus it would aids in repair of damaged neurons by enhancing kinase activity, neuronal synthesis and restoration of synaptic activity and ultimately nerve impulse transmission.</w:t>
      </w:r>
      <w:r>
        <w:rPr>
          <w:rFonts w:eastAsia="Times New Roman" w:cstheme="minorHAnsi"/>
          <w:color w:val="000000"/>
          <w:sz w:val="24"/>
          <w:szCs w:val="24"/>
          <w:vertAlign w:val="superscript"/>
          <w:lang w:eastAsia="en-AU"/>
        </w:rPr>
        <w:t>  </w:t>
      </w:r>
      <w:r>
        <w:rPr>
          <w:rFonts w:eastAsia="Times New Roman" w:cstheme="minorHAnsi"/>
          <w:color w:val="000000"/>
          <w:sz w:val="24"/>
          <w:szCs w:val="24"/>
          <w:lang w:eastAsia="en-AU"/>
        </w:rPr>
        <w:br/>
      </w:r>
    </w:p>
    <w:p w:rsidR="002E7A5D" w:rsidRPr="00D07F13" w:rsidRDefault="002E7A5D" w:rsidP="002E7A5D">
      <w:pPr>
        <w:autoSpaceDE w:val="0"/>
        <w:autoSpaceDN w:val="0"/>
        <w:adjustRightInd w:val="0"/>
        <w:spacing w:after="0" w:line="360" w:lineRule="auto"/>
        <w:rPr>
          <w:rFonts w:cstheme="minorHAnsi"/>
          <w:b/>
          <w:sz w:val="24"/>
          <w:szCs w:val="24"/>
        </w:rPr>
      </w:pPr>
      <w:r>
        <w:rPr>
          <w:rFonts w:cstheme="minorHAnsi"/>
          <w:sz w:val="24"/>
          <w:szCs w:val="24"/>
        </w:rPr>
        <w:t xml:space="preserve">Most of the studies showed no significant physiological, biochemical or electrocardiographic untoward effects or abnormalities in any of the test organisms including human when administered at the recommended oral dosage. </w:t>
      </w:r>
      <w:r>
        <w:rPr>
          <w:rFonts w:eastAsia="Times New Roman" w:cstheme="minorHAnsi"/>
          <w:sz w:val="24"/>
          <w:szCs w:val="24"/>
        </w:rPr>
        <w:t>In one leading Indian study the BM (CDRI-08, at 500 mg/kg p.o.) did not produce any significant alterations in the total, ambulatory and stereotype behaviors in India. The product produced no undesirable effect on respiratory, neurological such as writhing, ataxia, tremor, convulsions, pinnal and corneal reflexes, innate and motivated behavioral responses. The BESEB CDRI-08 at a dose of 50 mg/kg p.o. did not show anti-inflammatory activity nor produced any change in blood pressure, heart rate, respiration or nictitating membrane contraction in rats.</w:t>
      </w:r>
    </w:p>
    <w:p w:rsidR="002E7A5D" w:rsidRPr="002E7A5D" w:rsidRDefault="002E7A5D" w:rsidP="002E7A5D"/>
    <w:p w:rsidR="00CA0A25" w:rsidRDefault="00CA0A25" w:rsidP="00CA0A25">
      <w:pPr>
        <w:pStyle w:val="Heading2"/>
      </w:pPr>
      <w:r>
        <w:t>2.7.3 Summary of Clinical Efficacy</w:t>
      </w:r>
    </w:p>
    <w:p w:rsidR="002E7A5D" w:rsidRDefault="002E7A5D" w:rsidP="002E7A5D"/>
    <w:p w:rsidR="00CA0A25" w:rsidRPr="00FA5DD4" w:rsidRDefault="00CA0A25" w:rsidP="006337B3">
      <w:pPr>
        <w:pStyle w:val="Heading3"/>
        <w:rPr>
          <w:sz w:val="24"/>
          <w:szCs w:val="24"/>
        </w:rPr>
      </w:pPr>
      <w:r>
        <w:rPr>
          <w:sz w:val="24"/>
          <w:szCs w:val="24"/>
        </w:rPr>
        <w:t>Background and Overview of Clinical Efficacy</w:t>
      </w:r>
    </w:p>
    <w:p w:rsidR="00074898" w:rsidRDefault="00074898" w:rsidP="00074898">
      <w:pPr>
        <w:spacing w:after="0" w:line="360" w:lineRule="auto"/>
        <w:rPr>
          <w:rFonts w:asciiTheme="majorHAnsi" w:eastAsiaTheme="minorHAnsi" w:hAnsiTheme="majorHAnsi" w:cstheme="minorHAnsi"/>
          <w:lang w:val="en-US" w:eastAsia="en-US"/>
        </w:rPr>
      </w:pPr>
    </w:p>
    <w:p w:rsidR="00074898" w:rsidRPr="00074898" w:rsidRDefault="00074898" w:rsidP="00074898">
      <w:pPr>
        <w:spacing w:after="0" w:line="360" w:lineRule="auto"/>
        <w:rPr>
          <w:rFonts w:asciiTheme="majorHAnsi" w:eastAsiaTheme="minorHAnsi" w:hAnsiTheme="majorHAnsi" w:cstheme="minorHAnsi"/>
          <w:lang w:val="en-US" w:eastAsia="en-US"/>
        </w:rPr>
      </w:pPr>
      <w:r>
        <w:rPr>
          <w:rFonts w:asciiTheme="majorHAnsi" w:eastAsiaTheme="minorHAnsi" w:hAnsiTheme="majorHAnsi" w:cstheme="minorHAnsi"/>
          <w:lang w:val="en-US" w:eastAsia="en-US"/>
        </w:rPr>
        <w:t xml:space="preserve">Bacopa Monniera (L.) Wettst. (syn. Bacopa monniera Hayata &amp; Matsum) has been used in traditional Ayurvedic medicine for various indications including memory decline, inflammation, pain, pyrexia, epilepsy and as a sedative. Bacopa contains Bacoside A and Bacoside B which are steroidal saponins believed to be essential for the clinical efficacy of the product. Although the exact mechanisms of action remain uncertain, evidence suggests that Bacopa may through different pathways, these include: (i) direct pro-cholinergic action; (ii) anti-oxidant (flavonoid) activity; (iii) metal chelation; (iv) anti-inflammatory effects; (v) improved blood circulation; (vi) adaptogenic activity; and (vii) removal of b-amyloid deposits. All these potentials are supported by a limited number of clinical trials, which support mainly improving memory functioning in working memory, memory recall, increasing concentration and mental clarity (Barbhaiya et al., 2008, Calabrese et al., 2008, Kalra et al. 2002, Mandal et al., 2011, Morgan &amp; Steven, 2010, Negi et al., 2000, Rooderneys et al., 2002, Stough et al., 2001, 2008).   </w:t>
      </w:r>
    </w:p>
    <w:p w:rsidR="00074898" w:rsidRDefault="00074898" w:rsidP="00074898">
      <w:pPr>
        <w:pStyle w:val="Heading3"/>
        <w:rPr>
          <w:sz w:val="24"/>
          <w:szCs w:val="24"/>
        </w:rPr>
      </w:pPr>
      <w:r>
        <w:rPr>
          <w:sz w:val="24"/>
          <w:szCs w:val="24"/>
        </w:rPr>
        <w:t>Summary of Results of Individual Studies</w:t>
      </w:r>
    </w:p>
    <w:p w:rsidR="00B511AF" w:rsidRPr="00B511AF" w:rsidRDefault="00B511AF" w:rsidP="00B511AF">
      <w:pPr>
        <w:rPr>
          <w:b/>
        </w:rPr>
      </w:pPr>
      <w:r>
        <w:rPr>
          <w:b/>
        </w:rPr>
        <w:t>(Using Mindwise)</w:t>
      </w:r>
    </w:p>
    <w:p w:rsidR="00074898" w:rsidRPr="00ED74AA" w:rsidRDefault="00ED74AA" w:rsidP="00074898">
      <w:pPr>
        <w:rPr>
          <w:rFonts w:asciiTheme="majorHAnsi" w:hAnsiTheme="majorHAnsi"/>
          <w:b/>
        </w:rPr>
      </w:pPr>
      <w:r>
        <w:rPr>
          <w:rFonts w:asciiTheme="majorHAnsi" w:hAnsiTheme="majorHAnsi"/>
          <w:b/>
        </w:rPr>
        <w:t>Study No. 1</w:t>
      </w:r>
    </w:p>
    <w:tbl>
      <w:tblPr>
        <w:tblStyle w:val="TableGrid1"/>
        <w:tblW w:w="0" w:type="auto"/>
        <w:tblLook w:val="04A0" w:firstRow="1" w:lastRow="0" w:firstColumn="1" w:lastColumn="0" w:noHBand="0" w:noVBand="1"/>
      </w:tblPr>
      <w:tblGrid>
        <w:gridCol w:w="6814"/>
        <w:gridCol w:w="6814"/>
      </w:tblGrid>
      <w:tr w:rsidR="00ED74AA" w:rsidRPr="00ED74AA" w:rsidTr="00ED74AA">
        <w:trPr>
          <w:trHeight w:val="569"/>
        </w:trPr>
        <w:tc>
          <w:tcPr>
            <w:tcW w:w="6814" w:type="dxa"/>
          </w:tcPr>
          <w:p w:rsidR="00ED74AA" w:rsidRPr="00ED74AA" w:rsidRDefault="00ED74AA" w:rsidP="00ED74AA">
            <w:pPr>
              <w:rPr>
                <w:rFonts w:ascii="Calibri" w:hAnsi="Calibri" w:cs="Times New Roman"/>
                <w:b/>
              </w:rPr>
            </w:pPr>
            <w:r>
              <w:rPr>
                <w:rFonts w:ascii="Calibri" w:hAnsi="Calibri" w:cs="Times New Roman"/>
                <w:b/>
              </w:rPr>
              <w:t>Title of the Study</w:t>
            </w:r>
          </w:p>
        </w:tc>
        <w:tc>
          <w:tcPr>
            <w:tcW w:w="6814" w:type="dxa"/>
          </w:tcPr>
          <w:p w:rsidR="00ED74AA" w:rsidRPr="00ED74AA" w:rsidRDefault="00ED74AA" w:rsidP="00ED74AA">
            <w:pPr>
              <w:rPr>
                <w:rFonts w:ascii="Calibri" w:hAnsi="Calibri" w:cs="Times New Roman"/>
              </w:rPr>
            </w:pPr>
            <w:r>
              <w:rPr>
                <w:rFonts w:ascii="Calibri" w:hAnsi="Calibri" w:cs="FranklinGothic-Condensed"/>
              </w:rPr>
              <w:t>The chronic effects of an extract of Bacopa monniera (Brahmi) on cognitive function in healthy human subjects</w:t>
            </w: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t>Name of the Sponsor/Company</w:t>
            </w:r>
          </w:p>
        </w:tc>
        <w:tc>
          <w:tcPr>
            <w:tcW w:w="6814" w:type="dxa"/>
          </w:tcPr>
          <w:p w:rsidR="00ED74AA" w:rsidRPr="00ED74AA" w:rsidRDefault="00ED74AA" w:rsidP="00ED74AA">
            <w:pPr>
              <w:rPr>
                <w:rFonts w:ascii="Calibri" w:hAnsi="Calibri" w:cs="Times New Roman"/>
              </w:rPr>
            </w:pPr>
            <w:r>
              <w:rPr>
                <w:rFonts w:ascii="Calibri" w:hAnsi="Calibri" w:cs="Times New Roman"/>
              </w:rPr>
              <w:t>Mindwise Pty Ltd</w:t>
            </w: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t>Name of the Finished Product</w:t>
            </w:r>
          </w:p>
        </w:tc>
        <w:tc>
          <w:tcPr>
            <w:tcW w:w="6814" w:type="dxa"/>
          </w:tcPr>
          <w:p w:rsidR="00ED74AA" w:rsidRPr="00ED74AA" w:rsidRDefault="00ED74AA" w:rsidP="00ED74AA">
            <w:pPr>
              <w:rPr>
                <w:rFonts w:ascii="Calibri" w:hAnsi="Calibri" w:cs="Times New Roman"/>
              </w:rPr>
            </w:pPr>
            <w:r>
              <w:rPr>
                <w:rFonts w:ascii="Calibri" w:hAnsi="Calibri" w:cs="Times New Roman"/>
              </w:rPr>
              <w:t>Mindwise</w:t>
            </w: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t>Name of the Active Ingredients</w:t>
            </w:r>
          </w:p>
        </w:tc>
        <w:tc>
          <w:tcPr>
            <w:tcW w:w="6814" w:type="dxa"/>
          </w:tcPr>
          <w:p w:rsidR="00ED74AA" w:rsidRPr="00ED74AA" w:rsidRDefault="00ED74AA" w:rsidP="00ED74AA">
            <w:pPr>
              <w:rPr>
                <w:rFonts w:ascii="Calibri" w:hAnsi="Calibri" w:cs="Times New Roman"/>
              </w:rPr>
            </w:pPr>
            <w:r>
              <w:rPr>
                <w:rFonts w:ascii="Calibri" w:hAnsi="Calibri" w:cs="Times New Roman"/>
              </w:rPr>
              <w:t>Bacoside A &amp; B (no less than 55% of combined bacosides)</w:t>
            </w: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t>Study Design</w:t>
            </w:r>
          </w:p>
        </w:tc>
        <w:tc>
          <w:tcPr>
            <w:tcW w:w="6814" w:type="dxa"/>
          </w:tcPr>
          <w:p w:rsidR="00ED74AA" w:rsidRPr="00ED74AA" w:rsidRDefault="00ED74AA" w:rsidP="00ED74AA">
            <w:pPr>
              <w:autoSpaceDE w:val="0"/>
              <w:autoSpaceDN w:val="0"/>
              <w:adjustRightInd w:val="0"/>
              <w:rPr>
                <w:rFonts w:ascii="Calibri" w:hAnsi="Calibri" w:cs="Times New Roman"/>
              </w:rPr>
            </w:pPr>
            <w:r>
              <w:rPr>
                <w:rFonts w:ascii="Calibri" w:hAnsi="Calibri" w:cs="Times New Roman"/>
              </w:rPr>
              <w:t>Double blind placebo-controlled trial.</w:t>
            </w:r>
          </w:p>
          <w:p w:rsidR="00ED74AA" w:rsidRPr="00ED74AA" w:rsidRDefault="00ED74AA" w:rsidP="00ED74AA">
            <w:pPr>
              <w:autoSpaceDE w:val="0"/>
              <w:autoSpaceDN w:val="0"/>
              <w:adjustRightInd w:val="0"/>
              <w:rPr>
                <w:rFonts w:ascii="Calibri" w:hAnsi="Calibri" w:cs="Times New Roman"/>
              </w:rPr>
            </w:pPr>
            <w:r>
              <w:rPr>
                <w:rFonts w:ascii="Calibri" w:hAnsi="Calibri" w:cs="Times New Roman"/>
              </w:rPr>
              <w:lastRenderedPageBreak/>
              <w:t>Participants were randomly allocated to one of two treatment conditions:</w:t>
            </w:r>
          </w:p>
          <w:p w:rsidR="00ED74AA" w:rsidRPr="00ED74AA" w:rsidRDefault="00ED74AA" w:rsidP="00ED74AA">
            <w:pPr>
              <w:numPr>
                <w:ilvl w:val="0"/>
                <w:numId w:val="14"/>
              </w:numPr>
              <w:tabs>
                <w:tab w:val="left" w:pos="32"/>
                <w:tab w:val="left" w:pos="820"/>
              </w:tabs>
              <w:autoSpaceDE w:val="0"/>
              <w:autoSpaceDN w:val="0"/>
              <w:adjustRightInd w:val="0"/>
              <w:contextualSpacing/>
              <w:jc w:val="both"/>
              <w:rPr>
                <w:rFonts w:ascii="Calibri" w:hAnsi="Calibri" w:cs="Times New Roman"/>
              </w:rPr>
            </w:pPr>
            <w:r>
              <w:rPr>
                <w:rFonts w:ascii="Calibri" w:hAnsi="Calibri" w:cs="Times New Roman"/>
              </w:rPr>
              <w:t>Mindwise B. monniera extract (Mindwise) group (n=23; 2</w:t>
            </w:r>
            <w:r>
              <w:rPr>
                <w:rFonts w:ascii="Calibri" w:hAnsi="Calibri" w:cs="Symbol"/>
              </w:rPr>
              <w:t>×</w:t>
            </w:r>
            <w:r>
              <w:rPr>
                <w:rFonts w:ascii="Calibri" w:hAnsi="Calibri" w:cs="Times New Roman"/>
              </w:rPr>
              <w:t>150 mg)</w:t>
            </w:r>
          </w:p>
          <w:p w:rsidR="00ED74AA" w:rsidRPr="00ED74AA" w:rsidRDefault="00ED74AA" w:rsidP="00ED74AA">
            <w:pPr>
              <w:numPr>
                <w:ilvl w:val="0"/>
                <w:numId w:val="14"/>
              </w:numPr>
              <w:tabs>
                <w:tab w:val="left" w:pos="32"/>
              </w:tabs>
              <w:contextualSpacing/>
              <w:jc w:val="both"/>
              <w:rPr>
                <w:rFonts w:ascii="Calibri" w:hAnsi="Calibri" w:cs="Times New Roman"/>
              </w:rPr>
            </w:pPr>
            <w:r>
              <w:rPr>
                <w:rFonts w:ascii="Calibri" w:hAnsi="Calibri" w:cs="Times New Roman"/>
              </w:rPr>
              <w:t>Placebo group (n=23), Identical capsules in shape, colour, smell, taste and weight.</w:t>
            </w: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lastRenderedPageBreak/>
              <w:t>Investigators</w:t>
            </w:r>
          </w:p>
        </w:tc>
        <w:tc>
          <w:tcPr>
            <w:tcW w:w="6814" w:type="dxa"/>
          </w:tcPr>
          <w:p w:rsidR="00ED74AA" w:rsidRPr="00ED74AA" w:rsidRDefault="00ED74AA" w:rsidP="00ED74AA">
            <w:pPr>
              <w:autoSpaceDE w:val="0"/>
              <w:autoSpaceDN w:val="0"/>
              <w:adjustRightInd w:val="0"/>
              <w:spacing w:line="360" w:lineRule="auto"/>
              <w:rPr>
                <w:rFonts w:ascii="Calibri" w:hAnsi="Calibri" w:cs="Times New Roman"/>
                <w:bCs/>
              </w:rPr>
            </w:pPr>
            <w:r>
              <w:rPr>
                <w:rFonts w:ascii="Calibri" w:hAnsi="Calibri" w:cs="Times New Roman"/>
                <w:bCs/>
              </w:rPr>
              <w:t>C. Stough, J. Lloyd, J. Clarke, L. A. Downey, C. W. Hutchison, T. Rodgers, P. J. Nathan</w:t>
            </w:r>
          </w:p>
          <w:p w:rsidR="00ED74AA" w:rsidRPr="00ED74AA" w:rsidRDefault="00ED74AA" w:rsidP="00ED74AA">
            <w:pPr>
              <w:rPr>
                <w:rFonts w:ascii="Calibri" w:hAnsi="Calibri" w:cs="Times New Roman"/>
              </w:rPr>
            </w:pP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t>Study Centers</w:t>
            </w:r>
          </w:p>
        </w:tc>
        <w:tc>
          <w:tcPr>
            <w:tcW w:w="6814" w:type="dxa"/>
          </w:tcPr>
          <w:p w:rsidR="00ED74AA" w:rsidRPr="00ED74AA" w:rsidRDefault="00ED74AA" w:rsidP="00ED74AA">
            <w:pPr>
              <w:autoSpaceDE w:val="0"/>
              <w:autoSpaceDN w:val="0"/>
              <w:adjustRightInd w:val="0"/>
              <w:spacing w:line="360" w:lineRule="auto"/>
              <w:ind w:left="40" w:right="-20"/>
              <w:rPr>
                <w:rFonts w:ascii="Calibri" w:hAnsi="Calibri" w:cs="Times New Roman"/>
                <w:color w:val="000000"/>
              </w:rPr>
            </w:pPr>
            <w:r>
              <w:rPr>
                <w:rFonts w:ascii="Calibri" w:hAnsi="Calibri" w:cs="Times New Roman"/>
                <w:color w:val="231F20"/>
                <w:position w:val="-1"/>
              </w:rPr>
              <w:t>Neuropharmacology Laboratory, Brain Sciences</w:t>
            </w:r>
            <w:r>
              <w:rPr>
                <w:rFonts w:ascii="Calibri" w:hAnsi="Calibri" w:cs="Times New Roman"/>
                <w:color w:val="231F20"/>
                <w:spacing w:val="36"/>
                <w:position w:val="-1"/>
              </w:rPr>
              <w:t xml:space="preserve"> </w:t>
            </w:r>
            <w:r>
              <w:rPr>
                <w:rFonts w:ascii="Calibri" w:hAnsi="Calibri" w:cs="Times New Roman"/>
                <w:color w:val="231F20"/>
                <w:w w:val="108"/>
                <w:position w:val="-1"/>
              </w:rPr>
              <w:t>Institute,</w:t>
            </w:r>
            <w:r>
              <w:rPr>
                <w:rFonts w:ascii="Calibri" w:hAnsi="Calibri" w:cs="Times New Roman"/>
                <w:color w:val="231F20"/>
                <w:spacing w:val="28"/>
                <w:w w:val="108"/>
                <w:position w:val="-1"/>
              </w:rPr>
              <w:t xml:space="preserve"> </w:t>
            </w:r>
            <w:r>
              <w:rPr>
                <w:rFonts w:ascii="Calibri" w:hAnsi="Calibri" w:cs="Times New Roman"/>
                <w:color w:val="231F20"/>
                <w:w w:val="108"/>
                <w:position w:val="-1"/>
              </w:rPr>
              <w:t>Swinburne</w:t>
            </w:r>
            <w:r>
              <w:rPr>
                <w:rFonts w:ascii="Calibri" w:hAnsi="Calibri" w:cs="Times New Roman"/>
                <w:color w:val="231F20"/>
                <w:spacing w:val="5"/>
                <w:w w:val="108"/>
                <w:position w:val="-1"/>
              </w:rPr>
              <w:t xml:space="preserve"> </w:t>
            </w:r>
            <w:r>
              <w:rPr>
                <w:rFonts w:ascii="Calibri" w:hAnsi="Calibri" w:cs="Times New Roman"/>
                <w:color w:val="231F20"/>
                <w:w w:val="108"/>
                <w:position w:val="-1"/>
              </w:rPr>
              <w:t>University of Technology, 400 Burwood Road</w:t>
            </w:r>
            <w:r>
              <w:rPr>
                <w:rFonts w:ascii="Calibri" w:hAnsi="Calibri" w:cs="Times New Roman"/>
                <w:color w:val="231F20"/>
                <w:position w:val="-1"/>
              </w:rPr>
              <w:t xml:space="preserve">, </w:t>
            </w:r>
            <w:r>
              <w:rPr>
                <w:rFonts w:ascii="Calibri" w:hAnsi="Calibri" w:cs="Times New Roman"/>
                <w:color w:val="231F20"/>
                <w:w w:val="110"/>
                <w:position w:val="-1"/>
              </w:rPr>
              <w:t>Hawthorn,</w:t>
            </w:r>
            <w:r>
              <w:rPr>
                <w:rFonts w:ascii="Calibri" w:hAnsi="Calibri" w:cs="Times New Roman"/>
                <w:color w:val="231F20"/>
                <w:spacing w:val="11"/>
                <w:w w:val="110"/>
                <w:position w:val="-1"/>
              </w:rPr>
              <w:t xml:space="preserve"> </w:t>
            </w:r>
            <w:r>
              <w:rPr>
                <w:rFonts w:ascii="Calibri" w:hAnsi="Calibri" w:cs="Times New Roman"/>
                <w:color w:val="231F20"/>
                <w:position w:val="-1"/>
              </w:rPr>
              <w:t xml:space="preserve">Victoria 3122, </w:t>
            </w:r>
            <w:r>
              <w:rPr>
                <w:rFonts w:ascii="Calibri" w:hAnsi="Calibri" w:cs="Times New Roman"/>
                <w:color w:val="231F20"/>
                <w:w w:val="110"/>
                <w:position w:val="-1"/>
              </w:rPr>
              <w:t>Australia</w:t>
            </w:r>
          </w:p>
          <w:p w:rsidR="00ED74AA" w:rsidRPr="00ED74AA" w:rsidRDefault="00ED74AA" w:rsidP="00ED74AA">
            <w:pPr>
              <w:rPr>
                <w:rFonts w:ascii="Calibri" w:hAnsi="Calibri" w:cs="Times New Roman"/>
              </w:rPr>
            </w:pP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t>Phase of Development</w:t>
            </w:r>
          </w:p>
        </w:tc>
        <w:tc>
          <w:tcPr>
            <w:tcW w:w="6814" w:type="dxa"/>
          </w:tcPr>
          <w:p w:rsidR="00ED74AA" w:rsidRPr="00ED74AA" w:rsidRDefault="00B511AF" w:rsidP="00ED74AA">
            <w:pPr>
              <w:rPr>
                <w:rFonts w:ascii="Calibri" w:hAnsi="Calibri" w:cs="Times New Roman"/>
              </w:rPr>
            </w:pPr>
            <w:r>
              <w:rPr>
                <w:rFonts w:ascii="Calibri" w:hAnsi="Calibri" w:cs="Times New Roman"/>
              </w:rPr>
              <w:t>N/A</w:t>
            </w: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t>Primary Objective</w:t>
            </w:r>
          </w:p>
        </w:tc>
        <w:tc>
          <w:tcPr>
            <w:tcW w:w="6814" w:type="dxa"/>
          </w:tcPr>
          <w:p w:rsidR="00ED74AA" w:rsidRPr="00ED74AA" w:rsidRDefault="00ED74AA" w:rsidP="00ED74AA">
            <w:pPr>
              <w:autoSpaceDE w:val="0"/>
              <w:autoSpaceDN w:val="0"/>
              <w:adjustRightInd w:val="0"/>
              <w:rPr>
                <w:rFonts w:ascii="Calibri" w:hAnsi="Calibri" w:cs="Times New Roman"/>
              </w:rPr>
            </w:pPr>
            <w:r>
              <w:rPr>
                <w:rFonts w:ascii="Calibri" w:hAnsi="Calibri" w:cs="Times New Roman"/>
              </w:rPr>
              <w:t>To examine the chronic effects of an extract of B. monniera on cognitive function in healthy human subjects (18 to 60 years old).</w:t>
            </w: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t>Number of Patients</w:t>
            </w:r>
          </w:p>
        </w:tc>
        <w:tc>
          <w:tcPr>
            <w:tcW w:w="6814" w:type="dxa"/>
          </w:tcPr>
          <w:p w:rsidR="00ED74AA" w:rsidRPr="00ED74AA" w:rsidRDefault="00ED74AA" w:rsidP="00ED74AA">
            <w:pPr>
              <w:rPr>
                <w:rFonts w:ascii="Calibri" w:hAnsi="Calibri" w:cs="Times New Roman"/>
              </w:rPr>
            </w:pPr>
            <w:r>
              <w:rPr>
                <w:rFonts w:ascii="Calibri" w:hAnsi="Calibri" w:cs="Times New Roman"/>
              </w:rPr>
              <w:t>46 healthy volunteers</w:t>
            </w: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t>Inclusion Criteria</w:t>
            </w:r>
          </w:p>
        </w:tc>
        <w:tc>
          <w:tcPr>
            <w:tcW w:w="6814" w:type="dxa"/>
          </w:tcPr>
          <w:p w:rsidR="00ED74AA" w:rsidRPr="00ED74AA" w:rsidRDefault="00ED74AA" w:rsidP="00ED74AA">
            <w:pPr>
              <w:numPr>
                <w:ilvl w:val="0"/>
                <w:numId w:val="11"/>
              </w:numPr>
              <w:contextualSpacing/>
              <w:rPr>
                <w:rFonts w:ascii="Calibri" w:hAnsi="Calibri" w:cs="Times New Roman"/>
              </w:rPr>
            </w:pPr>
            <w:r>
              <w:rPr>
                <w:rFonts w:ascii="Calibri" w:hAnsi="Calibri" w:cs="Times New Roman"/>
              </w:rPr>
              <w:t>Male and female in the age group of 18-60 years</w:t>
            </w:r>
          </w:p>
          <w:p w:rsidR="00ED74AA" w:rsidRPr="00ED74AA" w:rsidRDefault="00ED74AA" w:rsidP="00ED74AA">
            <w:pPr>
              <w:numPr>
                <w:ilvl w:val="0"/>
                <w:numId w:val="11"/>
              </w:numPr>
              <w:contextualSpacing/>
              <w:rPr>
                <w:rFonts w:ascii="Calibri" w:hAnsi="Calibri" w:cs="Times New Roman"/>
              </w:rPr>
            </w:pPr>
            <w:r>
              <w:rPr>
                <w:rFonts w:ascii="Calibri" w:hAnsi="Calibri" w:cs="Times New Roman"/>
              </w:rPr>
              <w:t>Healthy</w:t>
            </w:r>
          </w:p>
          <w:p w:rsidR="00ED74AA" w:rsidRPr="00ED74AA" w:rsidRDefault="00ED74AA" w:rsidP="00ED74AA">
            <w:pPr>
              <w:numPr>
                <w:ilvl w:val="0"/>
                <w:numId w:val="11"/>
              </w:numPr>
              <w:contextualSpacing/>
              <w:rPr>
                <w:rFonts w:ascii="Calibri" w:hAnsi="Calibri" w:cs="Times New Roman"/>
              </w:rPr>
            </w:pPr>
            <w:r>
              <w:rPr>
                <w:rFonts w:ascii="Calibri" w:hAnsi="Calibri" w:cs="Times New Roman"/>
              </w:rPr>
              <w:t>Weighing between 48 and 94 kg</w:t>
            </w:r>
          </w:p>
          <w:p w:rsidR="00ED74AA" w:rsidRPr="00ED74AA" w:rsidRDefault="00ED74AA" w:rsidP="00ED74AA">
            <w:pPr>
              <w:numPr>
                <w:ilvl w:val="0"/>
                <w:numId w:val="11"/>
              </w:numPr>
              <w:contextualSpacing/>
              <w:rPr>
                <w:rFonts w:ascii="Calibri" w:hAnsi="Calibri" w:cs="Times New Roman"/>
              </w:rPr>
            </w:pPr>
            <w:r>
              <w:rPr>
                <w:rFonts w:ascii="Calibri" w:hAnsi="Calibri" w:cs="Times New Roman"/>
              </w:rPr>
              <w:t>Subjects willing to give written informed consent</w:t>
            </w: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t>Exclusion Criteria</w:t>
            </w:r>
          </w:p>
        </w:tc>
        <w:tc>
          <w:tcPr>
            <w:tcW w:w="6814" w:type="dxa"/>
          </w:tcPr>
          <w:p w:rsidR="00ED74AA" w:rsidRPr="00ED74AA" w:rsidRDefault="00ED74AA" w:rsidP="00ED74AA">
            <w:pPr>
              <w:numPr>
                <w:ilvl w:val="0"/>
                <w:numId w:val="12"/>
              </w:numPr>
              <w:contextualSpacing/>
              <w:rPr>
                <w:rFonts w:ascii="Calibri" w:hAnsi="Calibri" w:cs="Times New Roman"/>
              </w:rPr>
            </w:pPr>
            <w:r>
              <w:rPr>
                <w:rFonts w:ascii="Calibri" w:hAnsi="Calibri" w:cs="Times New Roman"/>
              </w:rPr>
              <w:t>Pre-existing physical or psychiatric condition</w:t>
            </w:r>
          </w:p>
          <w:p w:rsidR="00ED74AA" w:rsidRPr="00ED74AA" w:rsidRDefault="00ED74AA" w:rsidP="00ED74AA">
            <w:pPr>
              <w:numPr>
                <w:ilvl w:val="0"/>
                <w:numId w:val="12"/>
              </w:numPr>
              <w:contextualSpacing/>
              <w:rPr>
                <w:rFonts w:ascii="Calibri" w:hAnsi="Calibri" w:cs="Times New Roman"/>
              </w:rPr>
            </w:pPr>
            <w:r>
              <w:rPr>
                <w:rFonts w:ascii="Calibri" w:hAnsi="Calibri" w:cs="Times New Roman"/>
              </w:rPr>
              <w:t xml:space="preserve"> Taking any medications </w:t>
            </w:r>
          </w:p>
          <w:p w:rsidR="00ED74AA" w:rsidRPr="00ED74AA" w:rsidRDefault="00ED74AA" w:rsidP="00ED74AA">
            <w:pPr>
              <w:ind w:left="360"/>
              <w:rPr>
                <w:rFonts w:ascii="Calibri" w:hAnsi="Calibri" w:cs="Times New Roman"/>
              </w:rPr>
            </w:pP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t>Test product and mode of administration</w:t>
            </w:r>
          </w:p>
        </w:tc>
        <w:tc>
          <w:tcPr>
            <w:tcW w:w="6814" w:type="dxa"/>
          </w:tcPr>
          <w:p w:rsidR="00ED74AA" w:rsidRPr="00ED74AA" w:rsidRDefault="00ED74AA" w:rsidP="00ED74AA">
            <w:pPr>
              <w:numPr>
                <w:ilvl w:val="0"/>
                <w:numId w:val="13"/>
              </w:numPr>
              <w:contextualSpacing/>
              <w:rPr>
                <w:rFonts w:ascii="Calibri" w:hAnsi="Calibri" w:cs="Times New Roman"/>
              </w:rPr>
            </w:pPr>
            <w:r>
              <w:rPr>
                <w:rFonts w:ascii="Calibri" w:hAnsi="Calibri" w:cs="Times New Roman"/>
              </w:rPr>
              <w:t xml:space="preserve">Standardized ethanolic Bacopa monniera extract (CDRI, Lucknow, India) for Bacosides A and B (no less than 55% of combined bacosides) was used. Each capsule contained 150 mg of Bacopa </w:t>
              <w:lastRenderedPageBreak/>
              <w:t>monniera extract (20:1) equivalent to 3 g of dried herb.</w:t>
            </w:r>
          </w:p>
          <w:p w:rsidR="00ED74AA" w:rsidRPr="00ED74AA" w:rsidRDefault="00ED74AA" w:rsidP="00ED74AA">
            <w:pPr>
              <w:numPr>
                <w:ilvl w:val="0"/>
                <w:numId w:val="13"/>
              </w:numPr>
              <w:contextualSpacing/>
              <w:rPr>
                <w:rFonts w:ascii="Calibri" w:hAnsi="Calibri" w:cs="Times New Roman"/>
              </w:rPr>
            </w:pPr>
            <w:r>
              <w:rPr>
                <w:rFonts w:ascii="Calibri" w:hAnsi="Calibri" w:cs="Times New Roman"/>
              </w:rPr>
              <w:t>Oral intake of two capsules a day for 12 weeks.</w:t>
            </w: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lastRenderedPageBreak/>
              <w:t>Estimated Duration of the Study</w:t>
            </w:r>
          </w:p>
        </w:tc>
        <w:tc>
          <w:tcPr>
            <w:tcW w:w="6814" w:type="dxa"/>
          </w:tcPr>
          <w:p w:rsidR="00ED74AA" w:rsidRPr="00ED74AA" w:rsidRDefault="00ED74AA" w:rsidP="00ED74AA">
            <w:pPr>
              <w:rPr>
                <w:rFonts w:ascii="Calibri" w:hAnsi="Calibri" w:cs="Times New Roman"/>
              </w:rPr>
            </w:pPr>
            <w:r>
              <w:rPr>
                <w:rFonts w:ascii="Calibri" w:hAnsi="Calibri" w:cs="Times New Roman"/>
              </w:rPr>
              <w:t>12 weeks</w:t>
            </w: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t>Criteria for clinical evaluation</w:t>
            </w:r>
          </w:p>
          <w:p w:rsidR="00ED74AA" w:rsidRPr="00ED74AA" w:rsidRDefault="00ED74AA" w:rsidP="00ED74AA">
            <w:pPr>
              <w:rPr>
                <w:rFonts w:ascii="Calibri" w:hAnsi="Calibri" w:cs="Times New Roman"/>
                <w:b/>
              </w:rPr>
            </w:pPr>
          </w:p>
          <w:p w:rsidR="00ED74AA" w:rsidRPr="00ED74AA" w:rsidRDefault="00ED74AA" w:rsidP="00ED74AA">
            <w:pPr>
              <w:rPr>
                <w:rFonts w:ascii="Calibri" w:hAnsi="Calibri" w:cs="Times New Roman"/>
                <w:b/>
              </w:rPr>
            </w:pPr>
            <w:r>
              <w:rPr>
                <w:rFonts w:ascii="Calibri" w:hAnsi="Calibri" w:cs="Times New Roman"/>
                <w:b/>
              </w:rPr>
              <w:t>Efficacy evaluation</w:t>
            </w:r>
          </w:p>
        </w:tc>
        <w:tc>
          <w:tcPr>
            <w:tcW w:w="6814" w:type="dxa"/>
          </w:tcPr>
          <w:p w:rsidR="00ED74AA" w:rsidRPr="00ED74AA" w:rsidRDefault="00ED74AA" w:rsidP="00ED74AA">
            <w:pPr>
              <w:rPr>
                <w:rFonts w:ascii="Calibri" w:hAnsi="Calibri" w:cs="Times New Roman"/>
                <w:b/>
                <w:u w:val="single"/>
              </w:rPr>
            </w:pPr>
            <w:r>
              <w:rPr>
                <w:rFonts w:ascii="Calibri" w:hAnsi="Calibri" w:cs="Times New Roman"/>
                <w:b/>
                <w:u w:val="single"/>
              </w:rPr>
              <w:t>Clinical evaluation</w:t>
            </w:r>
          </w:p>
          <w:p w:rsidR="00ED74AA" w:rsidRPr="00ED74AA" w:rsidRDefault="00ED74AA" w:rsidP="00ED74AA">
            <w:pPr>
              <w:autoSpaceDE w:val="0"/>
              <w:autoSpaceDN w:val="0"/>
              <w:adjustRightInd w:val="0"/>
              <w:rPr>
                <w:rFonts w:ascii="Times New Roman" w:hAnsi="Times New Roman" w:cs="Times New Roman"/>
                <w:color w:val="000000"/>
                <w:sz w:val="18"/>
                <w:szCs w:val="18"/>
              </w:rPr>
            </w:pPr>
            <w:r>
              <w:rPr>
                <w:rFonts w:ascii="Calibri" w:hAnsi="Calibri" w:cs="Times New Roman"/>
                <w:color w:val="000000"/>
              </w:rPr>
              <w:t>A battery of well-validated neuropsychological tests were employed to assess a wide range of cognitive variables including attention, short-term memory, verbal learning, memory consolidation, executive processes, planning and problem solving, information processing speed, motor responsiveness, and decision</w:t>
            </w:r>
            <w:r>
              <w:rPr>
                <w:rFonts w:ascii="Times New Roman" w:hAnsi="Times New Roman" w:cs="Times New Roman"/>
                <w:color w:val="000000"/>
                <w:sz w:val="18"/>
                <w:szCs w:val="18"/>
              </w:rPr>
              <w:t xml:space="preserve"> </w:t>
            </w:r>
            <w:r>
              <w:rPr>
                <w:rFonts w:ascii="Calibri" w:hAnsi="Calibri" w:cs="Times New Roman"/>
                <w:color w:val="000000"/>
              </w:rPr>
              <w:t>making.</w:t>
            </w:r>
          </w:p>
          <w:p w:rsidR="00ED74AA" w:rsidRPr="00ED74AA" w:rsidRDefault="00ED74AA" w:rsidP="00ED74AA">
            <w:pPr>
              <w:autoSpaceDE w:val="0"/>
              <w:autoSpaceDN w:val="0"/>
              <w:adjustRightInd w:val="0"/>
              <w:rPr>
                <w:rFonts w:ascii="Calibri" w:hAnsi="Calibri" w:cs="Times New Roman"/>
                <w:b/>
              </w:rPr>
            </w:pPr>
            <w:r>
              <w:rPr>
                <w:rFonts w:ascii="Calibri" w:hAnsi="Calibri" w:cs="Times New Roman"/>
                <w:b/>
              </w:rPr>
              <w:t>Neuropsychological Assessments comprised of:</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Cognometer tests of working memory</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Digit Symbol Substitution</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 xml:space="preserve">Speed of Comprehension Test </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 xml:space="preserve">Digit Span </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 xml:space="preserve">Trail Making Test </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 xml:space="preserve">Rey Auditory Verbal Learning Test </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 xml:space="preserve">Inspection Time </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 xml:space="preserve">Changes in state anxiety </w:t>
            </w:r>
          </w:p>
          <w:p w:rsidR="00ED74AA" w:rsidRPr="00ED74AA" w:rsidRDefault="00ED74AA" w:rsidP="00ED74AA">
            <w:pPr>
              <w:spacing w:line="360" w:lineRule="auto"/>
              <w:rPr>
                <w:rFonts w:ascii="Calibri" w:hAnsi="Calibri" w:cs="Times New Roman"/>
              </w:rPr>
            </w:pPr>
          </w:p>
          <w:p w:rsidR="00ED74AA" w:rsidRPr="00ED74AA" w:rsidRDefault="00ED74AA" w:rsidP="00ED74AA">
            <w:pPr>
              <w:spacing w:line="360" w:lineRule="auto"/>
              <w:rPr>
                <w:rFonts w:ascii="Calibri" w:hAnsi="Calibri" w:cs="Times New Roman"/>
                <w:b/>
              </w:rPr>
            </w:pPr>
            <w:r>
              <w:rPr>
                <w:rFonts w:ascii="Calibri" w:hAnsi="Calibri" w:cs="Times New Roman"/>
                <w:b/>
              </w:rPr>
              <w:t>Weekly basis symptom analysis</w:t>
            </w:r>
          </w:p>
          <w:p w:rsidR="00ED74AA" w:rsidRPr="00ED74AA" w:rsidRDefault="00ED74AA" w:rsidP="00ED74AA">
            <w:pPr>
              <w:spacing w:line="360" w:lineRule="auto"/>
              <w:rPr>
                <w:rFonts w:ascii="Calibri" w:hAnsi="Calibri" w:cs="Times New Roman"/>
              </w:rPr>
            </w:pPr>
            <w:r>
              <w:rPr>
                <w:rFonts w:ascii="Calibri" w:hAnsi="Calibri" w:cs="Times New Roman"/>
              </w:rPr>
              <w:t>Both positive (such as feeling of increased energy, arousal and cognitive clarity) and negative (such as fatigue, nausea, dry mouth etc) symptoms were also recorded</w:t>
            </w: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t>Safety evaluation</w:t>
            </w:r>
          </w:p>
        </w:tc>
        <w:tc>
          <w:tcPr>
            <w:tcW w:w="6814" w:type="dxa"/>
          </w:tcPr>
          <w:p w:rsidR="00ED74AA" w:rsidRPr="00ED74AA" w:rsidRDefault="00ED74AA" w:rsidP="00ED74AA">
            <w:pPr>
              <w:spacing w:line="360" w:lineRule="auto"/>
              <w:rPr>
                <w:rFonts w:ascii="Calibri" w:hAnsi="Calibri" w:cs="Times New Roman"/>
              </w:rPr>
            </w:pPr>
            <w:r>
              <w:rPr>
                <w:rFonts w:ascii="Calibri" w:hAnsi="Calibri" w:cs="Times New Roman"/>
              </w:rPr>
              <w:t xml:space="preserve">In addition to clinical observations, extensive safety and toxicological studies have been done on Standardized Bacopa monniera extract by CDRI, Lucknow, India (1989, 1997). A large number of adverse effects </w:t>
              <w:lastRenderedPageBreak/>
              <w:t>were monitored over the 12-week period.</w:t>
            </w:r>
          </w:p>
        </w:tc>
      </w:tr>
      <w:tr w:rsidR="00ED74AA" w:rsidRPr="00ED74AA" w:rsidTr="00ED74AA">
        <w:trPr>
          <w:trHeight w:val="301"/>
        </w:trPr>
        <w:tc>
          <w:tcPr>
            <w:tcW w:w="6814" w:type="dxa"/>
          </w:tcPr>
          <w:p w:rsidR="00ED74AA" w:rsidRPr="00ED74AA" w:rsidRDefault="00ED74AA" w:rsidP="00ED74AA">
            <w:pPr>
              <w:rPr>
                <w:rFonts w:ascii="Calibri" w:hAnsi="Calibri" w:cs="Times New Roman"/>
                <w:b/>
              </w:rPr>
            </w:pPr>
            <w:r>
              <w:rPr>
                <w:rFonts w:ascii="Calibri" w:hAnsi="Calibri" w:cs="Times New Roman"/>
                <w:b/>
              </w:rPr>
              <w:lastRenderedPageBreak/>
              <w:t>Summary and Conclusion</w:t>
            </w:r>
          </w:p>
        </w:tc>
        <w:tc>
          <w:tcPr>
            <w:tcW w:w="6814" w:type="dxa"/>
          </w:tcPr>
          <w:p w:rsidR="00ED74AA" w:rsidRPr="00ED74AA" w:rsidRDefault="00ED74AA" w:rsidP="00ED74AA">
            <w:pPr>
              <w:autoSpaceDE w:val="0"/>
              <w:autoSpaceDN w:val="0"/>
              <w:adjustRightInd w:val="0"/>
              <w:rPr>
                <w:rFonts w:ascii="Calibri" w:hAnsi="Calibri" w:cs="Times New Roman"/>
              </w:rPr>
            </w:pPr>
            <w:r>
              <w:rPr>
                <w:rFonts w:ascii="Calibri" w:hAnsi="Calibri" w:cs="Times New Roman"/>
              </w:rPr>
              <w:t>Mindwise B. monniera extract (300 mg) given chronically for 12 weeks significantly improved</w:t>
            </w:r>
          </w:p>
          <w:p w:rsidR="00ED74AA" w:rsidRPr="00ED74AA" w:rsidRDefault="00ED74AA" w:rsidP="00ED74AA">
            <w:pPr>
              <w:numPr>
                <w:ilvl w:val="0"/>
                <w:numId w:val="16"/>
              </w:numPr>
              <w:autoSpaceDE w:val="0"/>
              <w:autoSpaceDN w:val="0"/>
              <w:adjustRightInd w:val="0"/>
              <w:spacing w:line="360" w:lineRule="auto"/>
              <w:contextualSpacing/>
              <w:rPr>
                <w:rFonts w:ascii="Calibri" w:hAnsi="Calibri" w:cs="Times New Roman"/>
              </w:rPr>
            </w:pPr>
            <w:r>
              <w:rPr>
                <w:rFonts w:ascii="Calibri" w:hAnsi="Calibri" w:cs="Times New Roman"/>
              </w:rPr>
              <w:t xml:space="preserve">Speed of visual information </w:t>
            </w:r>
          </w:p>
          <w:p w:rsidR="00ED74AA" w:rsidRPr="00ED74AA" w:rsidRDefault="00ED74AA" w:rsidP="00ED74AA">
            <w:pPr>
              <w:numPr>
                <w:ilvl w:val="0"/>
                <w:numId w:val="16"/>
              </w:numPr>
              <w:spacing w:line="360" w:lineRule="auto"/>
              <w:contextualSpacing/>
              <w:rPr>
                <w:rFonts w:ascii="Calibri" w:hAnsi="Calibri" w:cs="Times New Roman"/>
              </w:rPr>
            </w:pPr>
            <w:r>
              <w:rPr>
                <w:rFonts w:ascii="Calibri" w:hAnsi="Calibri" w:cs="Times New Roman"/>
              </w:rPr>
              <w:t>Learning rate</w:t>
            </w:r>
          </w:p>
          <w:p w:rsidR="00ED74AA" w:rsidRPr="00ED74AA" w:rsidRDefault="00ED74AA" w:rsidP="00ED74AA">
            <w:pPr>
              <w:numPr>
                <w:ilvl w:val="0"/>
                <w:numId w:val="16"/>
              </w:numPr>
              <w:spacing w:line="360" w:lineRule="auto"/>
              <w:contextualSpacing/>
              <w:rPr>
                <w:rFonts w:ascii="Calibri" w:hAnsi="Calibri" w:cs="Times New Roman"/>
              </w:rPr>
            </w:pPr>
            <w:r>
              <w:rPr>
                <w:rFonts w:ascii="Calibri" w:hAnsi="Calibri" w:cs="Times New Roman"/>
              </w:rPr>
              <w:t>Memory consolidation [decrease</w:t>
            </w:r>
          </w:p>
          <w:p w:rsidR="00ED74AA" w:rsidRPr="00ED74AA" w:rsidRDefault="00ED74AA" w:rsidP="00ED74AA">
            <w:pPr>
              <w:numPr>
                <w:ilvl w:val="0"/>
                <w:numId w:val="16"/>
              </w:numPr>
              <w:autoSpaceDE w:val="0"/>
              <w:autoSpaceDN w:val="0"/>
              <w:adjustRightInd w:val="0"/>
              <w:spacing w:line="360" w:lineRule="auto"/>
              <w:contextualSpacing/>
              <w:rPr>
                <w:rFonts w:ascii="Calibri" w:hAnsi="Calibri" w:cs="Times New Roman"/>
              </w:rPr>
            </w:pPr>
            <w:r>
              <w:rPr>
                <w:rFonts w:ascii="Calibri" w:hAnsi="Calibri" w:cs="Times New Roman"/>
              </w:rPr>
              <w:t xml:space="preserve">Proactive interference and </w:t>
            </w:r>
          </w:p>
          <w:p w:rsidR="00ED74AA" w:rsidRPr="00ED74AA" w:rsidRDefault="00ED74AA" w:rsidP="00ED74AA">
            <w:pPr>
              <w:numPr>
                <w:ilvl w:val="0"/>
                <w:numId w:val="16"/>
              </w:numPr>
              <w:autoSpaceDE w:val="0"/>
              <w:autoSpaceDN w:val="0"/>
              <w:adjustRightInd w:val="0"/>
              <w:spacing w:line="360" w:lineRule="auto"/>
              <w:contextualSpacing/>
              <w:rPr>
                <w:rFonts w:ascii="Times New Roman" w:hAnsi="Times New Roman" w:cs="Times New Roman"/>
                <w:sz w:val="21"/>
                <w:szCs w:val="21"/>
              </w:rPr>
            </w:pPr>
            <w:r>
              <w:rPr>
                <w:rFonts w:ascii="Calibri" w:hAnsi="Calibri" w:cs="Times New Roman"/>
              </w:rPr>
              <w:t>Decrease forgetting rate</w:t>
            </w:r>
          </w:p>
          <w:p w:rsidR="00ED74AA" w:rsidRPr="00ED74AA" w:rsidRDefault="00ED74AA" w:rsidP="00ED74AA">
            <w:pPr>
              <w:numPr>
                <w:ilvl w:val="0"/>
                <w:numId w:val="16"/>
              </w:numPr>
              <w:autoSpaceDE w:val="0"/>
              <w:autoSpaceDN w:val="0"/>
              <w:adjustRightInd w:val="0"/>
              <w:spacing w:line="360" w:lineRule="auto"/>
              <w:contextualSpacing/>
              <w:rPr>
                <w:rFonts w:ascii="Calibri" w:hAnsi="Calibri" w:cs="Times New Roman"/>
              </w:rPr>
            </w:pPr>
            <w:r>
              <w:rPr>
                <w:rFonts w:ascii="Calibri" w:hAnsi="Calibri" w:cs="Times New Roman"/>
              </w:rPr>
              <w:t>Decrease in state anxiety</w:t>
            </w:r>
          </w:p>
          <w:p w:rsidR="00ED74AA" w:rsidRPr="00ED74AA" w:rsidRDefault="00ED74AA" w:rsidP="00ED74AA">
            <w:pPr>
              <w:spacing w:line="360" w:lineRule="auto"/>
              <w:rPr>
                <w:rFonts w:ascii="Calibri" w:hAnsi="Calibri" w:cs="Times New Roman"/>
                <w:b/>
              </w:rPr>
            </w:pPr>
            <w:r>
              <w:rPr>
                <w:rFonts w:ascii="Calibri" w:hAnsi="Calibri" w:cs="Times New Roman"/>
                <w:b/>
              </w:rPr>
              <w:t>Commentary</w:t>
            </w:r>
          </w:p>
          <w:p w:rsidR="00ED74AA" w:rsidRPr="00ED74AA" w:rsidRDefault="00ED74AA" w:rsidP="00ED74AA">
            <w:pPr>
              <w:numPr>
                <w:ilvl w:val="0"/>
                <w:numId w:val="17"/>
              </w:numPr>
              <w:autoSpaceDE w:val="0"/>
              <w:autoSpaceDN w:val="0"/>
              <w:adjustRightInd w:val="0"/>
              <w:spacing w:line="360" w:lineRule="auto"/>
              <w:ind w:left="741" w:hanging="426"/>
              <w:contextualSpacing/>
              <w:rPr>
                <w:rFonts w:ascii="Calibri" w:hAnsi="Calibri" w:cs="TimesTen-Roman"/>
                <w:color w:val="231F20"/>
              </w:rPr>
            </w:pPr>
            <w:r>
              <w:rPr>
                <w:rFonts w:ascii="Calibri" w:hAnsi="Calibri" w:cs="TimesTen-Roman"/>
                <w:color w:val="231F20"/>
              </w:rPr>
              <w:t>The current findings support the effects of Mindwise B. monniera extract on cognitive function may be related to its modulatory effects on the cholinergic system and/or its potent antioxidant effects.</w:t>
            </w:r>
          </w:p>
          <w:p w:rsidR="00ED74AA" w:rsidRPr="00ED74AA" w:rsidRDefault="00ED74AA" w:rsidP="00ED74AA">
            <w:pPr>
              <w:numPr>
                <w:ilvl w:val="0"/>
                <w:numId w:val="17"/>
              </w:numPr>
              <w:autoSpaceDE w:val="0"/>
              <w:autoSpaceDN w:val="0"/>
              <w:adjustRightInd w:val="0"/>
              <w:spacing w:line="360" w:lineRule="auto"/>
              <w:ind w:left="741" w:hanging="426"/>
              <w:contextualSpacing/>
              <w:rPr>
                <w:rFonts w:ascii="Calibri" w:hAnsi="Calibri" w:cs="TimesTen-Roman"/>
                <w:color w:val="231F20"/>
              </w:rPr>
            </w:pPr>
            <w:r>
              <w:rPr>
                <w:rFonts w:ascii="Calibri" w:hAnsi="Calibri" w:cs="TimesTen-Roman"/>
                <w:color w:val="231F20"/>
              </w:rPr>
              <w:t>This finding also supports the anxiolytic effect of Mindwise from B. monniera extract and which is possibly due to modulation of the serotonergic system.</w:t>
            </w:r>
          </w:p>
          <w:p w:rsidR="00ED74AA" w:rsidRPr="00ED74AA" w:rsidRDefault="00ED74AA" w:rsidP="00ED74AA">
            <w:pPr>
              <w:numPr>
                <w:ilvl w:val="0"/>
                <w:numId w:val="17"/>
              </w:numPr>
              <w:autoSpaceDE w:val="0"/>
              <w:autoSpaceDN w:val="0"/>
              <w:adjustRightInd w:val="0"/>
              <w:spacing w:line="360" w:lineRule="auto"/>
              <w:ind w:left="741" w:hanging="426"/>
              <w:contextualSpacing/>
              <w:rPr>
                <w:rFonts w:ascii="Calibri" w:hAnsi="Calibri" w:cs="Times New Roman"/>
              </w:rPr>
            </w:pPr>
            <w:r>
              <w:rPr>
                <w:rFonts w:ascii="Calibri" w:hAnsi="Calibri" w:cs="TimesTen-Roman"/>
                <w:color w:val="231F20"/>
              </w:rPr>
              <w:t xml:space="preserve">Additional exploration of wider batteries of tests, different doses and age-related effects is warranted in future.  </w:t>
            </w:r>
          </w:p>
        </w:tc>
      </w:tr>
    </w:tbl>
    <w:p w:rsidR="00ED74AA" w:rsidRDefault="00ED74AA" w:rsidP="00074898"/>
    <w:p w:rsidR="00B511AF" w:rsidRDefault="00B511AF" w:rsidP="00074898"/>
    <w:p w:rsidR="00ED74AA" w:rsidRPr="00ED74AA" w:rsidRDefault="00ED74AA" w:rsidP="00ED74AA">
      <w:pPr>
        <w:rPr>
          <w:rFonts w:asciiTheme="majorHAnsi" w:hAnsiTheme="majorHAnsi"/>
          <w:b/>
        </w:rPr>
      </w:pPr>
      <w:r>
        <w:rPr>
          <w:rFonts w:asciiTheme="majorHAnsi" w:hAnsiTheme="majorHAnsi"/>
          <w:b/>
        </w:rPr>
        <w:lastRenderedPageBreak/>
        <w:t>Study No. 2</w:t>
      </w:r>
    </w:p>
    <w:tbl>
      <w:tblPr>
        <w:tblStyle w:val="TableGrid2"/>
        <w:tblW w:w="0" w:type="auto"/>
        <w:tblLook w:val="04A0" w:firstRow="1" w:lastRow="0" w:firstColumn="1" w:lastColumn="0" w:noHBand="0" w:noVBand="1"/>
      </w:tblPr>
      <w:tblGrid>
        <w:gridCol w:w="4788"/>
        <w:gridCol w:w="8820"/>
      </w:tblGrid>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Title of the Study</w:t>
            </w:r>
          </w:p>
        </w:tc>
        <w:tc>
          <w:tcPr>
            <w:tcW w:w="8820" w:type="dxa"/>
          </w:tcPr>
          <w:p w:rsidR="00ED74AA" w:rsidRPr="00ED74AA" w:rsidRDefault="00ED74AA" w:rsidP="00ED74AA">
            <w:pPr>
              <w:rPr>
                <w:rFonts w:ascii="Calibri" w:hAnsi="Calibri" w:cs="Times New Roman"/>
              </w:rPr>
            </w:pPr>
            <w:r>
              <w:rPr>
                <w:rFonts w:ascii="Calibri" w:hAnsi="Calibri" w:cs="Times New Roman"/>
              </w:rPr>
              <w:t>C</w:t>
            </w:r>
            <w:r>
              <w:rPr>
                <w:rFonts w:ascii="Calibri" w:hAnsi="Calibri" w:cs="FranklinGothic-Condensed"/>
              </w:rPr>
              <w:t>hronic effects of an extract of Brahmi (Bacopa monniera) on cognitive on human memory</w:t>
            </w: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Name of the Sponsor/Company</w:t>
            </w:r>
          </w:p>
        </w:tc>
        <w:tc>
          <w:tcPr>
            <w:tcW w:w="8820" w:type="dxa"/>
          </w:tcPr>
          <w:p w:rsidR="00ED74AA" w:rsidRPr="00ED74AA" w:rsidRDefault="00ED74AA" w:rsidP="00ED74AA">
            <w:pPr>
              <w:rPr>
                <w:rFonts w:ascii="Calibri" w:hAnsi="Calibri" w:cs="Times New Roman"/>
              </w:rPr>
            </w:pPr>
            <w:r>
              <w:rPr>
                <w:rFonts w:ascii="Calibri" w:hAnsi="Calibri" w:cs="Times New Roman"/>
              </w:rPr>
              <w:t>Mindwise Pty Ltd</w:t>
            </w: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Name of the Finished Product</w:t>
            </w:r>
          </w:p>
        </w:tc>
        <w:tc>
          <w:tcPr>
            <w:tcW w:w="8820" w:type="dxa"/>
          </w:tcPr>
          <w:p w:rsidR="00ED74AA" w:rsidRPr="00ED74AA" w:rsidRDefault="00ED74AA" w:rsidP="00ED74AA">
            <w:pPr>
              <w:rPr>
                <w:rFonts w:ascii="Calibri" w:hAnsi="Calibri" w:cs="Times New Roman"/>
              </w:rPr>
            </w:pPr>
            <w:r>
              <w:rPr>
                <w:rFonts w:ascii="Calibri" w:hAnsi="Calibri" w:cs="Times New Roman"/>
              </w:rPr>
              <w:t>Mindwise</w:t>
            </w: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Name of the Active Ingredients</w:t>
            </w:r>
          </w:p>
        </w:tc>
        <w:tc>
          <w:tcPr>
            <w:tcW w:w="8820" w:type="dxa"/>
          </w:tcPr>
          <w:p w:rsidR="00ED74AA" w:rsidRPr="00ED74AA" w:rsidRDefault="00ED74AA" w:rsidP="00ED74AA">
            <w:pPr>
              <w:rPr>
                <w:rFonts w:ascii="Calibri" w:hAnsi="Calibri" w:cs="Times New Roman"/>
              </w:rPr>
            </w:pPr>
            <w:r>
              <w:rPr>
                <w:rFonts w:ascii="Calibri" w:hAnsi="Calibri" w:cs="Times New Roman"/>
              </w:rPr>
              <w:t>Bacoside A &amp; B (no less than 55% of combined bacosides)</w:t>
            </w: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Study Design</w:t>
            </w:r>
          </w:p>
        </w:tc>
        <w:tc>
          <w:tcPr>
            <w:tcW w:w="8820" w:type="dxa"/>
          </w:tcPr>
          <w:p w:rsidR="00ED74AA" w:rsidRPr="00ED74AA" w:rsidRDefault="00ED74AA" w:rsidP="00ED74AA">
            <w:pPr>
              <w:autoSpaceDE w:val="0"/>
              <w:autoSpaceDN w:val="0"/>
              <w:adjustRightInd w:val="0"/>
              <w:rPr>
                <w:rFonts w:ascii="Calibri" w:hAnsi="Calibri" w:cs="Times New Roman"/>
              </w:rPr>
            </w:pPr>
            <w:r>
              <w:rPr>
                <w:rFonts w:ascii="Calibri" w:hAnsi="Calibri" w:cs="Times New Roman"/>
              </w:rPr>
              <w:t>Double blind placebo-controlled trial.</w:t>
            </w:r>
          </w:p>
          <w:p w:rsidR="00ED74AA" w:rsidRPr="00ED74AA" w:rsidRDefault="00ED74AA" w:rsidP="00ED74AA">
            <w:pPr>
              <w:autoSpaceDE w:val="0"/>
              <w:autoSpaceDN w:val="0"/>
              <w:adjustRightInd w:val="0"/>
              <w:rPr>
                <w:rFonts w:ascii="Calibri" w:hAnsi="Calibri" w:cs="Times New Roman"/>
              </w:rPr>
            </w:pPr>
            <w:r>
              <w:rPr>
                <w:rFonts w:ascii="Calibri" w:hAnsi="Calibri" w:cs="Times New Roman"/>
              </w:rPr>
              <w:t>Participants were randomly allocated to one of two treatment conditions:</w:t>
            </w:r>
          </w:p>
          <w:p w:rsidR="00ED74AA" w:rsidRPr="00ED74AA" w:rsidRDefault="00ED74AA" w:rsidP="00ED74AA">
            <w:pPr>
              <w:numPr>
                <w:ilvl w:val="0"/>
                <w:numId w:val="14"/>
              </w:numPr>
              <w:tabs>
                <w:tab w:val="left" w:pos="32"/>
                <w:tab w:val="left" w:pos="820"/>
              </w:tabs>
              <w:autoSpaceDE w:val="0"/>
              <w:autoSpaceDN w:val="0"/>
              <w:adjustRightInd w:val="0"/>
              <w:contextualSpacing/>
              <w:jc w:val="both"/>
              <w:rPr>
                <w:rFonts w:ascii="Calibri" w:hAnsi="Calibri" w:cs="Times New Roman"/>
              </w:rPr>
            </w:pPr>
            <w:r>
              <w:rPr>
                <w:rFonts w:ascii="Calibri" w:hAnsi="Calibri" w:cs="Times New Roman"/>
              </w:rPr>
              <w:t>Mindwise B. monniera extract (Mindwise) group (n=37; 300 mg per day per persons under 90 kg and 450 mg per persons over 90 kg)</w:t>
            </w:r>
          </w:p>
          <w:p w:rsidR="00ED74AA" w:rsidRPr="00ED74AA" w:rsidRDefault="00ED74AA" w:rsidP="00ED74AA">
            <w:pPr>
              <w:numPr>
                <w:ilvl w:val="0"/>
                <w:numId w:val="14"/>
              </w:numPr>
              <w:tabs>
                <w:tab w:val="left" w:pos="32"/>
              </w:tabs>
              <w:contextualSpacing/>
              <w:jc w:val="both"/>
              <w:rPr>
                <w:rFonts w:ascii="Calibri" w:hAnsi="Calibri" w:cs="Times New Roman"/>
              </w:rPr>
            </w:pPr>
            <w:r>
              <w:rPr>
                <w:rFonts w:ascii="Calibri" w:hAnsi="Calibri" w:cs="Times New Roman"/>
              </w:rPr>
              <w:t>Placebo group (n=39), Identical capsules in shape, colour, smell, taste and weight.</w:t>
            </w: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Investigators</w:t>
            </w:r>
          </w:p>
        </w:tc>
        <w:tc>
          <w:tcPr>
            <w:tcW w:w="8820" w:type="dxa"/>
          </w:tcPr>
          <w:p w:rsidR="00ED74AA" w:rsidRPr="00ED74AA" w:rsidRDefault="00ED74AA" w:rsidP="00ED74AA">
            <w:pPr>
              <w:autoSpaceDE w:val="0"/>
              <w:autoSpaceDN w:val="0"/>
              <w:adjustRightInd w:val="0"/>
              <w:spacing w:line="360" w:lineRule="auto"/>
              <w:rPr>
                <w:rFonts w:ascii="Calibri" w:hAnsi="Calibri" w:cs="Times New Roman"/>
                <w:bCs/>
              </w:rPr>
            </w:pPr>
            <w:r>
              <w:rPr>
                <w:rFonts w:ascii="Calibri" w:hAnsi="Calibri" w:cs="Times New Roman"/>
                <w:bCs/>
              </w:rPr>
              <w:t>S Roodenrys, D Booth, S Bulzomi, A Phipps, C Micallef, J Smoker</w:t>
            </w:r>
          </w:p>
          <w:p w:rsidR="00ED74AA" w:rsidRPr="00ED74AA" w:rsidRDefault="00ED74AA" w:rsidP="00ED74AA">
            <w:pPr>
              <w:rPr>
                <w:rFonts w:ascii="Calibri" w:hAnsi="Calibri" w:cs="Times New Roman"/>
              </w:rPr>
            </w:pP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Study Centers</w:t>
            </w:r>
          </w:p>
        </w:tc>
        <w:tc>
          <w:tcPr>
            <w:tcW w:w="8820" w:type="dxa"/>
          </w:tcPr>
          <w:p w:rsidR="00ED74AA" w:rsidRPr="00ED74AA" w:rsidRDefault="00ED74AA" w:rsidP="00ED74AA">
            <w:pPr>
              <w:autoSpaceDE w:val="0"/>
              <w:autoSpaceDN w:val="0"/>
              <w:adjustRightInd w:val="0"/>
              <w:spacing w:line="360" w:lineRule="auto"/>
              <w:rPr>
                <w:rFonts w:ascii="Calibri" w:hAnsi="Calibri" w:cs="Times New Roman"/>
              </w:rPr>
            </w:pPr>
            <w:r>
              <w:rPr>
                <w:rFonts w:ascii="Calibri" w:hAnsi="Calibri" w:cs="Times New Roman"/>
                <w:bCs/>
              </w:rPr>
              <w:t xml:space="preserve">Department of Psychology, University of Wollongong, Northfields Avenue, Wollongong 2522, Australia </w:t>
            </w:r>
          </w:p>
          <w:p w:rsidR="00ED74AA" w:rsidRPr="00ED74AA" w:rsidRDefault="00ED74AA" w:rsidP="00ED74AA">
            <w:pPr>
              <w:rPr>
                <w:rFonts w:ascii="Calibri" w:hAnsi="Calibri" w:cs="Times New Roman"/>
              </w:rPr>
            </w:pP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Phase of Development</w:t>
            </w:r>
          </w:p>
        </w:tc>
        <w:tc>
          <w:tcPr>
            <w:tcW w:w="8820" w:type="dxa"/>
          </w:tcPr>
          <w:p w:rsidR="00ED74AA" w:rsidRPr="00ED74AA" w:rsidRDefault="00B511AF" w:rsidP="00ED74AA">
            <w:pPr>
              <w:rPr>
                <w:rFonts w:ascii="Calibri" w:hAnsi="Calibri" w:cs="Times New Roman"/>
              </w:rPr>
            </w:pPr>
            <w:r>
              <w:rPr>
                <w:rFonts w:ascii="Calibri" w:hAnsi="Calibri" w:cs="Times New Roman"/>
              </w:rPr>
              <w:t>N/A</w:t>
            </w: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Primary Objective</w:t>
            </w:r>
          </w:p>
        </w:tc>
        <w:tc>
          <w:tcPr>
            <w:tcW w:w="8820" w:type="dxa"/>
          </w:tcPr>
          <w:p w:rsidR="00ED74AA" w:rsidRPr="00ED74AA" w:rsidRDefault="00ED74AA" w:rsidP="00ED74AA">
            <w:pPr>
              <w:autoSpaceDE w:val="0"/>
              <w:autoSpaceDN w:val="0"/>
              <w:adjustRightInd w:val="0"/>
              <w:rPr>
                <w:rFonts w:ascii="Calibri" w:hAnsi="Calibri" w:cs="Times New Roman"/>
              </w:rPr>
            </w:pPr>
            <w:r>
              <w:rPr>
                <w:rFonts w:ascii="Calibri" w:hAnsi="Calibri" w:cs="Times New Roman"/>
              </w:rPr>
              <w:t>To examine the effects of an extract of B. monniera on cognitive function in healthy human subjects (40 to 65 years old).</w:t>
            </w: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Number of Patients</w:t>
            </w:r>
          </w:p>
        </w:tc>
        <w:tc>
          <w:tcPr>
            <w:tcW w:w="8820" w:type="dxa"/>
          </w:tcPr>
          <w:p w:rsidR="00ED74AA" w:rsidRPr="00ED74AA" w:rsidRDefault="00ED74AA" w:rsidP="00ED74AA">
            <w:pPr>
              <w:rPr>
                <w:rFonts w:ascii="Calibri" w:hAnsi="Calibri" w:cs="Times New Roman"/>
              </w:rPr>
            </w:pPr>
            <w:r>
              <w:rPr>
                <w:rFonts w:ascii="Calibri" w:hAnsi="Calibri" w:cs="Times New Roman"/>
              </w:rPr>
              <w:t>76 healthy volunteers</w:t>
            </w: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Inclusion Criteria</w:t>
            </w:r>
          </w:p>
        </w:tc>
        <w:tc>
          <w:tcPr>
            <w:tcW w:w="8820" w:type="dxa"/>
          </w:tcPr>
          <w:p w:rsidR="00ED74AA" w:rsidRPr="00ED74AA" w:rsidRDefault="00ED74AA" w:rsidP="00ED74AA">
            <w:pPr>
              <w:numPr>
                <w:ilvl w:val="0"/>
                <w:numId w:val="11"/>
              </w:numPr>
              <w:contextualSpacing/>
              <w:rPr>
                <w:rFonts w:ascii="Calibri" w:hAnsi="Calibri" w:cs="Times New Roman"/>
              </w:rPr>
            </w:pPr>
            <w:r>
              <w:rPr>
                <w:rFonts w:ascii="Calibri" w:hAnsi="Calibri" w:cs="Times New Roman"/>
              </w:rPr>
              <w:t>Male and female in the age group of 40-65 years</w:t>
            </w:r>
          </w:p>
          <w:p w:rsidR="00ED74AA" w:rsidRPr="00ED74AA" w:rsidRDefault="00ED74AA" w:rsidP="00ED74AA">
            <w:pPr>
              <w:numPr>
                <w:ilvl w:val="0"/>
                <w:numId w:val="11"/>
              </w:numPr>
              <w:contextualSpacing/>
              <w:rPr>
                <w:rFonts w:ascii="Calibri" w:hAnsi="Calibri" w:cs="Times New Roman"/>
              </w:rPr>
            </w:pPr>
            <w:r>
              <w:rPr>
                <w:rFonts w:ascii="Calibri" w:hAnsi="Calibri" w:cs="Times New Roman"/>
              </w:rPr>
              <w:t>Healthy</w:t>
            </w:r>
          </w:p>
          <w:p w:rsidR="00ED74AA" w:rsidRPr="00ED74AA" w:rsidRDefault="00ED74AA" w:rsidP="00ED74AA">
            <w:pPr>
              <w:numPr>
                <w:ilvl w:val="0"/>
                <w:numId w:val="11"/>
              </w:numPr>
              <w:contextualSpacing/>
              <w:rPr>
                <w:rFonts w:ascii="Calibri" w:hAnsi="Calibri" w:cs="Times New Roman"/>
              </w:rPr>
            </w:pPr>
            <w:r>
              <w:rPr>
                <w:rFonts w:ascii="Calibri" w:hAnsi="Calibri" w:cs="Times New Roman"/>
              </w:rPr>
              <w:t>Subjects willing to give written informed consent</w:t>
            </w: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Exclusion Criteria</w:t>
            </w:r>
          </w:p>
        </w:tc>
        <w:tc>
          <w:tcPr>
            <w:tcW w:w="8820" w:type="dxa"/>
          </w:tcPr>
          <w:p w:rsidR="00ED74AA" w:rsidRPr="00ED74AA" w:rsidRDefault="00ED74AA" w:rsidP="00ED74AA">
            <w:pPr>
              <w:numPr>
                <w:ilvl w:val="0"/>
                <w:numId w:val="12"/>
              </w:numPr>
              <w:contextualSpacing/>
              <w:rPr>
                <w:rFonts w:ascii="Calibri" w:hAnsi="Calibri" w:cs="Times New Roman"/>
              </w:rPr>
            </w:pPr>
            <w:r>
              <w:rPr>
                <w:rFonts w:ascii="Calibri" w:hAnsi="Calibri" w:cs="Times New Roman"/>
              </w:rPr>
              <w:t>Taking any medications or other herbal preparation</w:t>
            </w:r>
          </w:p>
          <w:p w:rsidR="00ED74AA" w:rsidRPr="00ED74AA" w:rsidRDefault="00ED74AA" w:rsidP="00ED74AA">
            <w:pPr>
              <w:numPr>
                <w:ilvl w:val="0"/>
                <w:numId w:val="12"/>
              </w:numPr>
              <w:contextualSpacing/>
              <w:rPr>
                <w:rFonts w:ascii="Calibri" w:hAnsi="Calibri" w:cs="Times New Roman"/>
              </w:rPr>
            </w:pPr>
            <w:r>
              <w:rPr>
                <w:rFonts w:ascii="Calibri" w:hAnsi="Calibri" w:cs="Times New Roman"/>
              </w:rPr>
              <w:t xml:space="preserve">Head injuries </w:t>
            </w:r>
          </w:p>
          <w:p w:rsidR="00ED74AA" w:rsidRPr="00ED74AA" w:rsidRDefault="00ED74AA" w:rsidP="00ED74AA">
            <w:pPr>
              <w:ind w:left="360"/>
              <w:rPr>
                <w:rFonts w:ascii="Calibri" w:hAnsi="Calibri" w:cs="Times New Roman"/>
              </w:rPr>
            </w:pP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Test product and mode of administration</w:t>
            </w:r>
          </w:p>
        </w:tc>
        <w:tc>
          <w:tcPr>
            <w:tcW w:w="8820" w:type="dxa"/>
          </w:tcPr>
          <w:p w:rsidR="00ED74AA" w:rsidRPr="00ED74AA" w:rsidRDefault="00ED74AA" w:rsidP="00ED74AA">
            <w:pPr>
              <w:numPr>
                <w:ilvl w:val="0"/>
                <w:numId w:val="13"/>
              </w:numPr>
              <w:contextualSpacing/>
              <w:rPr>
                <w:rFonts w:ascii="Calibri" w:hAnsi="Calibri" w:cs="Times New Roman"/>
              </w:rPr>
            </w:pPr>
            <w:r>
              <w:rPr>
                <w:rFonts w:ascii="Calibri" w:hAnsi="Calibri" w:cs="Times New Roman"/>
              </w:rPr>
              <w:t xml:space="preserve">Standardized ethanolic Bacopa monniera extract (CDRI, Lucknow, India) for Bacosides A and B (no less than 55% of combined bacosides) was used. Daily dose contained 300 mg </w:t>
              <w:lastRenderedPageBreak/>
              <w:t>per persons under 90 kg and 450 mg per persons over 90 kg of Bacopa monniera extract (20:1) equivalent to 6 g and 9 g of dried rhizome, respectively.</w:t>
            </w:r>
          </w:p>
          <w:p w:rsidR="00ED74AA" w:rsidRPr="00ED74AA" w:rsidRDefault="00ED74AA" w:rsidP="00ED74AA">
            <w:pPr>
              <w:numPr>
                <w:ilvl w:val="0"/>
                <w:numId w:val="13"/>
              </w:numPr>
              <w:contextualSpacing/>
              <w:rPr>
                <w:rFonts w:ascii="Calibri" w:hAnsi="Calibri" w:cs="Times New Roman"/>
              </w:rPr>
            </w:pPr>
            <w:r>
              <w:rPr>
                <w:rFonts w:ascii="Calibri" w:hAnsi="Calibri" w:cs="Times New Roman"/>
              </w:rPr>
              <w:t>Oral intake of capsule a day for 6 weeks.</w:t>
            </w: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lastRenderedPageBreak/>
              <w:t>Estimated Duration of the Study</w:t>
            </w:r>
          </w:p>
        </w:tc>
        <w:tc>
          <w:tcPr>
            <w:tcW w:w="8820" w:type="dxa"/>
          </w:tcPr>
          <w:p w:rsidR="00ED74AA" w:rsidRPr="00ED74AA" w:rsidRDefault="00ED74AA" w:rsidP="00ED74AA">
            <w:pPr>
              <w:rPr>
                <w:rFonts w:ascii="Calibri" w:hAnsi="Calibri" w:cs="Times New Roman"/>
              </w:rPr>
            </w:pPr>
            <w:r>
              <w:rPr>
                <w:rFonts w:ascii="Calibri" w:hAnsi="Calibri" w:cs="Times New Roman"/>
              </w:rPr>
              <w:t>6 weeks; Follow-up trial after 3 months</w:t>
            </w: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Criteria for clinical evaluation</w:t>
            </w:r>
          </w:p>
          <w:p w:rsidR="00ED74AA" w:rsidRPr="00ED74AA" w:rsidRDefault="00ED74AA" w:rsidP="00ED74AA">
            <w:pPr>
              <w:rPr>
                <w:rFonts w:ascii="Calibri" w:hAnsi="Calibri" w:cs="Times New Roman"/>
                <w:b/>
              </w:rPr>
            </w:pPr>
          </w:p>
          <w:p w:rsidR="00ED74AA" w:rsidRPr="00ED74AA" w:rsidRDefault="00ED74AA" w:rsidP="00ED74AA">
            <w:pPr>
              <w:rPr>
                <w:rFonts w:ascii="Calibri" w:hAnsi="Calibri" w:cs="Times New Roman"/>
                <w:b/>
              </w:rPr>
            </w:pPr>
            <w:r>
              <w:rPr>
                <w:rFonts w:ascii="Calibri" w:hAnsi="Calibri" w:cs="Times New Roman"/>
                <w:b/>
              </w:rPr>
              <w:t>Efficacy evaluation</w:t>
            </w:r>
          </w:p>
        </w:tc>
        <w:tc>
          <w:tcPr>
            <w:tcW w:w="8820" w:type="dxa"/>
          </w:tcPr>
          <w:p w:rsidR="00ED74AA" w:rsidRPr="00ED74AA" w:rsidRDefault="00ED74AA" w:rsidP="00ED74AA">
            <w:pPr>
              <w:rPr>
                <w:rFonts w:ascii="Calibri" w:hAnsi="Calibri" w:cs="Times New Roman"/>
                <w:b/>
                <w:u w:val="single"/>
              </w:rPr>
            </w:pPr>
            <w:r>
              <w:rPr>
                <w:rFonts w:ascii="Calibri" w:hAnsi="Calibri" w:cs="Times New Roman"/>
                <w:b/>
                <w:u w:val="single"/>
              </w:rPr>
              <w:t>Clinical evaluation</w:t>
            </w:r>
          </w:p>
          <w:p w:rsidR="00ED74AA" w:rsidRPr="00ED74AA" w:rsidRDefault="00ED74AA" w:rsidP="00ED74AA">
            <w:pPr>
              <w:autoSpaceDE w:val="0"/>
              <w:autoSpaceDN w:val="0"/>
              <w:adjustRightInd w:val="0"/>
              <w:rPr>
                <w:rFonts w:ascii="Times New Roman" w:hAnsi="Times New Roman" w:cs="Times New Roman"/>
                <w:color w:val="000000"/>
                <w:sz w:val="18"/>
                <w:szCs w:val="18"/>
              </w:rPr>
            </w:pPr>
            <w:r>
              <w:rPr>
                <w:rFonts w:ascii="Calibri" w:hAnsi="Calibri" w:cs="Times New Roman"/>
                <w:color w:val="000000"/>
              </w:rPr>
              <w:t>Batteries of well-validated neuropsychological tests were employed to assess a wide range of cognitive variables including attention, a range of memory abilities, and psychological state.</w:t>
            </w:r>
          </w:p>
          <w:p w:rsidR="00ED74AA" w:rsidRPr="00ED74AA" w:rsidRDefault="00ED74AA" w:rsidP="00ED74AA">
            <w:pPr>
              <w:autoSpaceDE w:val="0"/>
              <w:autoSpaceDN w:val="0"/>
              <w:adjustRightInd w:val="0"/>
              <w:rPr>
                <w:rFonts w:ascii="Calibri" w:hAnsi="Calibri" w:cs="Times New Roman"/>
                <w:b/>
              </w:rPr>
            </w:pPr>
            <w:r>
              <w:rPr>
                <w:rFonts w:ascii="Calibri" w:hAnsi="Calibri" w:cs="Times New Roman"/>
                <w:b/>
              </w:rPr>
              <w:t>Neuropsychological Assessments comprised of:</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Memory questionnaire</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General knowledge</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Story recall</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Word pairs</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Digit span</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Visual span</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Coding</w:t>
            </w:r>
          </w:p>
          <w:p w:rsidR="00ED74AA" w:rsidRPr="00ED74AA" w:rsidRDefault="00ED74AA" w:rsidP="00ED74AA">
            <w:pPr>
              <w:numPr>
                <w:ilvl w:val="0"/>
                <w:numId w:val="15"/>
              </w:numPr>
              <w:autoSpaceDE w:val="0"/>
              <w:autoSpaceDN w:val="0"/>
              <w:adjustRightInd w:val="0"/>
              <w:contextualSpacing/>
              <w:rPr>
                <w:rFonts w:ascii="Calibri" w:hAnsi="Calibri" w:cs="Times New Roman"/>
              </w:rPr>
            </w:pPr>
            <w:r>
              <w:rPr>
                <w:rFonts w:ascii="Calibri" w:hAnsi="Calibri" w:cs="Times New Roman"/>
              </w:rPr>
              <w:t>The Depression, Anxiety and Stress Scale</w:t>
            </w:r>
          </w:p>
          <w:p w:rsidR="00ED74AA" w:rsidRPr="00ED74AA" w:rsidRDefault="00ED74AA" w:rsidP="00ED74AA">
            <w:pPr>
              <w:spacing w:line="360" w:lineRule="auto"/>
              <w:rPr>
                <w:rFonts w:ascii="Calibri" w:hAnsi="Calibri" w:cs="Times New Roman"/>
              </w:rPr>
            </w:pPr>
          </w:p>
          <w:p w:rsidR="00ED74AA" w:rsidRPr="00ED74AA" w:rsidRDefault="00ED74AA" w:rsidP="00ED74AA">
            <w:pPr>
              <w:spacing w:line="360" w:lineRule="auto"/>
              <w:rPr>
                <w:rFonts w:ascii="Calibri" w:hAnsi="Calibri" w:cs="Times New Roman"/>
                <w:b/>
              </w:rPr>
            </w:pPr>
            <w:r>
              <w:rPr>
                <w:rFonts w:ascii="Calibri" w:hAnsi="Calibri" w:cs="Times New Roman"/>
                <w:b/>
              </w:rPr>
              <w:t>3 months follow-up symptom analysis</w:t>
            </w:r>
          </w:p>
          <w:p w:rsidR="00ED74AA" w:rsidRPr="00ED74AA" w:rsidRDefault="00ED74AA" w:rsidP="00ED74AA">
            <w:pPr>
              <w:spacing w:line="360" w:lineRule="auto"/>
              <w:rPr>
                <w:rFonts w:ascii="Calibri" w:hAnsi="Calibri" w:cs="Times New Roman"/>
              </w:rPr>
            </w:pPr>
            <w:r>
              <w:rPr>
                <w:rFonts w:ascii="Calibri" w:hAnsi="Calibri" w:cs="Times New Roman"/>
              </w:rPr>
              <w:t>All of the above assessments were conducted after 3 months period.</w:t>
            </w: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Safety evaluation</w:t>
            </w:r>
          </w:p>
        </w:tc>
        <w:tc>
          <w:tcPr>
            <w:tcW w:w="8820" w:type="dxa"/>
          </w:tcPr>
          <w:p w:rsidR="00ED74AA" w:rsidRPr="00ED74AA" w:rsidRDefault="00ED74AA" w:rsidP="00ED74AA">
            <w:pPr>
              <w:spacing w:line="360" w:lineRule="auto"/>
              <w:rPr>
                <w:rFonts w:ascii="Calibri" w:hAnsi="Calibri" w:cs="Times New Roman"/>
              </w:rPr>
            </w:pPr>
            <w:r>
              <w:rPr>
                <w:rFonts w:ascii="Calibri" w:hAnsi="Calibri" w:cs="Times New Roman"/>
              </w:rPr>
              <w:t>In addition to clinical observations, extensive safety and toxicological studies have been done on Standardized Bacopa monniera extract by CDRI, Lucknow, India (1989, 1997). No systematic attempt was made to document any adverse reactions to the capsule.</w:t>
            </w:r>
          </w:p>
        </w:tc>
      </w:tr>
      <w:tr w:rsidR="00ED74AA" w:rsidRPr="00ED74AA" w:rsidTr="00FA5DD4">
        <w:tc>
          <w:tcPr>
            <w:tcW w:w="4788" w:type="dxa"/>
          </w:tcPr>
          <w:p w:rsidR="00ED74AA" w:rsidRPr="00ED74AA" w:rsidRDefault="00ED74AA" w:rsidP="00ED74AA">
            <w:pPr>
              <w:rPr>
                <w:rFonts w:ascii="Calibri" w:hAnsi="Calibri" w:cs="Times New Roman"/>
                <w:b/>
              </w:rPr>
            </w:pPr>
            <w:r>
              <w:rPr>
                <w:rFonts w:ascii="Calibri" w:hAnsi="Calibri" w:cs="Times New Roman"/>
                <w:b/>
              </w:rPr>
              <w:t>Summary and Conclusion</w:t>
            </w:r>
          </w:p>
        </w:tc>
        <w:tc>
          <w:tcPr>
            <w:tcW w:w="8820" w:type="dxa"/>
          </w:tcPr>
          <w:p w:rsidR="00ED74AA" w:rsidRPr="00ED74AA" w:rsidRDefault="00ED74AA" w:rsidP="00ED74AA">
            <w:pPr>
              <w:autoSpaceDE w:val="0"/>
              <w:autoSpaceDN w:val="0"/>
              <w:adjustRightInd w:val="0"/>
              <w:rPr>
                <w:rFonts w:ascii="Calibri" w:hAnsi="Calibri" w:cs="Times New Roman"/>
              </w:rPr>
            </w:pPr>
            <w:r>
              <w:rPr>
                <w:rFonts w:ascii="Calibri" w:hAnsi="Calibri" w:cs="Times New Roman"/>
              </w:rPr>
              <w:t>Mindwise B. monniera extract (300 mg) given chronically for:</w:t>
            </w:r>
          </w:p>
          <w:p w:rsidR="00ED74AA" w:rsidRPr="00ED74AA" w:rsidRDefault="00ED74AA" w:rsidP="00ED74AA">
            <w:pPr>
              <w:numPr>
                <w:ilvl w:val="0"/>
                <w:numId w:val="18"/>
              </w:numPr>
              <w:autoSpaceDE w:val="0"/>
              <w:autoSpaceDN w:val="0"/>
              <w:adjustRightInd w:val="0"/>
              <w:contextualSpacing/>
              <w:rPr>
                <w:rFonts w:ascii="Calibri" w:hAnsi="Calibri" w:cs="Times New Roman"/>
              </w:rPr>
            </w:pPr>
            <w:r>
              <w:rPr>
                <w:rFonts w:ascii="Calibri" w:hAnsi="Calibri" w:cs="Times New Roman"/>
              </w:rPr>
              <w:t>6 weeks significantly improved the retention of new information</w:t>
            </w:r>
          </w:p>
          <w:p w:rsidR="00ED74AA" w:rsidRPr="00ED74AA" w:rsidRDefault="00ED74AA" w:rsidP="00ED74AA">
            <w:pPr>
              <w:numPr>
                <w:ilvl w:val="0"/>
                <w:numId w:val="18"/>
              </w:numPr>
              <w:autoSpaceDE w:val="0"/>
              <w:autoSpaceDN w:val="0"/>
              <w:adjustRightInd w:val="0"/>
              <w:contextualSpacing/>
              <w:rPr>
                <w:rFonts w:ascii="Calibri" w:hAnsi="Calibri" w:cs="Times New Roman"/>
              </w:rPr>
            </w:pPr>
            <w:r>
              <w:rPr>
                <w:rFonts w:ascii="Calibri" w:hAnsi="Calibri" w:cs="Times New Roman"/>
              </w:rPr>
              <w:t>3 month follow-up tests demonstrated decreasing rate of forgetting of newly acquired information</w:t>
            </w:r>
          </w:p>
          <w:p w:rsidR="00ED74AA" w:rsidRPr="00ED74AA" w:rsidRDefault="00ED74AA" w:rsidP="00ED74AA">
            <w:pPr>
              <w:autoSpaceDE w:val="0"/>
              <w:autoSpaceDN w:val="0"/>
              <w:adjustRightInd w:val="0"/>
              <w:spacing w:line="360" w:lineRule="auto"/>
              <w:rPr>
                <w:rFonts w:ascii="Calibri" w:hAnsi="Calibri" w:cs="Times New Roman"/>
              </w:rPr>
            </w:pPr>
            <w:r>
              <w:rPr>
                <w:rFonts w:ascii="Calibri" w:hAnsi="Calibri" w:cs="Times New Roman"/>
              </w:rPr>
              <w:lastRenderedPageBreak/>
              <w:t>Tasks assessing attention, verbal and visual short-term memory and the retrieval of pre-experimental knowledge were unaffected.</w:t>
            </w:r>
          </w:p>
          <w:p w:rsidR="00ED74AA" w:rsidRPr="00ED74AA" w:rsidRDefault="00ED74AA" w:rsidP="00ED74AA">
            <w:pPr>
              <w:spacing w:line="360" w:lineRule="auto"/>
              <w:rPr>
                <w:rFonts w:ascii="Calibri" w:hAnsi="Calibri" w:cs="Times New Roman"/>
                <w:b/>
              </w:rPr>
            </w:pPr>
            <w:r>
              <w:rPr>
                <w:rFonts w:ascii="Calibri" w:hAnsi="Calibri" w:cs="Times New Roman"/>
                <w:b/>
              </w:rPr>
              <w:t>Commentary</w:t>
            </w:r>
          </w:p>
          <w:p w:rsidR="00ED74AA" w:rsidRPr="00ED74AA" w:rsidRDefault="00ED74AA" w:rsidP="00ED74AA">
            <w:pPr>
              <w:numPr>
                <w:ilvl w:val="0"/>
                <w:numId w:val="17"/>
              </w:numPr>
              <w:autoSpaceDE w:val="0"/>
              <w:autoSpaceDN w:val="0"/>
              <w:adjustRightInd w:val="0"/>
              <w:spacing w:line="360" w:lineRule="auto"/>
              <w:ind w:left="741" w:hanging="426"/>
              <w:contextualSpacing/>
              <w:rPr>
                <w:rFonts w:ascii="Calibri" w:hAnsi="Calibri" w:cs="TimesTen-Roman"/>
                <w:color w:val="231F20"/>
              </w:rPr>
            </w:pPr>
            <w:r>
              <w:rPr>
                <w:rFonts w:ascii="Calibri" w:hAnsi="Calibri" w:cs="TimesTen-Roman"/>
                <w:color w:val="231F20"/>
              </w:rPr>
              <w:t>The current findings only support the positive effects of Mindwise B. monniera extract on retention of new information and decreasing rate of forgetting of newly acquired information</w:t>
            </w:r>
          </w:p>
          <w:p w:rsidR="00ED74AA" w:rsidRPr="00ED74AA" w:rsidRDefault="00ED74AA" w:rsidP="00ED74AA">
            <w:pPr>
              <w:numPr>
                <w:ilvl w:val="0"/>
                <w:numId w:val="17"/>
              </w:numPr>
              <w:autoSpaceDE w:val="0"/>
              <w:autoSpaceDN w:val="0"/>
              <w:adjustRightInd w:val="0"/>
              <w:spacing w:line="360" w:lineRule="auto"/>
              <w:ind w:left="741" w:hanging="426"/>
              <w:contextualSpacing/>
              <w:rPr>
                <w:rFonts w:ascii="Calibri" w:hAnsi="Calibri" w:cs="TimesTen-Roman"/>
                <w:color w:val="231F20"/>
              </w:rPr>
            </w:pPr>
            <w:r>
              <w:rPr>
                <w:rFonts w:ascii="Calibri" w:hAnsi="Calibri" w:cs="TimesTen-Roman"/>
                <w:color w:val="231F20"/>
              </w:rPr>
              <w:t xml:space="preserve">Wide areas of neuropsychological assessments such as short-term memory, working memory, depression, anxiety, stress etc were unaffected. </w:t>
            </w:r>
          </w:p>
          <w:p w:rsidR="00ED74AA" w:rsidRPr="00ED74AA" w:rsidRDefault="00ED74AA" w:rsidP="00ED74AA">
            <w:pPr>
              <w:numPr>
                <w:ilvl w:val="0"/>
                <w:numId w:val="17"/>
              </w:numPr>
              <w:autoSpaceDE w:val="0"/>
              <w:autoSpaceDN w:val="0"/>
              <w:adjustRightInd w:val="0"/>
              <w:spacing w:line="360" w:lineRule="auto"/>
              <w:ind w:left="741" w:hanging="426"/>
              <w:contextualSpacing/>
              <w:rPr>
                <w:rFonts w:ascii="Calibri" w:hAnsi="Calibri" w:cs="TimesTen-Roman"/>
                <w:color w:val="231F20"/>
              </w:rPr>
            </w:pPr>
            <w:r>
              <w:rPr>
                <w:rFonts w:ascii="Calibri" w:hAnsi="Calibri" w:cs="TimesTen-Roman"/>
                <w:color w:val="231F20"/>
              </w:rPr>
              <w:t xml:space="preserve">These results may be due to the Type I error since the analyses were not adjusted for multiple measures. </w:t>
            </w:r>
          </w:p>
          <w:p w:rsidR="00ED74AA" w:rsidRPr="00ED74AA" w:rsidRDefault="00ED74AA" w:rsidP="00ED74AA">
            <w:pPr>
              <w:numPr>
                <w:ilvl w:val="0"/>
                <w:numId w:val="17"/>
              </w:numPr>
              <w:autoSpaceDE w:val="0"/>
              <w:autoSpaceDN w:val="0"/>
              <w:adjustRightInd w:val="0"/>
              <w:spacing w:line="360" w:lineRule="auto"/>
              <w:ind w:left="741" w:hanging="426"/>
              <w:contextualSpacing/>
              <w:rPr>
                <w:rFonts w:ascii="Calibri" w:hAnsi="Calibri" w:cs="Times New Roman"/>
              </w:rPr>
            </w:pPr>
            <w:r>
              <w:rPr>
                <w:rFonts w:ascii="Calibri" w:hAnsi="Calibri" w:cs="TimesTen-Roman"/>
                <w:color w:val="231F20"/>
              </w:rPr>
              <w:t xml:space="preserve">Also this trial hasn’t emphasized on adverse reactions to the treatment.   </w:t>
            </w:r>
          </w:p>
        </w:tc>
      </w:tr>
    </w:tbl>
    <w:p w:rsidR="00ED74AA" w:rsidRDefault="00ED74AA" w:rsidP="00074898"/>
    <w:p w:rsidR="00FA5DD4" w:rsidRDefault="00FA5DD4" w:rsidP="00FA5DD4">
      <w:pPr>
        <w:rPr>
          <w:rFonts w:asciiTheme="majorHAnsi" w:hAnsiTheme="majorHAnsi"/>
          <w:b/>
        </w:rPr>
      </w:pPr>
      <w:r>
        <w:rPr>
          <w:rFonts w:asciiTheme="majorHAnsi" w:hAnsiTheme="majorHAnsi"/>
          <w:b/>
        </w:rPr>
        <w:t>Study No. 3</w:t>
      </w:r>
    </w:p>
    <w:tbl>
      <w:tblPr>
        <w:tblStyle w:val="TableGrid3"/>
        <w:tblW w:w="0" w:type="auto"/>
        <w:tblLook w:val="04A0" w:firstRow="1" w:lastRow="0" w:firstColumn="1" w:lastColumn="0" w:noHBand="0" w:noVBand="1"/>
      </w:tblPr>
      <w:tblGrid>
        <w:gridCol w:w="4788"/>
        <w:gridCol w:w="8820"/>
      </w:tblGrid>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t>Title of the Study</w:t>
            </w:r>
          </w:p>
        </w:tc>
        <w:tc>
          <w:tcPr>
            <w:tcW w:w="8820" w:type="dxa"/>
          </w:tcPr>
          <w:p w:rsidR="00FA5DD4" w:rsidRPr="00FA5DD4" w:rsidRDefault="00FA5DD4" w:rsidP="00FA5DD4">
            <w:pPr>
              <w:rPr>
                <w:rFonts w:ascii="Calibri" w:hAnsi="Calibri" w:cs="Times New Roman"/>
              </w:rPr>
            </w:pPr>
            <w:r>
              <w:rPr>
                <w:rFonts w:ascii="Calibri" w:hAnsi="Calibri" w:cs="Times New Roman"/>
              </w:rPr>
              <w:t>Examining the Nootropic Effects of a special extract of Bacopa monniera on Human Cognitive Functioning: 90 day Double-Blind Placebo-Controlled Randomized Trial</w:t>
            </w: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t>Name of the Sponsor/Company</w:t>
            </w:r>
          </w:p>
        </w:tc>
        <w:tc>
          <w:tcPr>
            <w:tcW w:w="8820" w:type="dxa"/>
          </w:tcPr>
          <w:p w:rsidR="00FA5DD4" w:rsidRPr="00FA5DD4" w:rsidRDefault="00FA5DD4" w:rsidP="00FA5DD4">
            <w:pPr>
              <w:rPr>
                <w:rFonts w:ascii="Calibri" w:hAnsi="Calibri" w:cs="Times New Roman"/>
              </w:rPr>
            </w:pPr>
            <w:r>
              <w:rPr>
                <w:rFonts w:ascii="Calibri" w:hAnsi="Calibri" w:cs="Times New Roman"/>
              </w:rPr>
              <w:t>Keen Health Pty Ltd/Flordis Pty Ltd</w:t>
            </w: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t>Name of the Finished Product</w:t>
            </w:r>
          </w:p>
        </w:tc>
        <w:tc>
          <w:tcPr>
            <w:tcW w:w="8820" w:type="dxa"/>
          </w:tcPr>
          <w:p w:rsidR="00FA5DD4" w:rsidRPr="00FA5DD4" w:rsidRDefault="00FA5DD4" w:rsidP="00FA5DD4">
            <w:pPr>
              <w:rPr>
                <w:rFonts w:ascii="Calibri" w:hAnsi="Calibri" w:cs="Times New Roman"/>
              </w:rPr>
            </w:pPr>
            <w:r>
              <w:rPr>
                <w:rFonts w:ascii="Calibri" w:hAnsi="Calibri" w:cs="Times New Roman"/>
              </w:rPr>
              <w:t>Mindwise</w:t>
            </w: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t>Name of the Active Ingredients</w:t>
            </w:r>
          </w:p>
        </w:tc>
        <w:tc>
          <w:tcPr>
            <w:tcW w:w="8820" w:type="dxa"/>
          </w:tcPr>
          <w:p w:rsidR="00FA5DD4" w:rsidRPr="00FA5DD4" w:rsidRDefault="00FA5DD4" w:rsidP="00FA5DD4">
            <w:pPr>
              <w:rPr>
                <w:rFonts w:ascii="Calibri" w:hAnsi="Calibri" w:cs="Times New Roman"/>
              </w:rPr>
            </w:pPr>
            <w:r>
              <w:rPr>
                <w:rFonts w:ascii="Calibri" w:hAnsi="Calibri" w:cs="Times New Roman"/>
              </w:rPr>
              <w:t>Bacoside A &amp; B</w:t>
            </w: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t>Study Design</w:t>
            </w:r>
          </w:p>
        </w:tc>
        <w:tc>
          <w:tcPr>
            <w:tcW w:w="8820" w:type="dxa"/>
          </w:tcPr>
          <w:p w:rsidR="00FA5DD4" w:rsidRPr="00FA5DD4" w:rsidRDefault="00FA5DD4" w:rsidP="00FA5DD4">
            <w:pPr>
              <w:rPr>
                <w:rFonts w:ascii="Calibri" w:hAnsi="Calibri" w:cs="Times New Roman"/>
              </w:rPr>
            </w:pPr>
            <w:r>
              <w:rPr>
                <w:rFonts w:ascii="Calibri" w:hAnsi="Calibri" w:cs="Times New Roman"/>
              </w:rPr>
              <w:t>Double blind placebo-controlled trial. Computer generated randomization were done.</w:t>
            </w:r>
          </w:p>
          <w:p w:rsidR="00FA5DD4" w:rsidRPr="00FA5DD4" w:rsidRDefault="00FA5DD4" w:rsidP="00FA5DD4">
            <w:pPr>
              <w:numPr>
                <w:ilvl w:val="0"/>
                <w:numId w:val="19"/>
              </w:numPr>
              <w:contextualSpacing/>
              <w:rPr>
                <w:rFonts w:ascii="Calibri" w:hAnsi="Calibri" w:cs="Times New Roman"/>
              </w:rPr>
            </w:pPr>
            <w:r>
              <w:rPr>
                <w:rFonts w:ascii="Calibri" w:hAnsi="Calibri" w:cs="Times New Roman"/>
              </w:rPr>
              <w:t>Treatment Group: Mindwise Bacopa monniera extract (2X150 mg)</w:t>
            </w:r>
          </w:p>
          <w:p w:rsidR="00FA5DD4" w:rsidRPr="00FA5DD4" w:rsidRDefault="00FA5DD4" w:rsidP="00FA5DD4">
            <w:pPr>
              <w:numPr>
                <w:ilvl w:val="0"/>
                <w:numId w:val="19"/>
              </w:numPr>
              <w:contextualSpacing/>
              <w:rPr>
                <w:rFonts w:ascii="Calibri" w:hAnsi="Calibri" w:cs="Times New Roman"/>
              </w:rPr>
            </w:pPr>
            <w:r>
              <w:rPr>
                <w:rFonts w:ascii="Calibri" w:hAnsi="Calibri" w:cs="Times New Roman"/>
              </w:rPr>
              <w:t>Placebo Group: Identical capsules in shape, colour, smell, taste and weight</w:t>
            </w: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t>Investigators</w:t>
            </w:r>
          </w:p>
        </w:tc>
        <w:tc>
          <w:tcPr>
            <w:tcW w:w="8820" w:type="dxa"/>
          </w:tcPr>
          <w:p w:rsidR="00FA5DD4" w:rsidRPr="00FA5DD4" w:rsidRDefault="00FA5DD4" w:rsidP="00FA5DD4">
            <w:pPr>
              <w:rPr>
                <w:rFonts w:ascii="Calibri" w:hAnsi="Calibri" w:cs="Times New Roman"/>
              </w:rPr>
            </w:pPr>
            <w:r>
              <w:rPr>
                <w:rFonts w:ascii="Calibri" w:hAnsi="Calibri" w:cs="Times New Roman"/>
                <w:color w:val="231F20"/>
              </w:rPr>
              <w:t xml:space="preserve">Con </w:t>
            </w:r>
            <w:r>
              <w:rPr>
                <w:rFonts w:ascii="Calibri" w:hAnsi="Calibri" w:cs="Times New Roman"/>
                <w:color w:val="231F20"/>
                <w:spacing w:val="3"/>
              </w:rPr>
              <w:t xml:space="preserve"> </w:t>
            </w:r>
            <w:r>
              <w:rPr>
                <w:rFonts w:ascii="Calibri" w:hAnsi="Calibri" w:cs="Times New Roman"/>
                <w:color w:val="231F20"/>
              </w:rPr>
              <w:t>Stoug</w:t>
            </w:r>
            <w:r>
              <w:rPr>
                <w:rFonts w:ascii="Calibri" w:hAnsi="Calibri" w:cs="Times New Roman"/>
                <w:color w:val="231F20"/>
                <w:spacing w:val="-1"/>
              </w:rPr>
              <w:t>h</w:t>
            </w:r>
            <w:r>
              <w:rPr>
                <w:rFonts w:ascii="Calibri" w:hAnsi="Calibri" w:cs="Times New Roman"/>
                <w:color w:val="231F20"/>
              </w:rPr>
              <w:t xml:space="preserve">, </w:t>
            </w:r>
            <w:r>
              <w:rPr>
                <w:rFonts w:ascii="Calibri" w:hAnsi="Calibri" w:cs="Times New Roman"/>
                <w:color w:val="231F20"/>
                <w:spacing w:val="13"/>
              </w:rPr>
              <w:t xml:space="preserve"> </w:t>
            </w:r>
            <w:r>
              <w:rPr>
                <w:rFonts w:ascii="Calibri" w:hAnsi="Calibri" w:cs="Times New Roman"/>
                <w:color w:val="231F20"/>
              </w:rPr>
              <w:t xml:space="preserve">Luke </w:t>
            </w:r>
            <w:r>
              <w:rPr>
                <w:rFonts w:ascii="Calibri" w:hAnsi="Calibri" w:cs="Times New Roman"/>
                <w:color w:val="231F20"/>
                <w:spacing w:val="12"/>
              </w:rPr>
              <w:t xml:space="preserve"> </w:t>
            </w:r>
            <w:r>
              <w:rPr>
                <w:rFonts w:ascii="Calibri" w:hAnsi="Calibri" w:cs="Times New Roman"/>
                <w:color w:val="231F20"/>
              </w:rPr>
              <w:t>A.</w:t>
            </w:r>
            <w:r>
              <w:rPr>
                <w:rFonts w:ascii="Calibri" w:hAnsi="Calibri" w:cs="Times New Roman"/>
                <w:color w:val="231F20"/>
                <w:spacing w:val="43"/>
              </w:rPr>
              <w:t xml:space="preserve"> </w:t>
            </w:r>
            <w:r>
              <w:rPr>
                <w:rFonts w:ascii="Calibri" w:hAnsi="Calibri" w:cs="Times New Roman"/>
                <w:color w:val="231F20"/>
              </w:rPr>
              <w:t xml:space="preserve">Downey, </w:t>
            </w:r>
            <w:r>
              <w:rPr>
                <w:rFonts w:ascii="Calibri" w:hAnsi="Calibri" w:cs="Times New Roman"/>
                <w:color w:val="231F20"/>
                <w:spacing w:val="28"/>
              </w:rPr>
              <w:t xml:space="preserve"> </w:t>
            </w:r>
            <w:r>
              <w:rPr>
                <w:rFonts w:ascii="Calibri" w:hAnsi="Calibri" w:cs="Times New Roman"/>
                <w:color w:val="231F20"/>
              </w:rPr>
              <w:t xml:space="preserve">Jenny </w:t>
            </w:r>
            <w:r>
              <w:rPr>
                <w:rFonts w:ascii="Calibri" w:hAnsi="Calibri" w:cs="Times New Roman"/>
                <w:color w:val="231F20"/>
                <w:spacing w:val="22"/>
              </w:rPr>
              <w:t xml:space="preserve"> </w:t>
            </w:r>
            <w:r>
              <w:rPr>
                <w:rFonts w:ascii="Calibri" w:hAnsi="Calibri" w:cs="Times New Roman"/>
                <w:color w:val="231F20"/>
              </w:rPr>
              <w:t>Lloy</w:t>
            </w:r>
            <w:r>
              <w:rPr>
                <w:rFonts w:ascii="Calibri" w:hAnsi="Calibri" w:cs="Times New Roman"/>
                <w:color w:val="231F20"/>
                <w:spacing w:val="1"/>
              </w:rPr>
              <w:t>d</w:t>
            </w:r>
            <w:r>
              <w:rPr>
                <w:rFonts w:ascii="Calibri" w:hAnsi="Calibri" w:cs="Times New Roman"/>
                <w:color w:val="231F20"/>
              </w:rPr>
              <w:t xml:space="preserve">, </w:t>
            </w:r>
            <w:r>
              <w:rPr>
                <w:rFonts w:ascii="Calibri" w:hAnsi="Calibri" w:cs="Times New Roman"/>
                <w:color w:val="231F20"/>
                <w:spacing w:val="6"/>
              </w:rPr>
              <w:t xml:space="preserve"> </w:t>
            </w:r>
            <w:r>
              <w:rPr>
                <w:rFonts w:ascii="Calibri" w:hAnsi="Calibri" w:cs="Times New Roman"/>
                <w:color w:val="231F20"/>
              </w:rPr>
              <w:t xml:space="preserve">Beata </w:t>
            </w:r>
            <w:r>
              <w:rPr>
                <w:rFonts w:ascii="Calibri" w:hAnsi="Calibri" w:cs="Times New Roman"/>
                <w:color w:val="231F20"/>
                <w:spacing w:val="26"/>
              </w:rPr>
              <w:t xml:space="preserve"> </w:t>
            </w:r>
            <w:r>
              <w:rPr>
                <w:rFonts w:ascii="Calibri" w:hAnsi="Calibri" w:cs="Times New Roman"/>
                <w:color w:val="231F20"/>
              </w:rPr>
              <w:t>Silbe</w:t>
            </w:r>
            <w:r>
              <w:rPr>
                <w:rFonts w:ascii="Calibri" w:hAnsi="Calibri" w:cs="Times New Roman"/>
                <w:color w:val="231F20"/>
                <w:spacing w:val="-1"/>
              </w:rPr>
              <w:t>r</w:t>
            </w:r>
            <w:r>
              <w:rPr>
                <w:rFonts w:ascii="Calibri" w:hAnsi="Calibri" w:cs="Times New Roman"/>
                <w:color w:val="231F20"/>
              </w:rPr>
              <w:t xml:space="preserve">, </w:t>
            </w:r>
            <w:r>
              <w:rPr>
                <w:rFonts w:ascii="Calibri" w:hAnsi="Calibri" w:cs="Times New Roman"/>
                <w:color w:val="231F20"/>
                <w:spacing w:val="6"/>
              </w:rPr>
              <w:t xml:space="preserve"> </w:t>
            </w:r>
            <w:r>
              <w:rPr>
                <w:rFonts w:ascii="Calibri" w:hAnsi="Calibri" w:cs="Times New Roman"/>
                <w:color w:val="231F20"/>
                <w:w w:val="109"/>
              </w:rPr>
              <w:t>Stephanie</w:t>
            </w:r>
            <w:r>
              <w:rPr>
                <w:rFonts w:ascii="Calibri" w:hAnsi="Calibri" w:cs="Times New Roman"/>
                <w:color w:val="231F20"/>
                <w:spacing w:val="16"/>
                <w:w w:val="109"/>
              </w:rPr>
              <w:t xml:space="preserve"> </w:t>
            </w:r>
            <w:r>
              <w:rPr>
                <w:rFonts w:ascii="Calibri" w:hAnsi="Calibri" w:cs="Times New Roman"/>
                <w:color w:val="231F20"/>
                <w:w w:val="111"/>
              </w:rPr>
              <w:t>Redma</w:t>
            </w:r>
            <w:r>
              <w:rPr>
                <w:rFonts w:ascii="Calibri" w:hAnsi="Calibri" w:cs="Times New Roman"/>
                <w:color w:val="231F20"/>
                <w:spacing w:val="-1"/>
                <w:w w:val="111"/>
              </w:rPr>
              <w:t>n</w:t>
            </w:r>
            <w:r>
              <w:rPr>
                <w:rFonts w:ascii="Calibri" w:hAnsi="Calibri" w:cs="Times New Roman"/>
                <w:color w:val="231F20"/>
              </w:rPr>
              <w:t xml:space="preserve">, Chris  </w:t>
            </w:r>
            <w:r>
              <w:rPr>
                <w:rFonts w:ascii="Calibri" w:hAnsi="Calibri" w:cs="Times New Roman"/>
                <w:color w:val="231F20"/>
                <w:w w:val="108"/>
              </w:rPr>
              <w:t>Hutchiso</w:t>
            </w:r>
            <w:r>
              <w:rPr>
                <w:rFonts w:ascii="Calibri" w:hAnsi="Calibri" w:cs="Times New Roman"/>
                <w:color w:val="231F20"/>
                <w:spacing w:val="-1"/>
                <w:w w:val="108"/>
              </w:rPr>
              <w:t>n</w:t>
            </w:r>
            <w:r>
              <w:rPr>
                <w:rFonts w:ascii="Calibri" w:hAnsi="Calibri" w:cs="Times New Roman"/>
                <w:color w:val="231F20"/>
                <w:w w:val="108"/>
              </w:rPr>
              <w:t>,</w:t>
            </w:r>
            <w:r>
              <w:rPr>
                <w:rFonts w:ascii="Calibri" w:hAnsi="Calibri" w:cs="Times New Roman"/>
                <w:color w:val="231F20"/>
                <w:spacing w:val="19"/>
                <w:w w:val="108"/>
              </w:rPr>
              <w:t xml:space="preserve"> </w:t>
            </w:r>
            <w:r>
              <w:rPr>
                <w:rFonts w:ascii="Calibri" w:hAnsi="Calibri" w:cs="Times New Roman"/>
                <w:color w:val="231F20"/>
              </w:rPr>
              <w:t xml:space="preserve">Keith  </w:t>
            </w:r>
            <w:r>
              <w:rPr>
                <w:rFonts w:ascii="Calibri" w:hAnsi="Calibri" w:cs="Times New Roman"/>
                <w:color w:val="231F20"/>
                <w:w w:val="106"/>
              </w:rPr>
              <w:t>Wesnes</w:t>
            </w:r>
            <w:r>
              <w:rPr>
                <w:rFonts w:ascii="Calibri" w:hAnsi="Calibri" w:cs="Times New Roman"/>
                <w:color w:val="231F20"/>
                <w:w w:val="106"/>
                <w:position w:val="8"/>
              </w:rPr>
              <w:t xml:space="preserve"> </w:t>
            </w:r>
            <w:r>
              <w:rPr>
                <w:rFonts w:ascii="Calibri" w:hAnsi="Calibri" w:cs="Times New Roman"/>
                <w:color w:val="231F20"/>
                <w:spacing w:val="14"/>
                <w:w w:val="106"/>
                <w:position w:val="8"/>
              </w:rPr>
              <w:t xml:space="preserve"> </w:t>
            </w:r>
            <w:r>
              <w:rPr>
                <w:rFonts w:ascii="Calibri" w:hAnsi="Calibri" w:cs="Times New Roman"/>
                <w:color w:val="231F20"/>
              </w:rPr>
              <w:t xml:space="preserve">and </w:t>
            </w:r>
            <w:r>
              <w:rPr>
                <w:rFonts w:ascii="Calibri" w:hAnsi="Calibri" w:cs="Times New Roman"/>
                <w:color w:val="231F20"/>
                <w:spacing w:val="2"/>
              </w:rPr>
              <w:t xml:space="preserve"> </w:t>
            </w:r>
            <w:r>
              <w:rPr>
                <w:rFonts w:ascii="Calibri" w:hAnsi="Calibri" w:cs="Times New Roman"/>
                <w:color w:val="231F20"/>
                <w:w w:val="113"/>
              </w:rPr>
              <w:t>Pradeep</w:t>
            </w:r>
            <w:r>
              <w:rPr>
                <w:rFonts w:ascii="Calibri" w:hAnsi="Calibri" w:cs="Times New Roman"/>
                <w:color w:val="231F20"/>
                <w:spacing w:val="14"/>
                <w:w w:val="113"/>
              </w:rPr>
              <w:t xml:space="preserve"> </w:t>
            </w:r>
            <w:r>
              <w:rPr>
                <w:rFonts w:ascii="Calibri" w:hAnsi="Calibri" w:cs="Times New Roman"/>
                <w:color w:val="231F20"/>
              </w:rPr>
              <w:t>J.</w:t>
            </w:r>
            <w:r>
              <w:rPr>
                <w:rFonts w:ascii="Calibri" w:hAnsi="Calibri" w:cs="Times New Roman"/>
                <w:color w:val="231F20"/>
                <w:spacing w:val="44"/>
              </w:rPr>
              <w:t xml:space="preserve"> </w:t>
            </w:r>
            <w:r>
              <w:rPr>
                <w:rFonts w:ascii="Calibri" w:hAnsi="Calibri" w:cs="Times New Roman"/>
                <w:color w:val="231F20"/>
                <w:w w:val="111"/>
              </w:rPr>
              <w:t>Natha</w:t>
            </w:r>
            <w:r>
              <w:rPr>
                <w:rFonts w:ascii="Calibri" w:hAnsi="Calibri" w:cs="Times New Roman"/>
                <w:color w:val="231F20"/>
                <w:spacing w:val="-1"/>
                <w:w w:val="111"/>
              </w:rPr>
              <w:t>n</w:t>
            </w: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lastRenderedPageBreak/>
              <w:t>Study Centers</w:t>
            </w:r>
          </w:p>
        </w:tc>
        <w:tc>
          <w:tcPr>
            <w:tcW w:w="8820" w:type="dxa"/>
          </w:tcPr>
          <w:p w:rsidR="00FA5DD4" w:rsidRPr="00FA5DD4" w:rsidRDefault="00FA5DD4" w:rsidP="00FA5DD4">
            <w:pPr>
              <w:autoSpaceDE w:val="0"/>
              <w:autoSpaceDN w:val="0"/>
              <w:adjustRightInd w:val="0"/>
              <w:spacing w:line="360" w:lineRule="auto"/>
              <w:ind w:left="40" w:right="-20"/>
              <w:jc w:val="both"/>
              <w:rPr>
                <w:rFonts w:ascii="Calibri" w:hAnsi="Calibri" w:cs="Times New Roman"/>
                <w:color w:val="000000"/>
              </w:rPr>
            </w:pPr>
            <w:r>
              <w:rPr>
                <w:rFonts w:ascii="Calibri" w:hAnsi="Calibri" w:cs="Times New Roman"/>
                <w:color w:val="231F20"/>
                <w:position w:val="-1"/>
              </w:rPr>
              <w:t>Brain Sciences</w:t>
            </w:r>
            <w:r>
              <w:rPr>
                <w:rFonts w:ascii="Calibri" w:hAnsi="Calibri" w:cs="Times New Roman"/>
                <w:color w:val="231F20"/>
                <w:spacing w:val="36"/>
                <w:position w:val="-1"/>
              </w:rPr>
              <w:t xml:space="preserve"> </w:t>
            </w:r>
            <w:r>
              <w:rPr>
                <w:rFonts w:ascii="Calibri" w:hAnsi="Calibri" w:cs="Times New Roman"/>
                <w:color w:val="231F20"/>
                <w:w w:val="108"/>
                <w:position w:val="-1"/>
              </w:rPr>
              <w:t>Institute,</w:t>
            </w:r>
            <w:r>
              <w:rPr>
                <w:rFonts w:ascii="Calibri" w:hAnsi="Calibri" w:cs="Times New Roman"/>
                <w:color w:val="231F20"/>
                <w:spacing w:val="28"/>
                <w:w w:val="108"/>
                <w:position w:val="-1"/>
              </w:rPr>
              <w:t xml:space="preserve"> </w:t>
            </w:r>
            <w:r>
              <w:rPr>
                <w:rFonts w:ascii="Calibri" w:hAnsi="Calibri" w:cs="Times New Roman"/>
                <w:color w:val="231F20"/>
                <w:w w:val="108"/>
                <w:position w:val="-1"/>
              </w:rPr>
              <w:t>Swinburne</w:t>
            </w:r>
            <w:r>
              <w:rPr>
                <w:rFonts w:ascii="Calibri" w:hAnsi="Calibri" w:cs="Times New Roman"/>
                <w:color w:val="231F20"/>
                <w:spacing w:val="5"/>
                <w:w w:val="108"/>
                <w:position w:val="-1"/>
              </w:rPr>
              <w:t xml:space="preserve"> </w:t>
            </w:r>
            <w:r>
              <w:rPr>
                <w:rFonts w:ascii="Calibri" w:hAnsi="Calibri" w:cs="Times New Roman"/>
                <w:color w:val="231F20"/>
                <w:w w:val="108"/>
                <w:position w:val="-1"/>
              </w:rPr>
              <w:t>University,</w:t>
            </w:r>
            <w:r>
              <w:rPr>
                <w:rFonts w:ascii="Calibri" w:hAnsi="Calibri" w:cs="Times New Roman"/>
                <w:color w:val="231F20"/>
                <w:spacing w:val="5"/>
                <w:w w:val="108"/>
                <w:position w:val="-1"/>
              </w:rPr>
              <w:t xml:space="preserve"> </w:t>
            </w:r>
            <w:r>
              <w:rPr>
                <w:rFonts w:ascii="Calibri" w:hAnsi="Calibri" w:cs="Times New Roman"/>
                <w:color w:val="231F20"/>
                <w:position w:val="-1"/>
              </w:rPr>
              <w:t>P.O. Box</w:t>
            </w:r>
            <w:r>
              <w:rPr>
                <w:rFonts w:ascii="Calibri" w:hAnsi="Calibri" w:cs="Times New Roman"/>
                <w:color w:val="231F20"/>
                <w:spacing w:val="30"/>
                <w:position w:val="-1"/>
              </w:rPr>
              <w:t xml:space="preserve"> </w:t>
            </w:r>
            <w:r>
              <w:rPr>
                <w:rFonts w:ascii="Calibri" w:hAnsi="Calibri" w:cs="Times New Roman"/>
                <w:color w:val="231F20"/>
                <w:position w:val="-1"/>
              </w:rPr>
              <w:t xml:space="preserve">218 (H99), </w:t>
            </w:r>
            <w:r>
              <w:rPr>
                <w:rFonts w:ascii="Calibri" w:hAnsi="Calibri" w:cs="Times New Roman"/>
                <w:color w:val="231F20"/>
                <w:w w:val="110"/>
                <w:position w:val="-1"/>
              </w:rPr>
              <w:t>Hawthorn,</w:t>
            </w:r>
            <w:r>
              <w:rPr>
                <w:rFonts w:ascii="Calibri" w:hAnsi="Calibri" w:cs="Times New Roman"/>
                <w:color w:val="231F20"/>
                <w:spacing w:val="11"/>
                <w:w w:val="110"/>
                <w:position w:val="-1"/>
              </w:rPr>
              <w:t xml:space="preserve"> </w:t>
            </w:r>
            <w:r>
              <w:rPr>
                <w:rFonts w:ascii="Calibri" w:hAnsi="Calibri" w:cs="Times New Roman"/>
                <w:color w:val="231F20"/>
                <w:position w:val="-1"/>
              </w:rPr>
              <w:t xml:space="preserve">Victoria 3122, </w:t>
            </w:r>
            <w:r>
              <w:rPr>
                <w:rFonts w:ascii="Calibri" w:hAnsi="Calibri" w:cs="Times New Roman"/>
                <w:color w:val="231F20"/>
                <w:w w:val="110"/>
                <w:position w:val="-1"/>
              </w:rPr>
              <w:t>Australia</w:t>
            </w:r>
          </w:p>
          <w:p w:rsidR="00FA5DD4" w:rsidRPr="00FA5DD4" w:rsidRDefault="00FA5DD4" w:rsidP="00FA5DD4">
            <w:pPr>
              <w:rPr>
                <w:rFonts w:ascii="Calibri" w:hAnsi="Calibri" w:cs="Times New Roman"/>
              </w:rPr>
            </w:pP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t>Phase of Development</w:t>
            </w:r>
          </w:p>
        </w:tc>
        <w:tc>
          <w:tcPr>
            <w:tcW w:w="8820" w:type="dxa"/>
          </w:tcPr>
          <w:p w:rsidR="00FA5DD4" w:rsidRPr="00FA5DD4" w:rsidRDefault="00B511AF" w:rsidP="00FA5DD4">
            <w:pPr>
              <w:rPr>
                <w:rFonts w:ascii="Calibri" w:hAnsi="Calibri" w:cs="Times New Roman"/>
              </w:rPr>
            </w:pPr>
            <w:r>
              <w:rPr>
                <w:rFonts w:ascii="Calibri" w:hAnsi="Calibri" w:cs="Times New Roman"/>
              </w:rPr>
              <w:t>N/A</w:t>
            </w: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t>Primary Objective</w:t>
            </w:r>
          </w:p>
        </w:tc>
        <w:tc>
          <w:tcPr>
            <w:tcW w:w="8820" w:type="dxa"/>
          </w:tcPr>
          <w:p w:rsidR="00FA5DD4" w:rsidRPr="00FA5DD4" w:rsidRDefault="00FA5DD4" w:rsidP="00FA5DD4">
            <w:pPr>
              <w:rPr>
                <w:rFonts w:ascii="Calibri" w:hAnsi="Calibri" w:cs="Times New Roman"/>
              </w:rPr>
            </w:pPr>
            <w:r>
              <w:rPr>
                <w:rFonts w:ascii="Calibri" w:hAnsi="Calibri" w:cs="Times New Roman"/>
              </w:rPr>
              <w:t>To study the effect of chronic (90 days) dosage of Bacopa monniera (Mindwise) extract on mental performance in comparison with placebo in healthy participants</w:t>
            </w: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t>Number of Patients</w:t>
            </w:r>
          </w:p>
        </w:tc>
        <w:tc>
          <w:tcPr>
            <w:tcW w:w="8820" w:type="dxa"/>
          </w:tcPr>
          <w:p w:rsidR="00FA5DD4" w:rsidRPr="00FA5DD4" w:rsidRDefault="00FA5DD4" w:rsidP="00FA5DD4">
            <w:pPr>
              <w:rPr>
                <w:rFonts w:ascii="Calibri" w:hAnsi="Calibri" w:cs="Times New Roman"/>
              </w:rPr>
            </w:pPr>
            <w:r>
              <w:rPr>
                <w:rFonts w:ascii="Calibri" w:hAnsi="Calibri" w:cs="Times New Roman"/>
              </w:rPr>
              <w:t>170 healthy volunteers recruited, 62 completed</w:t>
            </w: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t>Inclusion Criteria</w:t>
            </w:r>
          </w:p>
        </w:tc>
        <w:tc>
          <w:tcPr>
            <w:tcW w:w="8820" w:type="dxa"/>
          </w:tcPr>
          <w:p w:rsidR="00FA5DD4" w:rsidRPr="00FA5DD4" w:rsidRDefault="00FA5DD4" w:rsidP="00FA5DD4">
            <w:pPr>
              <w:numPr>
                <w:ilvl w:val="0"/>
                <w:numId w:val="11"/>
              </w:numPr>
              <w:contextualSpacing/>
              <w:rPr>
                <w:rFonts w:ascii="Calibri" w:hAnsi="Calibri" w:cs="Times New Roman"/>
              </w:rPr>
            </w:pPr>
            <w:r>
              <w:rPr>
                <w:rFonts w:ascii="Calibri" w:hAnsi="Calibri" w:cs="Times New Roman"/>
              </w:rPr>
              <w:t>Male and female in the age group of 18-60 years</w:t>
            </w:r>
          </w:p>
          <w:p w:rsidR="00FA5DD4" w:rsidRPr="00FA5DD4" w:rsidRDefault="00FA5DD4" w:rsidP="00FA5DD4">
            <w:pPr>
              <w:numPr>
                <w:ilvl w:val="0"/>
                <w:numId w:val="11"/>
              </w:numPr>
              <w:contextualSpacing/>
              <w:rPr>
                <w:rFonts w:ascii="Calibri" w:hAnsi="Calibri" w:cs="Times New Roman"/>
              </w:rPr>
            </w:pPr>
            <w:r>
              <w:rPr>
                <w:rFonts w:ascii="Calibri" w:hAnsi="Calibri" w:cs="Times New Roman"/>
              </w:rPr>
              <w:t>Healthy</w:t>
            </w:r>
          </w:p>
          <w:p w:rsidR="00FA5DD4" w:rsidRPr="00FA5DD4" w:rsidRDefault="00FA5DD4" w:rsidP="00FA5DD4">
            <w:pPr>
              <w:numPr>
                <w:ilvl w:val="0"/>
                <w:numId w:val="11"/>
              </w:numPr>
              <w:contextualSpacing/>
              <w:rPr>
                <w:rFonts w:ascii="Calibri" w:hAnsi="Calibri" w:cs="Times New Roman"/>
              </w:rPr>
            </w:pPr>
            <w:r>
              <w:rPr>
                <w:rFonts w:ascii="Calibri" w:hAnsi="Calibri" w:cs="Times New Roman"/>
              </w:rPr>
              <w:t>Subjects willing to give written informed consent</w:t>
            </w: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t>Exclusion Criteria</w:t>
            </w:r>
          </w:p>
        </w:tc>
        <w:tc>
          <w:tcPr>
            <w:tcW w:w="8820" w:type="dxa"/>
          </w:tcPr>
          <w:p w:rsidR="00FA5DD4" w:rsidRPr="00FA5DD4" w:rsidRDefault="00FA5DD4" w:rsidP="00FA5DD4">
            <w:pPr>
              <w:numPr>
                <w:ilvl w:val="0"/>
                <w:numId w:val="12"/>
              </w:numPr>
              <w:contextualSpacing/>
              <w:rPr>
                <w:rFonts w:ascii="Calibri" w:hAnsi="Calibri" w:cs="Times New Roman"/>
              </w:rPr>
            </w:pPr>
            <w:r>
              <w:rPr>
                <w:rFonts w:ascii="Calibri" w:hAnsi="Calibri" w:cs="Times New Roman"/>
              </w:rPr>
              <w:t>History of Dementia; psychiatric disorders; neurological diseases; endocrine, gastrointestinal or bleeding disorders; chronic illness or infection; pregnant or lactating.</w:t>
            </w:r>
          </w:p>
          <w:p w:rsidR="00FA5DD4" w:rsidRPr="00FA5DD4" w:rsidRDefault="00FA5DD4" w:rsidP="00FA5DD4">
            <w:pPr>
              <w:numPr>
                <w:ilvl w:val="0"/>
                <w:numId w:val="12"/>
              </w:numPr>
              <w:contextualSpacing/>
              <w:rPr>
                <w:rFonts w:ascii="Calibri" w:hAnsi="Calibri" w:cs="Times New Roman"/>
              </w:rPr>
            </w:pPr>
            <w:r>
              <w:rPr>
                <w:rFonts w:ascii="Calibri" w:hAnsi="Calibri" w:cs="Times New Roman"/>
              </w:rPr>
              <w:t xml:space="preserve"> Taking following medications: anticoagulants, antidepressants, antipsychotics, anxiolytics, ACE inhibitors, anti-Parkinson’s or other cognitive enhancing drugs</w:t>
            </w:r>
          </w:p>
          <w:p w:rsidR="00FA5DD4" w:rsidRPr="00FA5DD4" w:rsidRDefault="00FA5DD4" w:rsidP="00FA5DD4">
            <w:pPr>
              <w:numPr>
                <w:ilvl w:val="0"/>
                <w:numId w:val="12"/>
              </w:numPr>
              <w:contextualSpacing/>
              <w:rPr>
                <w:rFonts w:ascii="Calibri" w:hAnsi="Calibri" w:cs="Times New Roman"/>
              </w:rPr>
            </w:pPr>
            <w:r>
              <w:rPr>
                <w:rFonts w:ascii="Calibri" w:hAnsi="Calibri" w:cs="Times New Roman"/>
              </w:rPr>
              <w:t>Non-smoker</w:t>
            </w: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t>Test product and mode of administration</w:t>
            </w:r>
          </w:p>
        </w:tc>
        <w:tc>
          <w:tcPr>
            <w:tcW w:w="8820" w:type="dxa"/>
          </w:tcPr>
          <w:p w:rsidR="00FA5DD4" w:rsidRPr="00FA5DD4" w:rsidRDefault="00FA5DD4" w:rsidP="00FA5DD4">
            <w:pPr>
              <w:numPr>
                <w:ilvl w:val="0"/>
                <w:numId w:val="13"/>
              </w:numPr>
              <w:contextualSpacing/>
              <w:rPr>
                <w:rFonts w:ascii="Calibri" w:hAnsi="Calibri" w:cs="Times New Roman"/>
              </w:rPr>
            </w:pPr>
            <w:r>
              <w:rPr>
                <w:rFonts w:ascii="Calibri" w:hAnsi="Calibri" w:cs="Times New Roman"/>
              </w:rPr>
              <w:t>Standardized Bacopa monniera extract (CDRI, Lucknow, India) for Bacosides A and B (no less than 55% of combined bacosides) was used. Each capsule contained 150 mg of Bacopa monniera extract (20:1) equivalent to 3 g of dried herb.</w:t>
            </w:r>
          </w:p>
          <w:p w:rsidR="00FA5DD4" w:rsidRPr="00FA5DD4" w:rsidRDefault="00FA5DD4" w:rsidP="00FA5DD4">
            <w:pPr>
              <w:numPr>
                <w:ilvl w:val="0"/>
                <w:numId w:val="13"/>
              </w:numPr>
              <w:contextualSpacing/>
              <w:rPr>
                <w:rFonts w:ascii="Calibri" w:hAnsi="Calibri" w:cs="Times New Roman"/>
              </w:rPr>
            </w:pPr>
            <w:r>
              <w:rPr>
                <w:rFonts w:ascii="Calibri" w:hAnsi="Calibri" w:cs="Times New Roman"/>
              </w:rPr>
              <w:t>Oral intake of two capsules a day for 90 days.</w:t>
            </w: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t>Estimated Duration of the Study</w:t>
            </w:r>
          </w:p>
        </w:tc>
        <w:tc>
          <w:tcPr>
            <w:tcW w:w="8820" w:type="dxa"/>
          </w:tcPr>
          <w:p w:rsidR="00FA5DD4" w:rsidRPr="00FA5DD4" w:rsidRDefault="00FA5DD4" w:rsidP="00FA5DD4">
            <w:pPr>
              <w:rPr>
                <w:rFonts w:ascii="Calibri" w:hAnsi="Calibri" w:cs="Times New Roman"/>
              </w:rPr>
            </w:pPr>
            <w:r>
              <w:rPr>
                <w:rFonts w:ascii="Calibri" w:hAnsi="Calibri" w:cs="Times New Roman"/>
              </w:rPr>
              <w:t>90 days</w:t>
            </w: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t>Criteria for clinical evaluation</w:t>
            </w:r>
          </w:p>
          <w:p w:rsidR="00FA5DD4" w:rsidRPr="00FA5DD4" w:rsidRDefault="00FA5DD4" w:rsidP="00FA5DD4">
            <w:pPr>
              <w:rPr>
                <w:rFonts w:ascii="Calibri" w:hAnsi="Calibri" w:cs="Times New Roman"/>
                <w:b/>
              </w:rPr>
            </w:pPr>
          </w:p>
          <w:p w:rsidR="00FA5DD4" w:rsidRPr="00FA5DD4" w:rsidRDefault="00FA5DD4" w:rsidP="00FA5DD4">
            <w:pPr>
              <w:rPr>
                <w:rFonts w:ascii="Calibri" w:hAnsi="Calibri" w:cs="Times New Roman"/>
                <w:b/>
              </w:rPr>
            </w:pPr>
            <w:r>
              <w:rPr>
                <w:rFonts w:ascii="Calibri" w:hAnsi="Calibri" w:cs="Times New Roman"/>
                <w:b/>
              </w:rPr>
              <w:t>Efficacy evaluation</w:t>
            </w:r>
          </w:p>
        </w:tc>
        <w:tc>
          <w:tcPr>
            <w:tcW w:w="8820" w:type="dxa"/>
          </w:tcPr>
          <w:p w:rsidR="00FA5DD4" w:rsidRPr="00FA5DD4" w:rsidRDefault="00FA5DD4" w:rsidP="00FA5DD4">
            <w:pPr>
              <w:rPr>
                <w:rFonts w:ascii="Calibri" w:hAnsi="Calibri" w:cs="Times New Roman"/>
                <w:b/>
                <w:u w:val="single"/>
              </w:rPr>
            </w:pPr>
            <w:r>
              <w:rPr>
                <w:rFonts w:ascii="Calibri" w:hAnsi="Calibri" w:cs="Times New Roman"/>
                <w:b/>
                <w:u w:val="single"/>
              </w:rPr>
              <w:t>Clinical evaluation</w:t>
            </w:r>
          </w:p>
          <w:p w:rsidR="00FA5DD4" w:rsidRPr="00FA5DD4" w:rsidRDefault="00FA5DD4" w:rsidP="00FA5DD4">
            <w:pPr>
              <w:spacing w:line="360" w:lineRule="auto"/>
              <w:rPr>
                <w:rFonts w:ascii="Calibri" w:hAnsi="Calibri" w:cs="Times New Roman"/>
              </w:rPr>
            </w:pPr>
            <w:r>
              <w:rPr>
                <w:rFonts w:ascii="Calibri" w:hAnsi="Calibri" w:cs="Times New Roman"/>
                <w:b/>
              </w:rPr>
              <w:t>Cognitive Drug Research (CDR)</w:t>
            </w:r>
            <w:r>
              <w:rPr>
                <w:rFonts w:ascii="Calibri" w:hAnsi="Calibri" w:cs="Times New Roman"/>
              </w:rPr>
              <w:t xml:space="preserve"> Computerised Assessment System was used to measure 5 cognitive factors: Secondary memory; Working memory; Speed of memory; Speed of attention; Accuracy of attention</w:t>
            </w:r>
          </w:p>
          <w:p w:rsidR="00FA5DD4" w:rsidRPr="00FA5DD4" w:rsidRDefault="00FA5DD4" w:rsidP="00FA5DD4">
            <w:pPr>
              <w:spacing w:line="360" w:lineRule="auto"/>
              <w:rPr>
                <w:rFonts w:ascii="Calibri" w:hAnsi="Calibri" w:cs="Times New Roman"/>
                <w:b/>
              </w:rPr>
            </w:pPr>
            <w:r>
              <w:rPr>
                <w:rFonts w:ascii="Calibri" w:hAnsi="Calibri" w:cs="Times New Roman"/>
                <w:b/>
              </w:rPr>
              <w:t>Neuropsychological Assessments:</w:t>
            </w:r>
          </w:p>
          <w:p w:rsidR="00FA5DD4" w:rsidRPr="00FA5DD4" w:rsidRDefault="00FA5DD4" w:rsidP="00FA5DD4">
            <w:pPr>
              <w:numPr>
                <w:ilvl w:val="0"/>
                <w:numId w:val="20"/>
              </w:numPr>
              <w:spacing w:line="360" w:lineRule="auto"/>
              <w:contextualSpacing/>
              <w:rPr>
                <w:rFonts w:ascii="Calibri" w:hAnsi="Calibri" w:cs="Times New Roman"/>
              </w:rPr>
            </w:pPr>
            <w:r>
              <w:rPr>
                <w:rFonts w:ascii="Calibri" w:hAnsi="Calibri" w:cs="Times New Roman"/>
              </w:rPr>
              <w:t>Word presentation</w:t>
            </w:r>
          </w:p>
          <w:p w:rsidR="00FA5DD4" w:rsidRPr="00FA5DD4" w:rsidRDefault="00FA5DD4" w:rsidP="00FA5DD4">
            <w:pPr>
              <w:numPr>
                <w:ilvl w:val="0"/>
                <w:numId w:val="20"/>
              </w:numPr>
              <w:spacing w:line="360" w:lineRule="auto"/>
              <w:contextualSpacing/>
              <w:rPr>
                <w:rFonts w:ascii="Calibri" w:hAnsi="Calibri" w:cs="Times New Roman"/>
              </w:rPr>
            </w:pPr>
            <w:r>
              <w:rPr>
                <w:rFonts w:ascii="Calibri" w:hAnsi="Calibri" w:cs="Times New Roman"/>
              </w:rPr>
              <w:lastRenderedPageBreak/>
              <w:t>Picture presentation</w:t>
            </w:r>
          </w:p>
          <w:p w:rsidR="00FA5DD4" w:rsidRPr="00FA5DD4" w:rsidRDefault="00FA5DD4" w:rsidP="00FA5DD4">
            <w:pPr>
              <w:numPr>
                <w:ilvl w:val="0"/>
                <w:numId w:val="20"/>
              </w:numPr>
              <w:spacing w:line="360" w:lineRule="auto"/>
              <w:contextualSpacing/>
              <w:rPr>
                <w:rFonts w:ascii="Calibri" w:hAnsi="Calibri" w:cs="Times New Roman"/>
              </w:rPr>
            </w:pPr>
            <w:r>
              <w:rPr>
                <w:rFonts w:ascii="Calibri" w:hAnsi="Calibri" w:cs="Times New Roman"/>
              </w:rPr>
              <w:t>Immediate word recognition</w:t>
            </w:r>
          </w:p>
          <w:p w:rsidR="00FA5DD4" w:rsidRPr="00FA5DD4" w:rsidRDefault="00FA5DD4" w:rsidP="00FA5DD4">
            <w:pPr>
              <w:numPr>
                <w:ilvl w:val="0"/>
                <w:numId w:val="20"/>
              </w:numPr>
              <w:spacing w:line="360" w:lineRule="auto"/>
              <w:contextualSpacing/>
              <w:rPr>
                <w:rFonts w:ascii="Calibri" w:hAnsi="Calibri" w:cs="Times New Roman"/>
              </w:rPr>
            </w:pPr>
            <w:r>
              <w:rPr>
                <w:rFonts w:ascii="Calibri" w:hAnsi="Calibri" w:cs="Times New Roman"/>
              </w:rPr>
              <w:t>Simple reaction time</w:t>
            </w:r>
          </w:p>
          <w:p w:rsidR="00FA5DD4" w:rsidRPr="00FA5DD4" w:rsidRDefault="00FA5DD4" w:rsidP="00FA5DD4">
            <w:pPr>
              <w:numPr>
                <w:ilvl w:val="0"/>
                <w:numId w:val="20"/>
              </w:numPr>
              <w:spacing w:line="360" w:lineRule="auto"/>
              <w:contextualSpacing/>
              <w:rPr>
                <w:rFonts w:ascii="Calibri" w:hAnsi="Calibri" w:cs="Times New Roman"/>
              </w:rPr>
            </w:pPr>
            <w:r>
              <w:rPr>
                <w:rFonts w:ascii="Calibri" w:hAnsi="Calibri" w:cs="Times New Roman"/>
              </w:rPr>
              <w:t>Digital vigilance</w:t>
            </w:r>
          </w:p>
          <w:p w:rsidR="00FA5DD4" w:rsidRPr="00FA5DD4" w:rsidRDefault="00FA5DD4" w:rsidP="00FA5DD4">
            <w:pPr>
              <w:numPr>
                <w:ilvl w:val="0"/>
                <w:numId w:val="20"/>
              </w:numPr>
              <w:spacing w:line="360" w:lineRule="auto"/>
              <w:contextualSpacing/>
              <w:rPr>
                <w:rFonts w:ascii="Calibri" w:hAnsi="Calibri" w:cs="Times New Roman"/>
              </w:rPr>
            </w:pPr>
            <w:r>
              <w:rPr>
                <w:rFonts w:ascii="Calibri" w:hAnsi="Calibri" w:cs="Times New Roman"/>
              </w:rPr>
              <w:t>Choice reaction time</w:t>
            </w:r>
          </w:p>
          <w:p w:rsidR="00FA5DD4" w:rsidRPr="00FA5DD4" w:rsidRDefault="00FA5DD4" w:rsidP="00FA5DD4">
            <w:pPr>
              <w:numPr>
                <w:ilvl w:val="0"/>
                <w:numId w:val="20"/>
              </w:numPr>
              <w:spacing w:line="360" w:lineRule="auto"/>
              <w:contextualSpacing/>
              <w:rPr>
                <w:rFonts w:ascii="Calibri" w:hAnsi="Calibri" w:cs="Times New Roman"/>
              </w:rPr>
            </w:pPr>
            <w:r>
              <w:rPr>
                <w:rFonts w:ascii="Calibri" w:hAnsi="Calibri" w:cs="Times New Roman"/>
              </w:rPr>
              <w:t>Spatial working memory</w:t>
            </w:r>
          </w:p>
          <w:p w:rsidR="00FA5DD4" w:rsidRPr="00FA5DD4" w:rsidRDefault="00FA5DD4" w:rsidP="00FA5DD4">
            <w:pPr>
              <w:numPr>
                <w:ilvl w:val="0"/>
                <w:numId w:val="20"/>
              </w:numPr>
              <w:spacing w:line="360" w:lineRule="auto"/>
              <w:contextualSpacing/>
              <w:rPr>
                <w:rFonts w:ascii="Calibri" w:hAnsi="Calibri" w:cs="Times New Roman"/>
              </w:rPr>
            </w:pPr>
            <w:r>
              <w:rPr>
                <w:rFonts w:ascii="Calibri" w:hAnsi="Calibri" w:cs="Times New Roman"/>
              </w:rPr>
              <w:t>Numeric working memory</w:t>
            </w:r>
          </w:p>
          <w:p w:rsidR="00FA5DD4" w:rsidRPr="00FA5DD4" w:rsidRDefault="00FA5DD4" w:rsidP="00FA5DD4">
            <w:pPr>
              <w:numPr>
                <w:ilvl w:val="0"/>
                <w:numId w:val="20"/>
              </w:numPr>
              <w:spacing w:line="360" w:lineRule="auto"/>
              <w:contextualSpacing/>
              <w:rPr>
                <w:rFonts w:ascii="Calibri" w:hAnsi="Calibri" w:cs="Times New Roman"/>
              </w:rPr>
            </w:pPr>
            <w:r>
              <w:rPr>
                <w:rFonts w:ascii="Calibri" w:hAnsi="Calibri" w:cs="Times New Roman"/>
              </w:rPr>
              <w:t>Delayed word recognition</w:t>
            </w:r>
          </w:p>
          <w:p w:rsidR="00FA5DD4" w:rsidRPr="00FA5DD4" w:rsidRDefault="00FA5DD4" w:rsidP="00FA5DD4">
            <w:pPr>
              <w:numPr>
                <w:ilvl w:val="0"/>
                <w:numId w:val="20"/>
              </w:numPr>
              <w:spacing w:line="360" w:lineRule="auto"/>
              <w:contextualSpacing/>
              <w:rPr>
                <w:rFonts w:ascii="Calibri" w:hAnsi="Calibri" w:cs="Times New Roman"/>
              </w:rPr>
            </w:pPr>
            <w:r>
              <w:rPr>
                <w:rFonts w:ascii="Calibri" w:hAnsi="Calibri" w:cs="Times New Roman"/>
              </w:rPr>
              <w:t>Delayed picture recognition</w:t>
            </w:r>
          </w:p>
          <w:p w:rsidR="00FA5DD4" w:rsidRPr="00FA5DD4" w:rsidRDefault="00FA5DD4" w:rsidP="00FA5DD4">
            <w:pPr>
              <w:numPr>
                <w:ilvl w:val="0"/>
                <w:numId w:val="20"/>
              </w:numPr>
              <w:spacing w:line="360" w:lineRule="auto"/>
              <w:contextualSpacing/>
              <w:rPr>
                <w:rFonts w:ascii="Calibri" w:hAnsi="Calibri" w:cs="Times New Roman"/>
              </w:rPr>
            </w:pPr>
            <w:r>
              <w:rPr>
                <w:rFonts w:ascii="Calibri" w:hAnsi="Calibri" w:cs="Times New Roman"/>
              </w:rPr>
              <w:t>Rapid visual information processing</w:t>
            </w:r>
          </w:p>
          <w:p w:rsidR="00FA5DD4" w:rsidRPr="00FA5DD4" w:rsidRDefault="00FA5DD4" w:rsidP="00FA5DD4">
            <w:pPr>
              <w:spacing w:line="360" w:lineRule="auto"/>
              <w:rPr>
                <w:rFonts w:ascii="Calibri" w:hAnsi="Calibri" w:cs="Times New Roman"/>
                <w:b/>
              </w:rPr>
            </w:pPr>
            <w:r>
              <w:rPr>
                <w:rFonts w:ascii="Calibri" w:hAnsi="Calibri" w:cs="Times New Roman"/>
                <w:b/>
              </w:rPr>
              <w:t>Weekly basis symptom analysis</w:t>
            </w:r>
          </w:p>
          <w:p w:rsidR="00FA5DD4" w:rsidRPr="00FA5DD4" w:rsidRDefault="00FA5DD4" w:rsidP="00FA5DD4">
            <w:pPr>
              <w:spacing w:line="360" w:lineRule="auto"/>
              <w:rPr>
                <w:rFonts w:ascii="Calibri" w:hAnsi="Calibri" w:cs="Times New Roman"/>
              </w:rPr>
            </w:pPr>
            <w:r>
              <w:rPr>
                <w:rFonts w:ascii="Calibri" w:hAnsi="Calibri" w:cs="Times New Roman"/>
              </w:rPr>
              <w:t>Both positive (such as feeling of increased energy, arousal and cognitive clarity) and negative (such as tiredness, fatigue, nausea, malaise, vomiting) symptoms were also recorded</w:t>
            </w: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lastRenderedPageBreak/>
              <w:t>Safety evaluation</w:t>
            </w:r>
          </w:p>
        </w:tc>
        <w:tc>
          <w:tcPr>
            <w:tcW w:w="8820" w:type="dxa"/>
          </w:tcPr>
          <w:p w:rsidR="00FA5DD4" w:rsidRPr="00FA5DD4" w:rsidRDefault="00FA5DD4" w:rsidP="00FA5DD4">
            <w:pPr>
              <w:spacing w:line="360" w:lineRule="auto"/>
              <w:rPr>
                <w:rFonts w:ascii="Calibri" w:hAnsi="Calibri" w:cs="Times New Roman"/>
              </w:rPr>
            </w:pPr>
            <w:r>
              <w:rPr>
                <w:rFonts w:ascii="Calibri" w:hAnsi="Calibri" w:cs="Times New Roman"/>
              </w:rPr>
              <w:t xml:space="preserve">In addition to clinical observations, extensive safety and toxicological studies have been done on Standardized Bacopa monniera extract by CDRI, Lucknow, India (1989, 1997). </w:t>
            </w:r>
          </w:p>
        </w:tc>
      </w:tr>
      <w:tr w:rsidR="00FA5DD4" w:rsidRPr="00FA5DD4" w:rsidTr="00FA5DD4">
        <w:tc>
          <w:tcPr>
            <w:tcW w:w="4788" w:type="dxa"/>
          </w:tcPr>
          <w:p w:rsidR="00FA5DD4" w:rsidRPr="00FA5DD4" w:rsidRDefault="00FA5DD4" w:rsidP="00FA5DD4">
            <w:pPr>
              <w:rPr>
                <w:rFonts w:ascii="Calibri" w:hAnsi="Calibri" w:cs="Times New Roman"/>
                <w:b/>
              </w:rPr>
            </w:pPr>
            <w:r>
              <w:rPr>
                <w:rFonts w:ascii="Calibri" w:hAnsi="Calibri" w:cs="Times New Roman"/>
                <w:b/>
              </w:rPr>
              <w:t>Summary and Conclusion</w:t>
            </w:r>
          </w:p>
        </w:tc>
        <w:tc>
          <w:tcPr>
            <w:tcW w:w="8820" w:type="dxa"/>
          </w:tcPr>
          <w:p w:rsidR="00FA5DD4" w:rsidRPr="00FA5DD4" w:rsidRDefault="00FA5DD4" w:rsidP="00FA5DD4">
            <w:pPr>
              <w:numPr>
                <w:ilvl w:val="0"/>
                <w:numId w:val="21"/>
              </w:numPr>
              <w:autoSpaceDE w:val="0"/>
              <w:autoSpaceDN w:val="0"/>
              <w:adjustRightInd w:val="0"/>
              <w:spacing w:line="360" w:lineRule="auto"/>
              <w:contextualSpacing/>
              <w:rPr>
                <w:rFonts w:ascii="Calibri" w:hAnsi="Calibri" w:cs="TimesTen-Bold"/>
                <w:bCs/>
                <w:color w:val="231F20"/>
              </w:rPr>
            </w:pPr>
            <w:r>
              <w:rPr>
                <w:rFonts w:ascii="Calibri" w:hAnsi="Calibri" w:cs="TimesTen-Bold"/>
                <w:bCs/>
                <w:color w:val="231F20"/>
              </w:rPr>
              <w:t xml:space="preserve">The </w:t>
            </w:r>
            <w:r>
              <w:rPr>
                <w:rFonts w:ascii="Calibri" w:hAnsi="Calibri" w:cs="Times New Roman"/>
              </w:rPr>
              <w:t xml:space="preserve">Standardized Bacopa monniera extract </w:t>
            </w:r>
            <w:r>
              <w:rPr>
                <w:rFonts w:ascii="Calibri" w:hAnsi="Calibri" w:cs="TimesTen-Bold"/>
                <w:bCs/>
                <w:color w:val="231F20"/>
              </w:rPr>
              <w:t>significantly improved performance on the ‘Working Memory’ factor, more specifically spatial working memory accuracy.</w:t>
            </w:r>
          </w:p>
          <w:p w:rsidR="00FA5DD4" w:rsidRPr="00FA5DD4" w:rsidRDefault="00FA5DD4" w:rsidP="00FA5DD4">
            <w:pPr>
              <w:numPr>
                <w:ilvl w:val="0"/>
                <w:numId w:val="21"/>
              </w:numPr>
              <w:spacing w:line="360" w:lineRule="auto"/>
              <w:contextualSpacing/>
              <w:rPr>
                <w:rFonts w:ascii="Calibri" w:hAnsi="Calibri" w:cs="Times New Roman"/>
              </w:rPr>
            </w:pPr>
            <w:r>
              <w:rPr>
                <w:rFonts w:ascii="Calibri" w:hAnsi="Calibri" w:cs="TimesTen-Bold"/>
                <w:bCs/>
                <w:color w:val="231F20"/>
              </w:rPr>
              <w:t xml:space="preserve">The number of false-positives recorded in the Rapid visual information processing task was also reduced for the </w:t>
            </w:r>
            <w:r>
              <w:rPr>
                <w:rFonts w:ascii="Calibri" w:hAnsi="Calibri" w:cs="Times New Roman"/>
              </w:rPr>
              <w:t>Standardized Bacopa monniera extract</w:t>
            </w:r>
            <w:r>
              <w:rPr>
                <w:rFonts w:ascii="Calibri" w:hAnsi="Calibri" w:cs="TimesTen-BoldItalic"/>
                <w:bCs/>
                <w:color w:val="231F20"/>
              </w:rPr>
              <w:t xml:space="preserve"> </w:t>
            </w:r>
            <w:r>
              <w:rPr>
                <w:rFonts w:ascii="Calibri" w:hAnsi="Calibri" w:cs="TimesTen-Bold"/>
                <w:bCs/>
                <w:color w:val="231F20"/>
              </w:rPr>
              <w:t>group following the 90 days treatment period.</w:t>
            </w:r>
          </w:p>
          <w:p w:rsidR="00FA5DD4" w:rsidRPr="00FA5DD4" w:rsidRDefault="00FA5DD4" w:rsidP="00FA5DD4">
            <w:pPr>
              <w:spacing w:line="360" w:lineRule="auto"/>
              <w:rPr>
                <w:rFonts w:ascii="Calibri" w:hAnsi="Calibri" w:cs="Times New Roman"/>
                <w:b/>
              </w:rPr>
            </w:pPr>
            <w:r>
              <w:rPr>
                <w:rFonts w:ascii="Calibri" w:hAnsi="Calibri" w:cs="Times New Roman"/>
                <w:b/>
              </w:rPr>
              <w:lastRenderedPageBreak/>
              <w:t>Commentary</w:t>
            </w:r>
          </w:p>
          <w:p w:rsidR="00FA5DD4" w:rsidRPr="00FA5DD4" w:rsidRDefault="00FA5DD4" w:rsidP="00FA5DD4">
            <w:pPr>
              <w:numPr>
                <w:ilvl w:val="0"/>
                <w:numId w:val="22"/>
              </w:numPr>
              <w:autoSpaceDE w:val="0"/>
              <w:autoSpaceDN w:val="0"/>
              <w:adjustRightInd w:val="0"/>
              <w:spacing w:line="360" w:lineRule="auto"/>
              <w:contextualSpacing/>
              <w:rPr>
                <w:rFonts w:ascii="Calibri" w:hAnsi="Calibri" w:cs="TimesTen-Roman"/>
                <w:color w:val="231F20"/>
              </w:rPr>
            </w:pPr>
            <w:r>
              <w:rPr>
                <w:rFonts w:ascii="Calibri" w:hAnsi="Calibri" w:cs="TimesTen-Roman"/>
                <w:color w:val="231F20"/>
              </w:rPr>
              <w:t xml:space="preserve">Although there were several tasks that were not significantly improved by the </w:t>
            </w:r>
            <w:r>
              <w:rPr>
                <w:rFonts w:ascii="Calibri" w:hAnsi="Calibri" w:cs="TimesTen-Italic"/>
                <w:color w:val="231F20"/>
              </w:rPr>
              <w:t xml:space="preserve">Bacopa monniera </w:t>
            </w:r>
            <w:r>
              <w:rPr>
                <w:rFonts w:ascii="Calibri" w:hAnsi="Calibri" w:cs="TimesTen-Roman"/>
                <w:color w:val="231F20"/>
              </w:rPr>
              <w:t>treatment, there was a positive tendency towards an improvement in cognitive functioning in areas of attention, working memory and psychomotor tasks (based on statistical analysis).</w:t>
            </w:r>
          </w:p>
          <w:p w:rsidR="00FA5DD4" w:rsidRPr="00FA5DD4" w:rsidRDefault="00FA5DD4" w:rsidP="00FA5DD4">
            <w:pPr>
              <w:numPr>
                <w:ilvl w:val="0"/>
                <w:numId w:val="22"/>
              </w:numPr>
              <w:autoSpaceDE w:val="0"/>
              <w:autoSpaceDN w:val="0"/>
              <w:adjustRightInd w:val="0"/>
              <w:spacing w:line="360" w:lineRule="auto"/>
              <w:contextualSpacing/>
              <w:rPr>
                <w:rFonts w:ascii="Calibri" w:hAnsi="Calibri" w:cs="Times New Roman"/>
              </w:rPr>
            </w:pPr>
            <w:r>
              <w:rPr>
                <w:rFonts w:ascii="Calibri" w:hAnsi="Calibri" w:cs="TimesTen-Roman"/>
                <w:color w:val="231F20"/>
              </w:rPr>
              <w:t xml:space="preserve">Additional larger sample sizes studies may be able to detect an improvement in a larger number of variables due to </w:t>
            </w:r>
            <w:r>
              <w:rPr>
                <w:rFonts w:ascii="Calibri" w:hAnsi="Calibri" w:cs="TimesTen-Italic"/>
                <w:color w:val="231F20"/>
              </w:rPr>
              <w:t xml:space="preserve">Bacopa monniera </w:t>
            </w:r>
            <w:r>
              <w:rPr>
                <w:rFonts w:ascii="Calibri" w:hAnsi="Calibri" w:cs="TimesTen-Roman"/>
                <w:color w:val="231F20"/>
              </w:rPr>
              <w:t>treatment.</w:t>
            </w:r>
          </w:p>
        </w:tc>
      </w:tr>
    </w:tbl>
    <w:p w:rsidR="00FA5DD4" w:rsidRPr="00ED74AA" w:rsidRDefault="00FA5DD4" w:rsidP="00FA5DD4">
      <w:pPr>
        <w:rPr>
          <w:rFonts w:asciiTheme="majorHAnsi" w:hAnsiTheme="majorHAnsi"/>
          <w:b/>
        </w:rPr>
      </w:pPr>
    </w:p>
    <w:p w:rsidR="00FA5DD4" w:rsidRDefault="00FA5DD4" w:rsidP="00074898"/>
    <w:p w:rsidR="006337B3" w:rsidRDefault="006337B3" w:rsidP="006337B3">
      <w:pPr>
        <w:pStyle w:val="Heading3"/>
        <w:rPr>
          <w:sz w:val="24"/>
          <w:szCs w:val="24"/>
        </w:rPr>
      </w:pPr>
      <w:r>
        <w:rPr>
          <w:sz w:val="24"/>
          <w:szCs w:val="24"/>
        </w:rPr>
        <w:t>Comparison and Analyses of Results Across Studies</w:t>
      </w:r>
    </w:p>
    <w:p w:rsidR="00FA5DD4" w:rsidRDefault="00FA5DD4" w:rsidP="00FA5DD4">
      <w:pPr>
        <w:rPr>
          <w:rFonts w:asciiTheme="majorHAnsi" w:hAnsiTheme="majorHAnsi"/>
          <w:b/>
        </w:rPr>
      </w:pPr>
    </w:p>
    <w:p w:rsidR="00FA5DD4" w:rsidRDefault="00FA5DD4" w:rsidP="00FA5DD4">
      <w:pPr>
        <w:rPr>
          <w:rFonts w:asciiTheme="majorHAnsi" w:hAnsiTheme="majorHAnsi"/>
          <w:b/>
        </w:rPr>
      </w:pPr>
      <w:r>
        <w:rPr>
          <w:rFonts w:asciiTheme="majorHAnsi" w:hAnsiTheme="majorHAnsi"/>
          <w:b/>
        </w:rPr>
        <w:t>Quality Rating and Conclusion based on Major Clinical Trials</w:t>
      </w:r>
    </w:p>
    <w:p w:rsidR="00F20A7D" w:rsidRDefault="00F20A7D" w:rsidP="00F20A7D">
      <w:pPr>
        <w:autoSpaceDE w:val="0"/>
        <w:autoSpaceDN w:val="0"/>
        <w:adjustRightInd w:val="0"/>
        <w:spacing w:after="0" w:line="360" w:lineRule="auto"/>
        <w:rPr>
          <w:rFonts w:cstheme="minorHAnsi"/>
          <w:sz w:val="24"/>
          <w:szCs w:val="24"/>
        </w:rPr>
      </w:pPr>
      <w:r>
        <w:rPr>
          <w:rFonts w:cstheme="minorHAnsi"/>
          <w:sz w:val="24"/>
          <w:szCs w:val="24"/>
        </w:rPr>
        <w:t xml:space="preserve">Based on the major clinical trials below it is evident that </w:t>
      </w:r>
      <w:r>
        <w:rPr>
          <w:rFonts w:cstheme="minorHAnsi"/>
          <w:i/>
          <w:sz w:val="24"/>
          <w:szCs w:val="24"/>
        </w:rPr>
        <w:t>Bacopa monnieri</w:t>
      </w:r>
      <w:r>
        <w:rPr>
          <w:rFonts w:cstheme="minorHAnsi"/>
          <w:sz w:val="24"/>
          <w:szCs w:val="24"/>
        </w:rPr>
        <w:t xml:space="preserve"> exact has demonstrated significant enhancement of overall cognitive performance in both healthy older and younger people. These effects include improvement of spatial and logical memory such as memory acquisition; recall and retention; and reduction of forgetting. All recent reviews also demonstrated that </w:t>
      </w:r>
      <w:r>
        <w:rPr>
          <w:rFonts w:cstheme="minorHAnsi"/>
          <w:i/>
          <w:sz w:val="24"/>
          <w:szCs w:val="24"/>
        </w:rPr>
        <w:t>Bacopa</w:t>
      </w:r>
      <w:r>
        <w:rPr>
          <w:rFonts w:cstheme="minorHAnsi"/>
          <w:sz w:val="24"/>
          <w:szCs w:val="24"/>
        </w:rPr>
        <w:t xml:space="preserve"> preferentially enhancing secondary memory (Review by Pase et al. 2011). Both these effects are evident at three months of daily administration, but not earlier.</w:t>
      </w:r>
    </w:p>
    <w:p w:rsidR="00B74D6D" w:rsidRDefault="00B74D6D" w:rsidP="00F20A7D">
      <w:pPr>
        <w:autoSpaceDE w:val="0"/>
        <w:autoSpaceDN w:val="0"/>
        <w:adjustRightInd w:val="0"/>
        <w:spacing w:after="0" w:line="360" w:lineRule="auto"/>
        <w:rPr>
          <w:rFonts w:cstheme="minorHAnsi"/>
          <w:sz w:val="24"/>
          <w:szCs w:val="24"/>
        </w:rPr>
      </w:pPr>
    </w:p>
    <w:p w:rsidR="00B74D6D" w:rsidRDefault="00B74D6D" w:rsidP="00F20A7D">
      <w:pPr>
        <w:autoSpaceDE w:val="0"/>
        <w:autoSpaceDN w:val="0"/>
        <w:adjustRightInd w:val="0"/>
        <w:spacing w:after="0" w:line="360" w:lineRule="auto"/>
        <w:rPr>
          <w:rFonts w:cstheme="minorHAnsi"/>
          <w:sz w:val="24"/>
          <w:szCs w:val="24"/>
        </w:rPr>
      </w:pPr>
    </w:p>
    <w:p w:rsidR="00B74D6D" w:rsidRDefault="00B74D6D" w:rsidP="00F20A7D">
      <w:pPr>
        <w:autoSpaceDE w:val="0"/>
        <w:autoSpaceDN w:val="0"/>
        <w:adjustRightInd w:val="0"/>
        <w:spacing w:after="0" w:line="360" w:lineRule="auto"/>
        <w:rPr>
          <w:rFonts w:cstheme="minorHAnsi"/>
          <w:sz w:val="24"/>
          <w:szCs w:val="24"/>
        </w:rPr>
      </w:pPr>
    </w:p>
    <w:tbl>
      <w:tblPr>
        <w:tblStyle w:val="TableGrid"/>
        <w:tblW w:w="0" w:type="auto"/>
        <w:tblLook w:val="04A0" w:firstRow="1" w:lastRow="0" w:firstColumn="1" w:lastColumn="0" w:noHBand="0" w:noVBand="1"/>
      </w:tblPr>
      <w:tblGrid>
        <w:gridCol w:w="5284"/>
        <w:gridCol w:w="2337"/>
        <w:gridCol w:w="2117"/>
        <w:gridCol w:w="1260"/>
        <w:gridCol w:w="3176"/>
      </w:tblGrid>
      <w:tr w:rsidR="00ED74AA" w:rsidTr="00B74D6D">
        <w:tc>
          <w:tcPr>
            <w:tcW w:w="0" w:type="auto"/>
            <w:vAlign w:val="center"/>
          </w:tcPr>
          <w:p w:rsidR="00B74D6D" w:rsidRDefault="00B74D6D" w:rsidP="00B74D6D">
            <w:pPr>
              <w:jc w:val="center"/>
              <w:rPr>
                <w:rFonts w:cstheme="minorHAnsi"/>
                <w:b/>
                <w:sz w:val="24"/>
                <w:szCs w:val="24"/>
              </w:rPr>
            </w:pPr>
          </w:p>
          <w:p w:rsidR="00B74D6D" w:rsidRDefault="00B74D6D" w:rsidP="00B74D6D">
            <w:pPr>
              <w:jc w:val="center"/>
              <w:rPr>
                <w:rFonts w:cstheme="minorHAnsi"/>
                <w:b/>
                <w:sz w:val="24"/>
                <w:szCs w:val="24"/>
              </w:rPr>
            </w:pPr>
            <w:r>
              <w:rPr>
                <w:rFonts w:cstheme="minorHAnsi"/>
                <w:b/>
                <w:sz w:val="24"/>
                <w:szCs w:val="24"/>
              </w:rPr>
              <w:t>Reference</w:t>
            </w:r>
          </w:p>
          <w:p w:rsidR="00B74D6D" w:rsidRDefault="00B74D6D" w:rsidP="00B74D6D">
            <w:pPr>
              <w:jc w:val="center"/>
              <w:rPr>
                <w:rFonts w:cstheme="minorHAnsi"/>
                <w:b/>
                <w:sz w:val="24"/>
                <w:szCs w:val="24"/>
              </w:rPr>
            </w:pPr>
          </w:p>
          <w:p w:rsidR="00ED74AA" w:rsidRPr="00996130" w:rsidRDefault="00ED74AA" w:rsidP="00B74D6D">
            <w:pPr>
              <w:jc w:val="center"/>
              <w:rPr>
                <w:rFonts w:cstheme="minorHAnsi"/>
                <w:b/>
                <w:sz w:val="24"/>
                <w:szCs w:val="24"/>
              </w:rPr>
            </w:pPr>
          </w:p>
        </w:tc>
        <w:tc>
          <w:tcPr>
            <w:tcW w:w="0" w:type="auto"/>
            <w:vAlign w:val="center"/>
          </w:tcPr>
          <w:p w:rsidR="00ED74AA" w:rsidRPr="00996130" w:rsidRDefault="00ED74AA" w:rsidP="00B74D6D">
            <w:pPr>
              <w:jc w:val="center"/>
              <w:rPr>
                <w:rFonts w:cstheme="minorHAnsi"/>
                <w:b/>
                <w:sz w:val="24"/>
                <w:szCs w:val="24"/>
              </w:rPr>
            </w:pPr>
            <w:r>
              <w:rPr>
                <w:rFonts w:cstheme="minorHAnsi"/>
                <w:b/>
                <w:sz w:val="24"/>
                <w:szCs w:val="24"/>
              </w:rPr>
              <w:t>Proposed Claims</w:t>
            </w:r>
          </w:p>
        </w:tc>
        <w:tc>
          <w:tcPr>
            <w:tcW w:w="0" w:type="auto"/>
            <w:vAlign w:val="center"/>
          </w:tcPr>
          <w:p w:rsidR="00ED74AA" w:rsidRPr="00996130" w:rsidRDefault="00ED74AA" w:rsidP="00B74D6D">
            <w:pPr>
              <w:jc w:val="center"/>
              <w:rPr>
                <w:rFonts w:cstheme="minorHAnsi"/>
                <w:b/>
                <w:sz w:val="24"/>
                <w:szCs w:val="24"/>
              </w:rPr>
            </w:pPr>
            <w:r>
              <w:rPr>
                <w:rFonts w:cstheme="minorHAnsi"/>
                <w:b/>
                <w:sz w:val="24"/>
                <w:szCs w:val="24"/>
              </w:rPr>
              <w:t>Evidence</w:t>
            </w:r>
          </w:p>
        </w:tc>
        <w:tc>
          <w:tcPr>
            <w:tcW w:w="0" w:type="auto"/>
            <w:vAlign w:val="center"/>
          </w:tcPr>
          <w:p w:rsidR="00ED74AA" w:rsidRPr="00996130" w:rsidRDefault="00ED74AA" w:rsidP="00B74D6D">
            <w:pPr>
              <w:jc w:val="center"/>
              <w:rPr>
                <w:rFonts w:cstheme="minorHAnsi"/>
                <w:b/>
                <w:sz w:val="24"/>
                <w:szCs w:val="24"/>
              </w:rPr>
            </w:pPr>
            <w:r>
              <w:rPr>
                <w:rFonts w:cstheme="minorHAnsi"/>
                <w:b/>
                <w:sz w:val="24"/>
                <w:szCs w:val="24"/>
              </w:rPr>
              <w:t>Quality Rating (low to high)</w:t>
            </w:r>
          </w:p>
        </w:tc>
        <w:tc>
          <w:tcPr>
            <w:tcW w:w="0" w:type="auto"/>
            <w:vAlign w:val="center"/>
          </w:tcPr>
          <w:p w:rsidR="00ED74AA" w:rsidRPr="00996130" w:rsidRDefault="00ED74AA" w:rsidP="00B74D6D">
            <w:pPr>
              <w:jc w:val="center"/>
              <w:rPr>
                <w:rFonts w:cstheme="minorHAnsi"/>
                <w:b/>
                <w:sz w:val="24"/>
                <w:szCs w:val="24"/>
              </w:rPr>
            </w:pPr>
            <w:r>
              <w:rPr>
                <w:rFonts w:cstheme="minorHAnsi"/>
                <w:b/>
                <w:sz w:val="24"/>
                <w:szCs w:val="24"/>
              </w:rPr>
              <w:t>Conclusion</w:t>
            </w:r>
          </w:p>
        </w:tc>
      </w:tr>
      <w:tr w:rsidR="00ED74AA" w:rsidTr="00ED74AA">
        <w:tc>
          <w:tcPr>
            <w:tcW w:w="0" w:type="auto"/>
          </w:tcPr>
          <w:p w:rsidR="00ED74AA" w:rsidRPr="00FC7A25" w:rsidRDefault="00ED74AA" w:rsidP="00ED74AA">
            <w:pPr>
              <w:rPr>
                <w:rFonts w:cstheme="minorHAnsi"/>
                <w:sz w:val="20"/>
                <w:szCs w:val="20"/>
              </w:rPr>
            </w:pPr>
            <w:r>
              <w:rPr>
                <w:rFonts w:cstheme="minorHAnsi"/>
                <w:color w:val="231F20"/>
                <w:sz w:val="20"/>
                <w:szCs w:val="20"/>
              </w:rPr>
              <w:t>Stoug</w:t>
            </w:r>
            <w:r>
              <w:rPr>
                <w:rFonts w:cstheme="minorHAnsi"/>
                <w:color w:val="231F20"/>
                <w:spacing w:val="-1"/>
                <w:sz w:val="20"/>
                <w:szCs w:val="20"/>
              </w:rPr>
              <w:t xml:space="preserve">h C </w:t>
            </w:r>
            <w:r>
              <w:rPr>
                <w:rFonts w:cstheme="minorHAnsi"/>
                <w:i/>
                <w:color w:val="231F20"/>
                <w:spacing w:val="-1"/>
                <w:sz w:val="20"/>
                <w:szCs w:val="20"/>
              </w:rPr>
              <w:t>et al</w:t>
            </w:r>
            <w:r>
              <w:rPr>
                <w:rFonts w:cstheme="minorHAnsi"/>
                <w:color w:val="231F20"/>
                <w:spacing w:val="-1"/>
                <w:sz w:val="20"/>
                <w:szCs w:val="20"/>
              </w:rPr>
              <w:t xml:space="preserve">. 2008. </w:t>
            </w:r>
            <w:r>
              <w:rPr>
                <w:rFonts w:cstheme="minorHAnsi"/>
                <w:sz w:val="20"/>
                <w:szCs w:val="20"/>
              </w:rPr>
              <w:t xml:space="preserve">Examining the Nootropic Effects of a special extract of </w:t>
            </w:r>
            <w:r>
              <w:rPr>
                <w:rFonts w:cstheme="minorHAnsi"/>
                <w:i/>
                <w:sz w:val="20"/>
                <w:szCs w:val="20"/>
              </w:rPr>
              <w:t>Bacopa monniera</w:t>
            </w:r>
            <w:r>
              <w:rPr>
                <w:rFonts w:cstheme="minorHAnsi"/>
                <w:sz w:val="20"/>
                <w:szCs w:val="20"/>
              </w:rPr>
              <w:t xml:space="preserve"> on Human</w:t>
            </w:r>
            <w:r>
              <w:rPr>
                <w:rFonts w:cstheme="minorHAnsi"/>
                <w:b/>
                <w:sz w:val="20"/>
                <w:szCs w:val="20"/>
              </w:rPr>
              <w:t xml:space="preserve"> </w:t>
            </w:r>
            <w:r>
              <w:rPr>
                <w:rFonts w:cstheme="minorHAnsi"/>
                <w:sz w:val="20"/>
                <w:szCs w:val="20"/>
              </w:rPr>
              <w:t>Cognitive Functioning: 90 day Double-Blind Placebo-Controlled Randomized Trial. Phytother. Res., 22: 1629-1634.</w:t>
            </w:r>
          </w:p>
        </w:tc>
        <w:tc>
          <w:tcPr>
            <w:tcW w:w="0" w:type="auto"/>
          </w:tcPr>
          <w:p w:rsidR="00ED74AA" w:rsidRPr="00FC7A25" w:rsidRDefault="00ED74AA" w:rsidP="00ED74AA">
            <w:pPr>
              <w:pStyle w:val="ListParagraph"/>
              <w:numPr>
                <w:ilvl w:val="0"/>
                <w:numId w:val="3"/>
              </w:numPr>
              <w:tabs>
                <w:tab w:val="left" w:pos="241"/>
              </w:tabs>
              <w:ind w:left="0" w:firstLine="2"/>
              <w:rPr>
                <w:rFonts w:cstheme="minorHAnsi"/>
                <w:sz w:val="20"/>
                <w:szCs w:val="20"/>
              </w:rPr>
            </w:pPr>
            <w:r>
              <w:rPr>
                <w:rFonts w:cstheme="minorHAnsi"/>
                <w:sz w:val="20"/>
                <w:szCs w:val="20"/>
              </w:rPr>
              <w:t xml:space="preserve"> Improved ‘Working Memory’ factor, more specifically spatial working memory accuracy.</w:t>
            </w:r>
          </w:p>
          <w:p w:rsidR="00ED74AA" w:rsidRPr="00C17C18" w:rsidRDefault="00ED74AA" w:rsidP="00ED74AA">
            <w:pPr>
              <w:pStyle w:val="ListParagraph"/>
              <w:numPr>
                <w:ilvl w:val="0"/>
                <w:numId w:val="3"/>
              </w:numPr>
              <w:tabs>
                <w:tab w:val="left" w:pos="306"/>
              </w:tabs>
              <w:ind w:left="63" w:hanging="63"/>
              <w:rPr>
                <w:rFonts w:cstheme="minorHAnsi"/>
                <w:sz w:val="20"/>
                <w:szCs w:val="20"/>
              </w:rPr>
            </w:pPr>
            <w:r>
              <w:rPr>
                <w:rFonts w:cstheme="minorHAnsi"/>
                <w:sz w:val="20"/>
                <w:szCs w:val="20"/>
              </w:rPr>
              <w:t xml:space="preserve">Reduced false-positives number in the Rapid visual information processing task </w:t>
            </w:r>
          </w:p>
        </w:tc>
        <w:tc>
          <w:tcPr>
            <w:tcW w:w="0" w:type="auto"/>
          </w:tcPr>
          <w:p w:rsidR="00ED74AA" w:rsidRPr="00C17C18" w:rsidRDefault="00ED74AA" w:rsidP="00ED74AA">
            <w:pPr>
              <w:pStyle w:val="ListParagraph"/>
              <w:numPr>
                <w:ilvl w:val="0"/>
                <w:numId w:val="3"/>
              </w:numPr>
              <w:ind w:left="259" w:hanging="259"/>
              <w:rPr>
                <w:rFonts w:cstheme="minorHAnsi"/>
                <w:sz w:val="20"/>
                <w:szCs w:val="20"/>
              </w:rPr>
            </w:pPr>
            <w:r>
              <w:rPr>
                <w:rFonts w:cstheme="minorHAnsi"/>
                <w:sz w:val="20"/>
                <w:szCs w:val="20"/>
              </w:rPr>
              <w:t>A   double- blinded randomized, placebo-controlled independent trial.</w:t>
            </w:r>
          </w:p>
          <w:p w:rsidR="00ED74AA" w:rsidRPr="00FC7A25" w:rsidRDefault="00ED74AA" w:rsidP="00ED74AA">
            <w:pPr>
              <w:pStyle w:val="ListParagraph"/>
              <w:numPr>
                <w:ilvl w:val="0"/>
                <w:numId w:val="3"/>
              </w:numPr>
              <w:ind w:left="259" w:hanging="259"/>
              <w:rPr>
                <w:rFonts w:cstheme="minorHAnsi"/>
                <w:sz w:val="20"/>
                <w:szCs w:val="20"/>
              </w:rPr>
            </w:pPr>
            <w:r>
              <w:rPr>
                <w:rFonts w:cstheme="minorHAnsi"/>
                <w:sz w:val="20"/>
                <w:szCs w:val="20"/>
              </w:rPr>
              <w:t>80%   &amp; higher compliancy.</w:t>
            </w:r>
          </w:p>
          <w:p w:rsidR="00ED74AA" w:rsidRPr="00FC7A25" w:rsidRDefault="00ED74AA" w:rsidP="00ED74AA">
            <w:pPr>
              <w:pStyle w:val="ListParagraph"/>
              <w:numPr>
                <w:ilvl w:val="0"/>
                <w:numId w:val="3"/>
              </w:numPr>
              <w:ind w:left="259" w:hanging="259"/>
              <w:rPr>
                <w:rFonts w:cstheme="minorHAnsi"/>
                <w:sz w:val="20"/>
                <w:szCs w:val="20"/>
              </w:rPr>
            </w:pPr>
            <w:r>
              <w:rPr>
                <w:rFonts w:cstheme="minorHAnsi"/>
                <w:sz w:val="20"/>
                <w:szCs w:val="20"/>
              </w:rPr>
              <w:t>Complete CDR cognitive assessment system were used</w:t>
            </w:r>
          </w:p>
        </w:tc>
        <w:tc>
          <w:tcPr>
            <w:tcW w:w="0" w:type="auto"/>
          </w:tcPr>
          <w:p w:rsidR="00ED74AA" w:rsidRPr="00FC7A25" w:rsidRDefault="00ED74AA" w:rsidP="00ED74AA">
            <w:pPr>
              <w:jc w:val="center"/>
              <w:rPr>
                <w:rFonts w:cstheme="minorHAnsi"/>
                <w:sz w:val="20"/>
                <w:szCs w:val="20"/>
              </w:rPr>
            </w:pPr>
            <w:r>
              <w:rPr>
                <w:rFonts w:cstheme="minorHAnsi"/>
                <w:sz w:val="20"/>
                <w:szCs w:val="20"/>
              </w:rPr>
              <w:t>Medium</w:t>
            </w:r>
          </w:p>
        </w:tc>
        <w:tc>
          <w:tcPr>
            <w:tcW w:w="0" w:type="auto"/>
          </w:tcPr>
          <w:p w:rsidR="00ED74AA" w:rsidRDefault="00ED74AA" w:rsidP="00ED74AA">
            <w:pPr>
              <w:pStyle w:val="ListParagraph"/>
              <w:numPr>
                <w:ilvl w:val="0"/>
                <w:numId w:val="4"/>
              </w:numPr>
              <w:ind w:left="302" w:hanging="302"/>
              <w:rPr>
                <w:rFonts w:cstheme="minorHAnsi"/>
                <w:sz w:val="20"/>
                <w:szCs w:val="20"/>
              </w:rPr>
            </w:pPr>
            <w:r>
              <w:rPr>
                <w:rFonts w:cstheme="minorHAnsi"/>
                <w:sz w:val="20"/>
                <w:szCs w:val="20"/>
              </w:rPr>
              <w:t>Significant improvement in working memory and reduction in false positives</w:t>
            </w:r>
          </w:p>
          <w:p w:rsidR="00ED74AA" w:rsidRPr="00133BE2" w:rsidRDefault="00ED74AA" w:rsidP="00ED74AA">
            <w:pPr>
              <w:pStyle w:val="ListParagraph"/>
              <w:numPr>
                <w:ilvl w:val="0"/>
                <w:numId w:val="4"/>
              </w:numPr>
              <w:ind w:left="302" w:hanging="302"/>
              <w:rPr>
                <w:rFonts w:cstheme="minorHAnsi"/>
                <w:sz w:val="20"/>
                <w:szCs w:val="20"/>
              </w:rPr>
            </w:pPr>
            <w:r>
              <w:rPr>
                <w:rFonts w:cstheme="minorHAnsi"/>
                <w:sz w:val="20"/>
                <w:szCs w:val="20"/>
              </w:rPr>
              <w:t>Medium size participants.</w:t>
            </w:r>
          </w:p>
          <w:p w:rsidR="00ED74AA" w:rsidRPr="00133BE2" w:rsidRDefault="00ED74AA" w:rsidP="00ED74AA">
            <w:pPr>
              <w:pStyle w:val="ListParagraph"/>
              <w:numPr>
                <w:ilvl w:val="0"/>
                <w:numId w:val="4"/>
              </w:numPr>
              <w:autoSpaceDE w:val="0"/>
              <w:autoSpaceDN w:val="0"/>
              <w:adjustRightInd w:val="0"/>
              <w:ind w:left="302" w:hanging="302"/>
              <w:rPr>
                <w:rFonts w:cstheme="minorHAnsi"/>
                <w:color w:val="000000"/>
                <w:sz w:val="20"/>
                <w:szCs w:val="20"/>
              </w:rPr>
            </w:pPr>
            <w:r>
              <w:rPr>
                <w:rFonts w:cstheme="minorHAnsi"/>
                <w:color w:val="231F20"/>
                <w:w w:val="109"/>
                <w:sz w:val="20"/>
                <w:szCs w:val="20"/>
              </w:rPr>
              <w:t xml:space="preserve">Larger </w:t>
            </w:r>
            <w:r>
              <w:rPr>
                <w:rFonts w:cstheme="minorHAnsi"/>
                <w:color w:val="231F20"/>
                <w:spacing w:val="-1"/>
                <w:w w:val="110"/>
                <w:sz w:val="20"/>
                <w:szCs w:val="20"/>
              </w:rPr>
              <w:t>numbe</w:t>
            </w:r>
            <w:r>
              <w:rPr>
                <w:rFonts w:cstheme="minorHAnsi"/>
                <w:color w:val="231F20"/>
                <w:w w:val="110"/>
                <w:sz w:val="20"/>
                <w:szCs w:val="20"/>
              </w:rPr>
              <w:t>r</w:t>
            </w:r>
            <w:r>
              <w:rPr>
                <w:rFonts w:cstheme="minorHAnsi"/>
                <w:color w:val="231F20"/>
                <w:spacing w:val="-7"/>
                <w:w w:val="110"/>
                <w:sz w:val="20"/>
                <w:szCs w:val="20"/>
              </w:rPr>
              <w:t xml:space="preserve"> </w:t>
            </w:r>
            <w:r>
              <w:rPr>
                <w:rFonts w:cstheme="minorHAnsi"/>
                <w:color w:val="231F20"/>
                <w:spacing w:val="-1"/>
                <w:sz w:val="20"/>
                <w:szCs w:val="20"/>
              </w:rPr>
              <w:t>o</w:t>
            </w:r>
            <w:r>
              <w:rPr>
                <w:rFonts w:cstheme="minorHAnsi"/>
                <w:color w:val="231F20"/>
                <w:sz w:val="20"/>
                <w:szCs w:val="20"/>
              </w:rPr>
              <w:t>f</w:t>
            </w:r>
            <w:r>
              <w:rPr>
                <w:rFonts w:cstheme="minorHAnsi"/>
                <w:color w:val="231F20"/>
                <w:spacing w:val="7"/>
                <w:sz w:val="20"/>
                <w:szCs w:val="20"/>
              </w:rPr>
              <w:t xml:space="preserve"> </w:t>
            </w:r>
            <w:r>
              <w:rPr>
                <w:rFonts w:cstheme="minorHAnsi"/>
                <w:color w:val="231F20"/>
                <w:spacing w:val="-1"/>
                <w:w w:val="107"/>
                <w:sz w:val="20"/>
                <w:szCs w:val="20"/>
              </w:rPr>
              <w:t>variables</w:t>
            </w:r>
          </w:p>
          <w:p w:rsidR="00ED74AA" w:rsidRPr="00133BE2" w:rsidRDefault="00ED74AA" w:rsidP="00ED74AA">
            <w:pPr>
              <w:pStyle w:val="ListParagraph"/>
              <w:numPr>
                <w:ilvl w:val="0"/>
                <w:numId w:val="4"/>
              </w:numPr>
              <w:ind w:left="302" w:hanging="302"/>
              <w:rPr>
                <w:rFonts w:cstheme="minorHAnsi"/>
                <w:sz w:val="20"/>
                <w:szCs w:val="20"/>
              </w:rPr>
            </w:pPr>
            <w:r>
              <w:rPr>
                <w:rFonts w:cstheme="minorHAnsi"/>
                <w:sz w:val="20"/>
                <w:szCs w:val="20"/>
              </w:rPr>
              <w:t>Low level of significance.</w:t>
            </w:r>
          </w:p>
          <w:p w:rsidR="00ED74AA" w:rsidRPr="00133BE2" w:rsidRDefault="00ED74AA" w:rsidP="00ED74AA">
            <w:pPr>
              <w:pStyle w:val="ListParagraph"/>
              <w:numPr>
                <w:ilvl w:val="0"/>
                <w:numId w:val="4"/>
              </w:numPr>
              <w:ind w:left="302" w:hanging="302"/>
              <w:rPr>
                <w:rFonts w:cstheme="minorHAnsi"/>
                <w:sz w:val="20"/>
                <w:szCs w:val="20"/>
              </w:rPr>
            </w:pPr>
            <w:r>
              <w:rPr>
                <w:rFonts w:cstheme="minorHAnsi"/>
                <w:sz w:val="20"/>
                <w:szCs w:val="20"/>
              </w:rPr>
              <w:t xml:space="preserve">The lack of reduction in state anxiety is contradicted of previous 2001 study. </w:t>
            </w:r>
          </w:p>
        </w:tc>
      </w:tr>
      <w:tr w:rsidR="00ED74AA" w:rsidTr="00ED74AA">
        <w:tc>
          <w:tcPr>
            <w:tcW w:w="0" w:type="auto"/>
          </w:tcPr>
          <w:p w:rsidR="00ED74AA" w:rsidRPr="0013520B" w:rsidRDefault="00ED74AA" w:rsidP="00ED74AA">
            <w:pPr>
              <w:autoSpaceDE w:val="0"/>
              <w:autoSpaceDN w:val="0"/>
              <w:adjustRightInd w:val="0"/>
              <w:ind w:left="40" w:right="-20"/>
              <w:rPr>
                <w:rFonts w:cstheme="minorHAnsi"/>
                <w:sz w:val="20"/>
                <w:szCs w:val="20"/>
              </w:rPr>
            </w:pPr>
            <w:r>
              <w:rPr>
                <w:rFonts w:cstheme="minorHAnsi"/>
                <w:sz w:val="20"/>
                <w:szCs w:val="20"/>
              </w:rPr>
              <w:t xml:space="preserve">Rooderneys S </w:t>
            </w:r>
            <w:r>
              <w:rPr>
                <w:rFonts w:cstheme="minorHAnsi"/>
                <w:i/>
                <w:sz w:val="20"/>
                <w:szCs w:val="20"/>
              </w:rPr>
              <w:t>et al.</w:t>
            </w:r>
            <w:r>
              <w:rPr>
                <w:rFonts w:cstheme="minorHAnsi"/>
                <w:spacing w:val="-5"/>
                <w:sz w:val="20"/>
                <w:szCs w:val="20"/>
              </w:rPr>
              <w:t xml:space="preserve"> 2002. Chroni</w:t>
            </w:r>
            <w:r>
              <w:rPr>
                <w:rFonts w:cstheme="minorHAnsi"/>
                <w:sz w:val="20"/>
                <w:szCs w:val="20"/>
              </w:rPr>
              <w:t>c</w:t>
            </w:r>
            <w:r>
              <w:rPr>
                <w:rFonts w:cstheme="minorHAnsi"/>
                <w:spacing w:val="-10"/>
                <w:sz w:val="20"/>
                <w:szCs w:val="20"/>
              </w:rPr>
              <w:t xml:space="preserve"> </w:t>
            </w:r>
            <w:r>
              <w:rPr>
                <w:rFonts w:cstheme="minorHAnsi"/>
                <w:spacing w:val="-5"/>
                <w:sz w:val="20"/>
                <w:szCs w:val="20"/>
              </w:rPr>
              <w:t>Effect</w:t>
            </w:r>
            <w:r>
              <w:rPr>
                <w:rFonts w:cstheme="minorHAnsi"/>
                <w:sz w:val="20"/>
                <w:szCs w:val="20"/>
              </w:rPr>
              <w:t>s</w:t>
            </w:r>
            <w:r>
              <w:rPr>
                <w:rFonts w:cstheme="minorHAnsi"/>
                <w:spacing w:val="-10"/>
                <w:sz w:val="20"/>
                <w:szCs w:val="20"/>
              </w:rPr>
              <w:t xml:space="preserve"> </w:t>
            </w:r>
            <w:r>
              <w:rPr>
                <w:rFonts w:cstheme="minorHAnsi"/>
                <w:spacing w:val="-5"/>
                <w:sz w:val="20"/>
                <w:szCs w:val="20"/>
              </w:rPr>
              <w:t>o</w:t>
            </w:r>
            <w:r>
              <w:rPr>
                <w:rFonts w:cstheme="minorHAnsi"/>
                <w:sz w:val="20"/>
                <w:szCs w:val="20"/>
              </w:rPr>
              <w:t>f</w:t>
            </w:r>
            <w:r>
              <w:rPr>
                <w:rFonts w:cstheme="minorHAnsi"/>
                <w:spacing w:val="-10"/>
                <w:sz w:val="20"/>
                <w:szCs w:val="20"/>
              </w:rPr>
              <w:t xml:space="preserve"> </w:t>
            </w:r>
            <w:r>
              <w:rPr>
                <w:rFonts w:cstheme="minorHAnsi"/>
                <w:spacing w:val="-5"/>
                <w:sz w:val="20"/>
                <w:szCs w:val="20"/>
              </w:rPr>
              <w:t>Brahm</w:t>
            </w:r>
            <w:r>
              <w:rPr>
                <w:rFonts w:cstheme="minorHAnsi"/>
                <w:sz w:val="20"/>
                <w:szCs w:val="20"/>
              </w:rPr>
              <w:t>i</w:t>
            </w:r>
            <w:r>
              <w:rPr>
                <w:rFonts w:cstheme="minorHAnsi"/>
                <w:spacing w:val="-10"/>
                <w:sz w:val="20"/>
                <w:szCs w:val="20"/>
              </w:rPr>
              <w:t xml:space="preserve"> </w:t>
            </w:r>
            <w:r>
              <w:rPr>
                <w:rFonts w:cstheme="minorHAnsi"/>
                <w:spacing w:val="-5"/>
                <w:sz w:val="20"/>
                <w:szCs w:val="20"/>
              </w:rPr>
              <w:t>(</w:t>
            </w:r>
            <w:r>
              <w:rPr>
                <w:rFonts w:cstheme="minorHAnsi"/>
                <w:i/>
                <w:spacing w:val="-5"/>
                <w:sz w:val="20"/>
                <w:szCs w:val="20"/>
              </w:rPr>
              <w:t>Bacop</w:t>
            </w:r>
            <w:r>
              <w:rPr>
                <w:rFonts w:cstheme="minorHAnsi"/>
                <w:i/>
                <w:sz w:val="20"/>
                <w:szCs w:val="20"/>
              </w:rPr>
              <w:t>a</w:t>
            </w:r>
            <w:r>
              <w:rPr>
                <w:rFonts w:cstheme="minorHAnsi"/>
                <w:i/>
                <w:spacing w:val="-10"/>
                <w:sz w:val="20"/>
                <w:szCs w:val="20"/>
              </w:rPr>
              <w:t xml:space="preserve"> </w:t>
            </w:r>
            <w:r>
              <w:rPr>
                <w:rFonts w:cstheme="minorHAnsi"/>
                <w:i/>
                <w:spacing w:val="-5"/>
                <w:sz w:val="20"/>
                <w:szCs w:val="20"/>
              </w:rPr>
              <w:t>monnieri</w:t>
            </w:r>
            <w:r>
              <w:rPr>
                <w:rFonts w:cstheme="minorHAnsi"/>
                <w:spacing w:val="-5"/>
                <w:sz w:val="20"/>
                <w:szCs w:val="20"/>
              </w:rPr>
              <w:t>) o</w:t>
            </w:r>
            <w:r>
              <w:rPr>
                <w:rFonts w:cstheme="minorHAnsi"/>
                <w:sz w:val="20"/>
                <w:szCs w:val="20"/>
              </w:rPr>
              <w:t>n</w:t>
            </w:r>
            <w:r>
              <w:rPr>
                <w:rFonts w:cstheme="minorHAnsi"/>
                <w:spacing w:val="-10"/>
                <w:sz w:val="20"/>
                <w:szCs w:val="20"/>
              </w:rPr>
              <w:t xml:space="preserve"> </w:t>
            </w:r>
            <w:r>
              <w:rPr>
                <w:rFonts w:cstheme="minorHAnsi"/>
                <w:spacing w:val="-5"/>
                <w:sz w:val="20"/>
                <w:szCs w:val="20"/>
              </w:rPr>
              <w:t>Huma</w:t>
            </w:r>
            <w:r>
              <w:rPr>
                <w:rFonts w:cstheme="minorHAnsi"/>
                <w:sz w:val="20"/>
                <w:szCs w:val="20"/>
              </w:rPr>
              <w:t>n</w:t>
            </w:r>
            <w:r>
              <w:rPr>
                <w:rFonts w:cstheme="minorHAnsi"/>
                <w:spacing w:val="-10"/>
                <w:sz w:val="20"/>
                <w:szCs w:val="20"/>
              </w:rPr>
              <w:t xml:space="preserve"> </w:t>
            </w:r>
            <w:r>
              <w:rPr>
                <w:rFonts w:cstheme="minorHAnsi"/>
                <w:spacing w:val="-5"/>
                <w:sz w:val="20"/>
                <w:szCs w:val="20"/>
              </w:rPr>
              <w:t>Memory. Neuropsychopharmacology, 27: 279–281.</w:t>
            </w:r>
          </w:p>
          <w:p w:rsidR="00ED74AA" w:rsidRPr="00887DB8" w:rsidRDefault="00ED74AA" w:rsidP="00ED74AA">
            <w:pPr>
              <w:rPr>
                <w:rFonts w:cstheme="minorHAnsi"/>
                <w:color w:val="231F20"/>
                <w:sz w:val="20"/>
                <w:szCs w:val="20"/>
              </w:rPr>
            </w:pPr>
          </w:p>
        </w:tc>
        <w:tc>
          <w:tcPr>
            <w:tcW w:w="0" w:type="auto"/>
          </w:tcPr>
          <w:p w:rsidR="00ED74AA" w:rsidRPr="00887DB8" w:rsidRDefault="00ED74AA" w:rsidP="00ED74AA">
            <w:pPr>
              <w:pStyle w:val="ListParagraph"/>
              <w:numPr>
                <w:ilvl w:val="0"/>
                <w:numId w:val="7"/>
              </w:numPr>
              <w:ind w:left="210" w:hanging="210"/>
              <w:jc w:val="both"/>
              <w:rPr>
                <w:rFonts w:cstheme="minorHAnsi"/>
                <w:sz w:val="20"/>
                <w:szCs w:val="20"/>
              </w:rPr>
            </w:pPr>
            <w:r>
              <w:rPr>
                <w:rFonts w:cstheme="minorHAnsi"/>
                <w:sz w:val="20"/>
                <w:szCs w:val="20"/>
              </w:rPr>
              <w:t>Improved retention of new information</w:t>
            </w:r>
          </w:p>
          <w:p w:rsidR="00ED74AA" w:rsidRPr="00FC7A25" w:rsidRDefault="00ED74AA" w:rsidP="00ED74AA">
            <w:pPr>
              <w:pStyle w:val="ListParagraph"/>
              <w:numPr>
                <w:ilvl w:val="0"/>
                <w:numId w:val="7"/>
              </w:numPr>
              <w:tabs>
                <w:tab w:val="left" w:pos="241"/>
              </w:tabs>
              <w:ind w:left="210" w:hanging="210"/>
              <w:jc w:val="both"/>
              <w:rPr>
                <w:rFonts w:cstheme="minorHAnsi"/>
                <w:sz w:val="20"/>
                <w:szCs w:val="20"/>
              </w:rPr>
            </w:pPr>
            <w:r>
              <w:rPr>
                <w:rFonts w:cstheme="minorHAnsi"/>
                <w:sz w:val="20"/>
                <w:szCs w:val="20"/>
              </w:rPr>
              <w:t>decreasing rate of forgetting of newly acquired information</w:t>
            </w:r>
          </w:p>
        </w:tc>
        <w:tc>
          <w:tcPr>
            <w:tcW w:w="0" w:type="auto"/>
          </w:tcPr>
          <w:p w:rsidR="00ED74AA" w:rsidRPr="00C17C18" w:rsidRDefault="00ED74AA" w:rsidP="00ED74AA">
            <w:pPr>
              <w:pStyle w:val="ListParagraph"/>
              <w:numPr>
                <w:ilvl w:val="0"/>
                <w:numId w:val="3"/>
              </w:numPr>
              <w:ind w:left="259" w:hanging="259"/>
              <w:rPr>
                <w:rFonts w:cstheme="minorHAnsi"/>
                <w:sz w:val="20"/>
                <w:szCs w:val="20"/>
              </w:rPr>
            </w:pPr>
            <w:r>
              <w:rPr>
                <w:rFonts w:cstheme="minorHAnsi"/>
                <w:sz w:val="20"/>
                <w:szCs w:val="20"/>
              </w:rPr>
              <w:t>A   double- blinded randomized, placebo-controlled independent trial.</w:t>
            </w:r>
          </w:p>
          <w:p w:rsidR="00ED74AA" w:rsidRPr="00FC7A25" w:rsidRDefault="00ED74AA" w:rsidP="00ED74AA">
            <w:pPr>
              <w:pStyle w:val="ListParagraph"/>
              <w:numPr>
                <w:ilvl w:val="0"/>
                <w:numId w:val="3"/>
              </w:numPr>
              <w:ind w:left="259" w:hanging="259"/>
              <w:rPr>
                <w:rFonts w:cstheme="minorHAnsi"/>
                <w:sz w:val="20"/>
                <w:szCs w:val="20"/>
              </w:rPr>
            </w:pPr>
            <w:r>
              <w:rPr>
                <w:rFonts w:cstheme="minorHAnsi"/>
                <w:sz w:val="20"/>
                <w:szCs w:val="20"/>
              </w:rPr>
              <w:t>80%   &amp; higher compliancy.</w:t>
            </w:r>
          </w:p>
          <w:p w:rsidR="00ED74AA" w:rsidRPr="00C17C18" w:rsidRDefault="00ED74AA" w:rsidP="00ED74AA">
            <w:pPr>
              <w:pStyle w:val="ListParagraph"/>
              <w:ind w:left="259"/>
              <w:rPr>
                <w:rFonts w:cstheme="minorHAnsi"/>
                <w:sz w:val="20"/>
                <w:szCs w:val="20"/>
              </w:rPr>
            </w:pPr>
          </w:p>
        </w:tc>
        <w:tc>
          <w:tcPr>
            <w:tcW w:w="0" w:type="auto"/>
          </w:tcPr>
          <w:p w:rsidR="00ED74AA" w:rsidRDefault="00ED74AA" w:rsidP="00ED74AA">
            <w:pPr>
              <w:jc w:val="center"/>
              <w:rPr>
                <w:rFonts w:cstheme="minorHAnsi"/>
                <w:sz w:val="20"/>
                <w:szCs w:val="20"/>
              </w:rPr>
            </w:pPr>
            <w:r>
              <w:rPr>
                <w:rFonts w:cstheme="minorHAnsi"/>
                <w:sz w:val="20"/>
                <w:szCs w:val="20"/>
              </w:rPr>
              <w:t>Medium</w:t>
            </w:r>
          </w:p>
        </w:tc>
        <w:tc>
          <w:tcPr>
            <w:tcW w:w="0" w:type="auto"/>
          </w:tcPr>
          <w:p w:rsidR="00ED74AA" w:rsidRPr="00882600" w:rsidRDefault="00ED74AA" w:rsidP="00ED74AA">
            <w:pPr>
              <w:pStyle w:val="ListParagraph"/>
              <w:numPr>
                <w:ilvl w:val="0"/>
                <w:numId w:val="4"/>
              </w:numPr>
              <w:ind w:left="310" w:hanging="310"/>
              <w:rPr>
                <w:rFonts w:cstheme="minorHAnsi"/>
                <w:sz w:val="20"/>
                <w:szCs w:val="20"/>
              </w:rPr>
            </w:pPr>
            <w:r>
              <w:rPr>
                <w:rFonts w:cstheme="minorHAnsi"/>
                <w:sz w:val="20"/>
                <w:szCs w:val="20"/>
              </w:rPr>
              <w:t>significant improvement in recall and retention tasks</w:t>
            </w:r>
          </w:p>
          <w:p w:rsidR="00ED74AA" w:rsidRDefault="00ED74AA" w:rsidP="00ED74AA">
            <w:pPr>
              <w:pStyle w:val="ListParagraph"/>
              <w:numPr>
                <w:ilvl w:val="0"/>
                <w:numId w:val="4"/>
              </w:numPr>
              <w:ind w:left="310" w:hanging="310"/>
              <w:rPr>
                <w:rFonts w:cstheme="minorHAnsi"/>
                <w:sz w:val="20"/>
                <w:szCs w:val="20"/>
              </w:rPr>
            </w:pPr>
            <w:r>
              <w:rPr>
                <w:rFonts w:cstheme="minorHAnsi"/>
                <w:sz w:val="20"/>
                <w:szCs w:val="20"/>
              </w:rPr>
              <w:t>No significant effect on short term &amp; working memory</w:t>
            </w:r>
          </w:p>
          <w:p w:rsidR="00ED74AA" w:rsidRDefault="00ED74AA" w:rsidP="00ED74AA">
            <w:pPr>
              <w:pStyle w:val="ListParagraph"/>
              <w:numPr>
                <w:ilvl w:val="0"/>
                <w:numId w:val="4"/>
              </w:numPr>
              <w:ind w:left="310" w:hanging="310"/>
              <w:rPr>
                <w:rFonts w:cstheme="minorHAnsi"/>
                <w:sz w:val="20"/>
                <w:szCs w:val="20"/>
              </w:rPr>
            </w:pPr>
            <w:r>
              <w:rPr>
                <w:rFonts w:cstheme="minorHAnsi"/>
                <w:sz w:val="20"/>
                <w:szCs w:val="20"/>
              </w:rPr>
              <w:t>Medium number of participants</w:t>
            </w:r>
          </w:p>
          <w:p w:rsidR="00ED74AA" w:rsidRPr="00133BE2" w:rsidRDefault="00ED74AA" w:rsidP="00ED74AA">
            <w:pPr>
              <w:pStyle w:val="ListParagraph"/>
              <w:numPr>
                <w:ilvl w:val="0"/>
                <w:numId w:val="4"/>
              </w:numPr>
              <w:ind w:left="310" w:hanging="310"/>
              <w:rPr>
                <w:rFonts w:cstheme="minorHAnsi"/>
                <w:sz w:val="20"/>
                <w:szCs w:val="20"/>
              </w:rPr>
            </w:pPr>
            <w:r>
              <w:rPr>
                <w:rFonts w:cstheme="minorHAnsi"/>
                <w:sz w:val="20"/>
                <w:szCs w:val="20"/>
              </w:rPr>
              <w:t>Few methodological errors such as analysis was not adjusted for multiple measures</w:t>
            </w:r>
          </w:p>
        </w:tc>
      </w:tr>
      <w:tr w:rsidR="00ED74AA" w:rsidTr="00ED74AA">
        <w:tc>
          <w:tcPr>
            <w:tcW w:w="0" w:type="auto"/>
          </w:tcPr>
          <w:p w:rsidR="00ED74AA" w:rsidRPr="00996130" w:rsidRDefault="00ED74AA" w:rsidP="00ED74AA">
            <w:pPr>
              <w:rPr>
                <w:rFonts w:cstheme="minorHAnsi"/>
                <w:sz w:val="24"/>
                <w:szCs w:val="24"/>
              </w:rPr>
            </w:pPr>
            <w:r>
              <w:rPr>
                <w:rFonts w:cstheme="minorHAnsi"/>
                <w:sz w:val="20"/>
                <w:szCs w:val="20"/>
              </w:rPr>
              <w:t xml:space="preserve">Barbhaiya HC </w:t>
            </w:r>
            <w:r>
              <w:rPr>
                <w:rFonts w:cstheme="minorHAnsi"/>
                <w:i/>
                <w:sz w:val="20"/>
                <w:szCs w:val="20"/>
              </w:rPr>
              <w:t xml:space="preserve">et al. </w:t>
            </w:r>
            <w:r>
              <w:rPr>
                <w:rFonts w:cstheme="minorHAnsi"/>
                <w:sz w:val="20"/>
                <w:szCs w:val="20"/>
              </w:rPr>
              <w:t>2008. Efficacy and tolerability of BacoMind on memory improvement in elderly participants- A double blind placebo controlled study. J Pharmacol. Toxicol., 3: 425-434</w:t>
            </w:r>
          </w:p>
        </w:tc>
        <w:tc>
          <w:tcPr>
            <w:tcW w:w="0" w:type="auto"/>
          </w:tcPr>
          <w:p w:rsidR="00ED74AA" w:rsidRPr="00C17C18" w:rsidRDefault="00ED74AA" w:rsidP="00ED74AA">
            <w:pPr>
              <w:rPr>
                <w:rFonts w:cstheme="minorHAnsi"/>
                <w:sz w:val="20"/>
                <w:szCs w:val="20"/>
              </w:rPr>
            </w:pPr>
            <w:r>
              <w:rPr>
                <w:rFonts w:cstheme="minorHAnsi"/>
                <w:sz w:val="20"/>
                <w:szCs w:val="20"/>
              </w:rPr>
              <w:t>Improved cognition functions such as attention and verbal memory in elderly individuals.</w:t>
            </w:r>
          </w:p>
        </w:tc>
        <w:tc>
          <w:tcPr>
            <w:tcW w:w="0" w:type="auto"/>
          </w:tcPr>
          <w:p w:rsidR="00ED74AA" w:rsidRDefault="00ED74AA" w:rsidP="00ED74AA">
            <w:pPr>
              <w:pStyle w:val="ListParagraph"/>
              <w:numPr>
                <w:ilvl w:val="0"/>
                <w:numId w:val="3"/>
              </w:numPr>
              <w:ind w:left="259" w:hanging="259"/>
              <w:rPr>
                <w:rFonts w:cstheme="minorHAnsi"/>
                <w:sz w:val="20"/>
                <w:szCs w:val="20"/>
              </w:rPr>
            </w:pPr>
            <w:r>
              <w:rPr>
                <w:rFonts w:cstheme="minorHAnsi"/>
                <w:sz w:val="20"/>
                <w:szCs w:val="20"/>
              </w:rPr>
              <w:t>A   double- blinded randomized, placebo-controlled independent trial.</w:t>
            </w:r>
          </w:p>
          <w:p w:rsidR="00ED74AA" w:rsidRPr="00C17C18" w:rsidRDefault="00ED74AA" w:rsidP="00ED74AA">
            <w:pPr>
              <w:pStyle w:val="ListParagraph"/>
              <w:numPr>
                <w:ilvl w:val="0"/>
                <w:numId w:val="3"/>
              </w:numPr>
              <w:ind w:left="259" w:hanging="259"/>
              <w:rPr>
                <w:rFonts w:cstheme="minorHAnsi"/>
                <w:sz w:val="20"/>
                <w:szCs w:val="20"/>
              </w:rPr>
            </w:pPr>
            <w:r>
              <w:rPr>
                <w:rFonts w:cstheme="minorHAnsi"/>
                <w:sz w:val="20"/>
                <w:szCs w:val="20"/>
              </w:rPr>
              <w:t>85%   compliancy rate</w:t>
            </w:r>
          </w:p>
          <w:p w:rsidR="00ED74AA" w:rsidRPr="00996130" w:rsidRDefault="00ED74AA" w:rsidP="00ED74AA">
            <w:pPr>
              <w:rPr>
                <w:rFonts w:cstheme="minorHAnsi"/>
                <w:sz w:val="24"/>
                <w:szCs w:val="24"/>
              </w:rPr>
            </w:pPr>
          </w:p>
        </w:tc>
        <w:tc>
          <w:tcPr>
            <w:tcW w:w="0" w:type="auto"/>
          </w:tcPr>
          <w:p w:rsidR="00ED74AA" w:rsidRPr="00111D91" w:rsidRDefault="00ED74AA" w:rsidP="00ED74AA">
            <w:pPr>
              <w:jc w:val="center"/>
              <w:rPr>
                <w:rFonts w:cstheme="minorHAnsi"/>
                <w:sz w:val="20"/>
                <w:szCs w:val="20"/>
              </w:rPr>
            </w:pPr>
            <w:r>
              <w:rPr>
                <w:rFonts w:cstheme="minorHAnsi"/>
                <w:sz w:val="20"/>
                <w:szCs w:val="20"/>
              </w:rPr>
              <w:t>Medium</w:t>
            </w:r>
          </w:p>
        </w:tc>
        <w:tc>
          <w:tcPr>
            <w:tcW w:w="0" w:type="auto"/>
          </w:tcPr>
          <w:p w:rsidR="00ED74AA" w:rsidRDefault="00ED74AA" w:rsidP="00ED74AA">
            <w:pPr>
              <w:pStyle w:val="ListParagraph"/>
              <w:numPr>
                <w:ilvl w:val="0"/>
                <w:numId w:val="5"/>
              </w:numPr>
              <w:ind w:left="323" w:hanging="323"/>
              <w:rPr>
                <w:rFonts w:cstheme="minorHAnsi"/>
                <w:sz w:val="20"/>
                <w:szCs w:val="20"/>
              </w:rPr>
            </w:pPr>
            <w:r>
              <w:rPr>
                <w:rFonts w:cstheme="minorHAnsi"/>
                <w:sz w:val="20"/>
                <w:szCs w:val="20"/>
              </w:rPr>
              <w:t>Cognition improvement established in elderly people</w:t>
            </w:r>
          </w:p>
          <w:p w:rsidR="00ED74AA" w:rsidRPr="00CE0FC2" w:rsidRDefault="00ED74AA" w:rsidP="00ED74AA">
            <w:pPr>
              <w:pStyle w:val="ListParagraph"/>
              <w:numPr>
                <w:ilvl w:val="0"/>
                <w:numId w:val="5"/>
              </w:numPr>
              <w:ind w:left="323" w:hanging="323"/>
              <w:rPr>
                <w:rFonts w:cstheme="minorHAnsi"/>
                <w:sz w:val="20"/>
                <w:szCs w:val="20"/>
              </w:rPr>
            </w:pPr>
            <w:r>
              <w:rPr>
                <w:rFonts w:cstheme="minorHAnsi"/>
                <w:sz w:val="20"/>
                <w:szCs w:val="20"/>
              </w:rPr>
              <w:t>High single dose (450 mg/day).</w:t>
            </w:r>
          </w:p>
          <w:p w:rsidR="00ED74AA" w:rsidRPr="00CE0FC2" w:rsidRDefault="00ED74AA" w:rsidP="00ED74AA">
            <w:pPr>
              <w:pStyle w:val="ListParagraph"/>
              <w:numPr>
                <w:ilvl w:val="0"/>
                <w:numId w:val="5"/>
              </w:numPr>
              <w:ind w:left="323" w:hanging="323"/>
              <w:rPr>
                <w:rFonts w:cstheme="minorHAnsi"/>
                <w:sz w:val="20"/>
                <w:szCs w:val="20"/>
              </w:rPr>
            </w:pPr>
            <w:r>
              <w:rPr>
                <w:rFonts w:cstheme="minorHAnsi"/>
                <w:sz w:val="20"/>
                <w:szCs w:val="20"/>
              </w:rPr>
              <w:t>Low number of participants.</w:t>
            </w:r>
          </w:p>
          <w:p w:rsidR="00ED74AA" w:rsidRPr="00CE0FC2" w:rsidRDefault="00ED74AA" w:rsidP="00ED74AA">
            <w:pPr>
              <w:pStyle w:val="ListParagraph"/>
              <w:numPr>
                <w:ilvl w:val="0"/>
                <w:numId w:val="5"/>
              </w:numPr>
              <w:ind w:left="323" w:hanging="323"/>
              <w:rPr>
                <w:rFonts w:cstheme="minorHAnsi"/>
                <w:sz w:val="24"/>
                <w:szCs w:val="24"/>
              </w:rPr>
            </w:pPr>
            <w:r>
              <w:rPr>
                <w:rFonts w:cstheme="minorHAnsi"/>
                <w:sz w:val="20"/>
                <w:szCs w:val="20"/>
              </w:rPr>
              <w:t>Some parameters were statistically significant at marginal level</w:t>
            </w:r>
            <w:r>
              <w:rPr>
                <w:rFonts w:cstheme="minorHAnsi"/>
                <w:sz w:val="24"/>
                <w:szCs w:val="24"/>
              </w:rPr>
              <w:t xml:space="preserve"> </w:t>
            </w:r>
            <w:r>
              <w:rPr>
                <w:rFonts w:cstheme="minorHAnsi"/>
                <w:sz w:val="20"/>
                <w:szCs w:val="20"/>
              </w:rPr>
              <w:t>(close to p≤0.05.</w:t>
            </w:r>
          </w:p>
        </w:tc>
      </w:tr>
      <w:tr w:rsidR="00ED74AA" w:rsidTr="00ED74AA">
        <w:tc>
          <w:tcPr>
            <w:tcW w:w="0" w:type="auto"/>
          </w:tcPr>
          <w:p w:rsidR="00ED74AA" w:rsidRPr="00996130" w:rsidRDefault="00ED74AA" w:rsidP="00ED74AA">
            <w:pPr>
              <w:rPr>
                <w:rFonts w:cstheme="minorHAnsi"/>
                <w:sz w:val="24"/>
                <w:szCs w:val="24"/>
              </w:rPr>
            </w:pPr>
            <w:r>
              <w:rPr>
                <w:rFonts w:cstheme="minorHAnsi"/>
                <w:sz w:val="20"/>
                <w:szCs w:val="20"/>
              </w:rPr>
              <w:t xml:space="preserve">Morgan A. and Stevens J. 2010. Does </w:t>
            </w:r>
            <w:r>
              <w:rPr>
                <w:rFonts w:cstheme="minorHAnsi"/>
                <w:i/>
                <w:sz w:val="20"/>
                <w:szCs w:val="20"/>
              </w:rPr>
              <w:t xml:space="preserve">Bacopa monnieri </w:t>
            </w:r>
            <w:r>
              <w:rPr>
                <w:rFonts w:cstheme="minorHAnsi"/>
                <w:sz w:val="20"/>
                <w:szCs w:val="20"/>
              </w:rPr>
              <w:t xml:space="preserve">improve memory performance in older persons? Results of a randomized, placebo-controlled, double blind trial. J </w:t>
              <w:lastRenderedPageBreak/>
              <w:t>Alternative &amp; Complementary Medicine, 16: 753-759.</w:t>
            </w:r>
          </w:p>
        </w:tc>
        <w:tc>
          <w:tcPr>
            <w:tcW w:w="0" w:type="auto"/>
          </w:tcPr>
          <w:p w:rsidR="00ED74AA" w:rsidRPr="00996130" w:rsidRDefault="00ED74AA" w:rsidP="00ED74AA">
            <w:pPr>
              <w:rPr>
                <w:rFonts w:cstheme="minorHAnsi"/>
                <w:sz w:val="24"/>
                <w:szCs w:val="24"/>
              </w:rPr>
            </w:pPr>
            <w:r>
              <w:rPr>
                <w:rFonts w:cstheme="minorHAnsi"/>
                <w:sz w:val="20"/>
                <w:szCs w:val="20"/>
              </w:rPr>
              <w:lastRenderedPageBreak/>
              <w:t>Improved memory acquisition and retention in healthy</w:t>
            </w:r>
            <w:r>
              <w:rPr>
                <w:rFonts w:cstheme="minorHAnsi"/>
                <w:sz w:val="24"/>
                <w:szCs w:val="24"/>
              </w:rPr>
              <w:t xml:space="preserve"> </w:t>
            </w:r>
            <w:r>
              <w:rPr>
                <w:rFonts w:cstheme="minorHAnsi"/>
                <w:sz w:val="20"/>
                <w:szCs w:val="20"/>
              </w:rPr>
              <w:t>older people.</w:t>
            </w:r>
          </w:p>
        </w:tc>
        <w:tc>
          <w:tcPr>
            <w:tcW w:w="0" w:type="auto"/>
          </w:tcPr>
          <w:p w:rsidR="00ED74AA" w:rsidRDefault="00ED74AA" w:rsidP="00ED74AA">
            <w:pPr>
              <w:tabs>
                <w:tab w:val="left" w:pos="274"/>
              </w:tabs>
              <w:rPr>
                <w:rFonts w:cstheme="minorHAnsi"/>
                <w:sz w:val="20"/>
                <w:szCs w:val="20"/>
              </w:rPr>
            </w:pPr>
            <w:r>
              <w:rPr>
                <w:rFonts w:cstheme="minorHAnsi"/>
                <w:sz w:val="24"/>
                <w:szCs w:val="24"/>
              </w:rPr>
              <w:t>•</w:t>
              <w:tab/>
            </w:r>
            <w:r>
              <w:rPr>
                <w:rFonts w:cstheme="minorHAnsi"/>
                <w:sz w:val="20"/>
                <w:szCs w:val="20"/>
              </w:rPr>
              <w:t xml:space="preserve">A   double- blinded randomized, placebo-controlled </w:t>
              <w:lastRenderedPageBreak/>
              <w:t>independent trial.</w:t>
            </w:r>
          </w:p>
          <w:p w:rsidR="00ED74AA" w:rsidRPr="004A7AFC" w:rsidRDefault="00ED74AA" w:rsidP="00ED74AA">
            <w:pPr>
              <w:pStyle w:val="ListParagraph"/>
              <w:numPr>
                <w:ilvl w:val="0"/>
                <w:numId w:val="6"/>
              </w:numPr>
              <w:tabs>
                <w:tab w:val="left" w:pos="0"/>
              </w:tabs>
              <w:ind w:left="242" w:hanging="242"/>
              <w:rPr>
                <w:rFonts w:cstheme="minorHAnsi"/>
                <w:sz w:val="24"/>
                <w:szCs w:val="24"/>
              </w:rPr>
            </w:pPr>
            <w:r>
              <w:rPr>
                <w:rFonts w:cstheme="minorHAnsi"/>
                <w:sz w:val="20"/>
                <w:szCs w:val="20"/>
              </w:rPr>
              <w:t>Single dose with standard concentration</w:t>
            </w:r>
          </w:p>
        </w:tc>
        <w:tc>
          <w:tcPr>
            <w:tcW w:w="0" w:type="auto"/>
          </w:tcPr>
          <w:p w:rsidR="00ED74AA" w:rsidRPr="008610B9" w:rsidRDefault="00ED74AA" w:rsidP="00ED74AA">
            <w:pPr>
              <w:rPr>
                <w:rFonts w:cstheme="minorHAnsi"/>
                <w:sz w:val="20"/>
                <w:szCs w:val="20"/>
              </w:rPr>
            </w:pPr>
            <w:r>
              <w:rPr>
                <w:rFonts w:cstheme="minorHAnsi"/>
                <w:sz w:val="20"/>
                <w:szCs w:val="20"/>
              </w:rPr>
              <w:lastRenderedPageBreak/>
              <w:t>Medium</w:t>
            </w:r>
          </w:p>
        </w:tc>
        <w:tc>
          <w:tcPr>
            <w:tcW w:w="0" w:type="auto"/>
          </w:tcPr>
          <w:p w:rsidR="00ED74AA" w:rsidRPr="004A7AFC" w:rsidRDefault="00ED74AA" w:rsidP="00ED74AA">
            <w:pPr>
              <w:pStyle w:val="ListParagraph"/>
              <w:numPr>
                <w:ilvl w:val="0"/>
                <w:numId w:val="6"/>
              </w:numPr>
              <w:ind w:left="370" w:hanging="306"/>
              <w:rPr>
                <w:rFonts w:cstheme="minorHAnsi"/>
                <w:sz w:val="20"/>
                <w:szCs w:val="20"/>
              </w:rPr>
            </w:pPr>
            <w:r>
              <w:rPr>
                <w:rFonts w:cstheme="minorHAnsi"/>
                <w:sz w:val="20"/>
                <w:szCs w:val="20"/>
              </w:rPr>
              <w:t>Improved memory acquisition was demonstrated.</w:t>
            </w:r>
          </w:p>
          <w:p w:rsidR="00ED74AA" w:rsidRPr="004A7AFC" w:rsidRDefault="00ED74AA" w:rsidP="00ED74AA">
            <w:pPr>
              <w:pStyle w:val="ListParagraph"/>
              <w:numPr>
                <w:ilvl w:val="0"/>
                <w:numId w:val="6"/>
              </w:numPr>
              <w:ind w:left="370" w:hanging="306"/>
              <w:rPr>
                <w:rFonts w:cstheme="minorHAnsi"/>
                <w:sz w:val="20"/>
                <w:szCs w:val="20"/>
              </w:rPr>
            </w:pPr>
            <w:r>
              <w:rPr>
                <w:rFonts w:cstheme="minorHAnsi"/>
                <w:sz w:val="20"/>
                <w:szCs w:val="20"/>
              </w:rPr>
              <w:t xml:space="preserve">No significant effects for </w:t>
              <w:lastRenderedPageBreak/>
              <w:t xml:space="preserve">Bacopa compared to placebo (p &gt; 0.05) on visuospatial memory performance or visuomotor  skills. </w:t>
            </w:r>
          </w:p>
          <w:p w:rsidR="00ED74AA" w:rsidRPr="004A7AFC" w:rsidRDefault="00ED74AA" w:rsidP="00ED74AA">
            <w:pPr>
              <w:pStyle w:val="ListParagraph"/>
              <w:numPr>
                <w:ilvl w:val="0"/>
                <w:numId w:val="6"/>
              </w:numPr>
              <w:ind w:left="370" w:hanging="306"/>
              <w:rPr>
                <w:rFonts w:cstheme="minorHAnsi"/>
                <w:sz w:val="20"/>
                <w:szCs w:val="20"/>
              </w:rPr>
            </w:pPr>
            <w:r>
              <w:rPr>
                <w:rFonts w:cstheme="minorHAnsi"/>
                <w:sz w:val="20"/>
                <w:szCs w:val="20"/>
              </w:rPr>
              <w:t>Low sample size (81).</w:t>
            </w:r>
          </w:p>
          <w:p w:rsidR="00ED74AA" w:rsidRPr="004A7AFC" w:rsidRDefault="00ED74AA" w:rsidP="00ED74AA">
            <w:pPr>
              <w:pStyle w:val="ListParagraph"/>
              <w:numPr>
                <w:ilvl w:val="0"/>
                <w:numId w:val="6"/>
              </w:numPr>
              <w:ind w:left="370" w:hanging="306"/>
              <w:rPr>
                <w:rFonts w:cstheme="minorHAnsi"/>
                <w:sz w:val="24"/>
                <w:szCs w:val="24"/>
              </w:rPr>
            </w:pPr>
            <w:r>
              <w:rPr>
                <w:rFonts w:cstheme="minorHAnsi"/>
                <w:sz w:val="20"/>
                <w:szCs w:val="20"/>
              </w:rPr>
              <w:t>High dropout rate (20%)</w:t>
            </w:r>
          </w:p>
          <w:p w:rsidR="00ED74AA" w:rsidRPr="00996130" w:rsidRDefault="00ED74AA" w:rsidP="00ED74AA">
            <w:pPr>
              <w:rPr>
                <w:rFonts w:cstheme="minorHAnsi"/>
                <w:sz w:val="24"/>
                <w:szCs w:val="24"/>
              </w:rPr>
            </w:pPr>
          </w:p>
        </w:tc>
      </w:tr>
      <w:tr w:rsidR="00ED74AA" w:rsidTr="00ED74AA">
        <w:tc>
          <w:tcPr>
            <w:tcW w:w="0" w:type="auto"/>
          </w:tcPr>
          <w:p w:rsidR="00ED74AA" w:rsidRPr="00996130" w:rsidRDefault="00ED74AA" w:rsidP="00ED74AA">
            <w:pPr>
              <w:rPr>
                <w:rFonts w:cstheme="minorHAnsi"/>
                <w:sz w:val="24"/>
                <w:szCs w:val="24"/>
              </w:rPr>
            </w:pPr>
            <w:r>
              <w:rPr>
                <w:rFonts w:cstheme="minorHAnsi"/>
                <w:sz w:val="20"/>
                <w:szCs w:val="20"/>
              </w:rPr>
              <w:lastRenderedPageBreak/>
              <w:t>Mandal et al. 2011. A clinical study to evaluate the efficacy and safety of Bacopa caplets in memory and learning ability: A double blind placebo controlled study. Australian J Medical Herbalism, 23: 122-125.</w:t>
            </w:r>
          </w:p>
        </w:tc>
        <w:tc>
          <w:tcPr>
            <w:tcW w:w="0" w:type="auto"/>
          </w:tcPr>
          <w:p w:rsidR="00ED74AA" w:rsidRPr="00996130" w:rsidRDefault="00ED74AA" w:rsidP="00ED74AA">
            <w:pPr>
              <w:rPr>
                <w:rFonts w:cstheme="minorHAnsi"/>
                <w:sz w:val="24"/>
                <w:szCs w:val="24"/>
              </w:rPr>
            </w:pPr>
            <w:r>
              <w:rPr>
                <w:rFonts w:cstheme="minorHAnsi"/>
                <w:sz w:val="20"/>
                <w:szCs w:val="20"/>
              </w:rPr>
              <w:t>Improving cognitive functions</w:t>
            </w:r>
          </w:p>
        </w:tc>
        <w:tc>
          <w:tcPr>
            <w:tcW w:w="0" w:type="auto"/>
          </w:tcPr>
          <w:p w:rsidR="00ED74AA" w:rsidRPr="0033176C" w:rsidRDefault="00ED74AA" w:rsidP="00ED74AA">
            <w:pPr>
              <w:pStyle w:val="ListParagraph"/>
              <w:numPr>
                <w:ilvl w:val="0"/>
                <w:numId w:val="9"/>
              </w:numPr>
              <w:ind w:left="242" w:hanging="280"/>
              <w:rPr>
                <w:rFonts w:cstheme="minorHAnsi"/>
                <w:sz w:val="20"/>
                <w:szCs w:val="20"/>
              </w:rPr>
            </w:pPr>
            <w:r>
              <w:rPr>
                <w:rFonts w:cstheme="minorHAnsi"/>
                <w:sz w:val="20"/>
                <w:szCs w:val="20"/>
              </w:rPr>
              <w:t>A double blind placebo controlled study</w:t>
            </w:r>
          </w:p>
          <w:p w:rsidR="00ED74AA" w:rsidRPr="0033176C" w:rsidRDefault="00ED74AA" w:rsidP="00ED74AA">
            <w:pPr>
              <w:pStyle w:val="ListParagraph"/>
              <w:numPr>
                <w:ilvl w:val="0"/>
                <w:numId w:val="9"/>
              </w:numPr>
              <w:ind w:left="242" w:hanging="280"/>
              <w:rPr>
                <w:rFonts w:cstheme="minorHAnsi"/>
                <w:sz w:val="20"/>
                <w:szCs w:val="20"/>
              </w:rPr>
            </w:pPr>
            <w:r>
              <w:rPr>
                <w:rFonts w:cstheme="minorHAnsi"/>
                <w:sz w:val="20"/>
                <w:szCs w:val="20"/>
              </w:rPr>
              <w:t>Single dose</w:t>
            </w:r>
          </w:p>
        </w:tc>
        <w:tc>
          <w:tcPr>
            <w:tcW w:w="0" w:type="auto"/>
          </w:tcPr>
          <w:p w:rsidR="00ED74AA" w:rsidRPr="0033176C" w:rsidRDefault="00ED74AA" w:rsidP="00ED74AA">
            <w:pPr>
              <w:rPr>
                <w:rFonts w:cstheme="minorHAnsi"/>
                <w:sz w:val="20"/>
                <w:szCs w:val="20"/>
              </w:rPr>
            </w:pPr>
            <w:r>
              <w:rPr>
                <w:rFonts w:cstheme="minorHAnsi"/>
                <w:sz w:val="20"/>
                <w:szCs w:val="20"/>
              </w:rPr>
              <w:t>Medium</w:t>
            </w:r>
          </w:p>
        </w:tc>
        <w:tc>
          <w:tcPr>
            <w:tcW w:w="0" w:type="auto"/>
          </w:tcPr>
          <w:p w:rsidR="00ED74AA" w:rsidRPr="0033176C" w:rsidRDefault="00ED74AA" w:rsidP="00ED74AA">
            <w:pPr>
              <w:pStyle w:val="ListParagraph"/>
              <w:numPr>
                <w:ilvl w:val="0"/>
                <w:numId w:val="8"/>
              </w:numPr>
              <w:ind w:left="356"/>
              <w:rPr>
                <w:rFonts w:cstheme="minorHAnsi"/>
                <w:sz w:val="20"/>
                <w:szCs w:val="20"/>
              </w:rPr>
            </w:pPr>
            <w:r>
              <w:rPr>
                <w:rFonts w:cstheme="minorHAnsi"/>
                <w:sz w:val="20"/>
                <w:szCs w:val="20"/>
              </w:rPr>
              <w:t>Significant evidence of cognition improvement.</w:t>
            </w:r>
          </w:p>
          <w:p w:rsidR="00ED74AA" w:rsidRPr="00CE0FC2" w:rsidRDefault="00ED74AA" w:rsidP="00ED74AA">
            <w:pPr>
              <w:pStyle w:val="ListParagraph"/>
              <w:numPr>
                <w:ilvl w:val="0"/>
                <w:numId w:val="5"/>
              </w:numPr>
              <w:ind w:left="323" w:hanging="323"/>
              <w:rPr>
                <w:rFonts w:cstheme="minorHAnsi"/>
                <w:sz w:val="20"/>
                <w:szCs w:val="20"/>
              </w:rPr>
            </w:pPr>
            <w:r>
              <w:rPr>
                <w:rFonts w:cstheme="minorHAnsi"/>
                <w:sz w:val="20"/>
                <w:szCs w:val="20"/>
              </w:rPr>
              <w:t>High single dose (450 mg/day).</w:t>
            </w:r>
          </w:p>
          <w:p w:rsidR="00ED74AA" w:rsidRPr="00CE0FC2" w:rsidRDefault="00ED74AA" w:rsidP="00ED74AA">
            <w:pPr>
              <w:pStyle w:val="ListParagraph"/>
              <w:numPr>
                <w:ilvl w:val="0"/>
                <w:numId w:val="5"/>
              </w:numPr>
              <w:ind w:left="323" w:hanging="323"/>
              <w:rPr>
                <w:rFonts w:cstheme="minorHAnsi"/>
                <w:sz w:val="20"/>
                <w:szCs w:val="20"/>
              </w:rPr>
            </w:pPr>
            <w:r>
              <w:rPr>
                <w:rFonts w:cstheme="minorHAnsi"/>
                <w:sz w:val="20"/>
                <w:szCs w:val="20"/>
              </w:rPr>
              <w:t>Low number of participants.</w:t>
            </w:r>
          </w:p>
          <w:p w:rsidR="00ED74AA" w:rsidRPr="0033176C" w:rsidRDefault="00ED74AA" w:rsidP="00ED74AA">
            <w:pPr>
              <w:rPr>
                <w:rFonts w:cstheme="minorHAnsi"/>
                <w:sz w:val="20"/>
                <w:szCs w:val="20"/>
              </w:rPr>
            </w:pPr>
          </w:p>
        </w:tc>
      </w:tr>
      <w:tr w:rsidR="00ED74AA" w:rsidTr="00ED74AA">
        <w:tc>
          <w:tcPr>
            <w:tcW w:w="0" w:type="auto"/>
          </w:tcPr>
          <w:p w:rsidR="00ED74AA" w:rsidRDefault="00ED74AA" w:rsidP="00ED74AA">
            <w:pPr>
              <w:rPr>
                <w:rFonts w:cstheme="minorHAnsi"/>
                <w:sz w:val="20"/>
                <w:szCs w:val="20"/>
              </w:rPr>
            </w:pPr>
            <w:r>
              <w:rPr>
                <w:rFonts w:cstheme="minorHAnsi"/>
                <w:sz w:val="20"/>
                <w:szCs w:val="20"/>
              </w:rPr>
              <w:t>Calabrese et al. 2008. Effects of a Standardized Bacopa monnieri Extract on Cognitive Performance, Anxiety, and Depression in the Elderly: A Randomized, Double-Blind, Placebo-Controlled Trial. J Alternative &amp; Complementary Medicine, 14 (6): 707-713.</w:t>
            </w:r>
          </w:p>
          <w:p w:rsidR="00ED74AA" w:rsidRPr="00996130" w:rsidRDefault="00ED74AA" w:rsidP="00ED74AA">
            <w:pPr>
              <w:rPr>
                <w:rFonts w:cstheme="minorHAnsi"/>
                <w:sz w:val="24"/>
                <w:szCs w:val="24"/>
              </w:rPr>
            </w:pPr>
          </w:p>
        </w:tc>
        <w:tc>
          <w:tcPr>
            <w:tcW w:w="0" w:type="auto"/>
          </w:tcPr>
          <w:p w:rsidR="00ED74AA" w:rsidRPr="00996130" w:rsidRDefault="00ED74AA" w:rsidP="00385C81">
            <w:pPr>
              <w:rPr>
                <w:rFonts w:cstheme="minorHAnsi"/>
                <w:sz w:val="24"/>
                <w:szCs w:val="24"/>
              </w:rPr>
            </w:pPr>
            <w:r>
              <w:rPr>
                <w:rFonts w:cstheme="minorHAnsi"/>
                <w:sz w:val="20"/>
                <w:szCs w:val="20"/>
              </w:rPr>
              <w:t>Enhancement of  cognitive performance in the aging.</w:t>
            </w:r>
          </w:p>
        </w:tc>
        <w:tc>
          <w:tcPr>
            <w:tcW w:w="0" w:type="auto"/>
          </w:tcPr>
          <w:p w:rsidR="00ED74AA" w:rsidRPr="00A84D3D" w:rsidRDefault="00ED74AA" w:rsidP="00ED74AA">
            <w:pPr>
              <w:pStyle w:val="ListParagraph"/>
              <w:numPr>
                <w:ilvl w:val="0"/>
                <w:numId w:val="9"/>
              </w:numPr>
              <w:ind w:left="106" w:hanging="106"/>
              <w:rPr>
                <w:rFonts w:cstheme="minorHAnsi"/>
                <w:sz w:val="20"/>
                <w:szCs w:val="20"/>
              </w:rPr>
            </w:pPr>
            <w:r>
              <w:rPr>
                <w:rFonts w:cstheme="minorHAnsi"/>
                <w:sz w:val="20"/>
                <w:szCs w:val="20"/>
              </w:rPr>
              <w:t xml:space="preserve">  A double blind placebo controlled study</w:t>
            </w:r>
          </w:p>
          <w:p w:rsidR="00ED74AA" w:rsidRPr="00A84D3D" w:rsidRDefault="00ED74AA" w:rsidP="00ED74AA">
            <w:pPr>
              <w:pStyle w:val="ListParagraph"/>
              <w:numPr>
                <w:ilvl w:val="0"/>
                <w:numId w:val="9"/>
              </w:numPr>
              <w:autoSpaceDE w:val="0"/>
              <w:autoSpaceDN w:val="0"/>
              <w:adjustRightInd w:val="0"/>
              <w:ind w:left="106" w:hanging="106"/>
              <w:rPr>
                <w:rFonts w:cstheme="minorHAnsi"/>
                <w:sz w:val="20"/>
                <w:szCs w:val="20"/>
              </w:rPr>
            </w:pPr>
            <w:r>
              <w:rPr>
                <w:rFonts w:cstheme="minorHAnsi"/>
                <w:sz w:val="20"/>
                <w:szCs w:val="20"/>
              </w:rPr>
              <w:t xml:space="preserve"> Battery of</w:t>
            </w:r>
          </w:p>
          <w:p w:rsidR="00ED74AA" w:rsidRPr="00996130" w:rsidRDefault="00ED74AA" w:rsidP="00ED74AA">
            <w:pPr>
              <w:rPr>
                <w:rFonts w:cstheme="minorHAnsi"/>
                <w:sz w:val="24"/>
                <w:szCs w:val="24"/>
              </w:rPr>
            </w:pPr>
            <w:r>
              <w:rPr>
                <w:rFonts w:cstheme="minorHAnsi"/>
                <w:sz w:val="20"/>
                <w:szCs w:val="20"/>
              </w:rPr>
              <w:t>cognitive tests employed</w:t>
            </w:r>
          </w:p>
        </w:tc>
        <w:tc>
          <w:tcPr>
            <w:tcW w:w="0" w:type="auto"/>
          </w:tcPr>
          <w:p w:rsidR="00ED74AA" w:rsidRPr="00A84D3D" w:rsidRDefault="00ED74AA" w:rsidP="00ED74AA">
            <w:pPr>
              <w:rPr>
                <w:rFonts w:cstheme="minorHAnsi"/>
                <w:sz w:val="20"/>
                <w:szCs w:val="20"/>
              </w:rPr>
            </w:pPr>
            <w:r>
              <w:rPr>
                <w:rFonts w:cstheme="minorHAnsi"/>
                <w:sz w:val="20"/>
                <w:szCs w:val="20"/>
              </w:rPr>
              <w:t>Medium</w:t>
            </w:r>
          </w:p>
        </w:tc>
        <w:tc>
          <w:tcPr>
            <w:tcW w:w="0" w:type="auto"/>
          </w:tcPr>
          <w:p w:rsidR="00ED74AA" w:rsidRPr="00C938AD" w:rsidRDefault="00ED74AA" w:rsidP="00ED74AA">
            <w:pPr>
              <w:pStyle w:val="ListParagraph"/>
              <w:numPr>
                <w:ilvl w:val="0"/>
                <w:numId w:val="10"/>
              </w:numPr>
              <w:autoSpaceDE w:val="0"/>
              <w:autoSpaceDN w:val="0"/>
              <w:adjustRightInd w:val="0"/>
              <w:ind w:left="370"/>
              <w:rPr>
                <w:rFonts w:cstheme="minorHAnsi"/>
                <w:sz w:val="20"/>
                <w:szCs w:val="20"/>
              </w:rPr>
            </w:pPr>
            <w:r>
              <w:rPr>
                <w:rFonts w:cstheme="minorHAnsi"/>
                <w:sz w:val="20"/>
                <w:szCs w:val="20"/>
              </w:rPr>
              <w:t>Demonstrated positive benefits on multiple measures of cognitive</w:t>
            </w:r>
          </w:p>
          <w:p w:rsidR="00ED74AA" w:rsidRPr="00C938AD" w:rsidRDefault="00ED74AA" w:rsidP="00ED74AA">
            <w:pPr>
              <w:pStyle w:val="ListParagraph"/>
              <w:numPr>
                <w:ilvl w:val="0"/>
                <w:numId w:val="10"/>
              </w:numPr>
              <w:ind w:left="370"/>
              <w:rPr>
                <w:rFonts w:cstheme="minorHAnsi"/>
                <w:sz w:val="20"/>
                <w:szCs w:val="20"/>
              </w:rPr>
            </w:pPr>
            <w:r>
              <w:rPr>
                <w:rFonts w:cstheme="minorHAnsi"/>
                <w:sz w:val="20"/>
                <w:szCs w:val="20"/>
              </w:rPr>
              <w:t>Performance.</w:t>
            </w:r>
          </w:p>
          <w:p w:rsidR="00ED74AA" w:rsidRPr="00C938AD" w:rsidRDefault="00ED74AA" w:rsidP="00ED74AA">
            <w:pPr>
              <w:pStyle w:val="ListParagraph"/>
              <w:numPr>
                <w:ilvl w:val="0"/>
                <w:numId w:val="10"/>
              </w:numPr>
              <w:ind w:left="370"/>
              <w:rPr>
                <w:rFonts w:cstheme="minorHAnsi"/>
                <w:sz w:val="20"/>
                <w:szCs w:val="20"/>
              </w:rPr>
            </w:pPr>
            <w:r>
              <w:rPr>
                <w:rFonts w:cstheme="minorHAnsi"/>
                <w:sz w:val="20"/>
                <w:szCs w:val="20"/>
              </w:rPr>
              <w:t>Rigorous but deals with multiple variables and multiple parameters.</w:t>
            </w:r>
          </w:p>
          <w:p w:rsidR="00ED74AA" w:rsidRPr="00C938AD" w:rsidRDefault="00ED74AA" w:rsidP="00ED74AA">
            <w:pPr>
              <w:pStyle w:val="ListParagraph"/>
              <w:numPr>
                <w:ilvl w:val="0"/>
                <w:numId w:val="10"/>
              </w:numPr>
              <w:ind w:left="370"/>
              <w:rPr>
                <w:rFonts w:cstheme="minorHAnsi"/>
                <w:sz w:val="20"/>
                <w:szCs w:val="20"/>
              </w:rPr>
            </w:pPr>
            <w:r>
              <w:rPr>
                <w:rFonts w:cstheme="minorHAnsi"/>
                <w:sz w:val="20"/>
                <w:szCs w:val="20"/>
              </w:rPr>
              <w:t>Low sample size.</w:t>
            </w:r>
          </w:p>
          <w:p w:rsidR="00ED74AA" w:rsidRPr="00C938AD" w:rsidRDefault="00ED74AA" w:rsidP="00ED74AA">
            <w:pPr>
              <w:pStyle w:val="ListParagraph"/>
              <w:numPr>
                <w:ilvl w:val="0"/>
                <w:numId w:val="10"/>
              </w:numPr>
              <w:ind w:left="370"/>
              <w:rPr>
                <w:rFonts w:cstheme="minorHAnsi"/>
                <w:sz w:val="24"/>
                <w:szCs w:val="24"/>
              </w:rPr>
            </w:pPr>
            <w:r>
              <w:rPr>
                <w:rFonts w:cstheme="minorHAnsi"/>
                <w:sz w:val="20"/>
                <w:szCs w:val="20"/>
              </w:rPr>
              <w:t>Non-depressed elderly people</w:t>
            </w:r>
          </w:p>
        </w:tc>
      </w:tr>
    </w:tbl>
    <w:p w:rsidR="009176C4" w:rsidRDefault="009176C4" w:rsidP="006337B3">
      <w:pPr>
        <w:pStyle w:val="Heading2"/>
      </w:pPr>
    </w:p>
    <w:p w:rsidR="006337B3" w:rsidRDefault="006337B3" w:rsidP="006337B3">
      <w:pPr>
        <w:pStyle w:val="Heading2"/>
      </w:pPr>
      <w:r>
        <w:t>2.7.4 Summary of Clinical Safety</w:t>
      </w:r>
    </w:p>
    <w:p w:rsidR="009176C4" w:rsidRPr="009176C4" w:rsidRDefault="009176C4" w:rsidP="009176C4"/>
    <w:p w:rsidR="009176C4" w:rsidRDefault="009176C4" w:rsidP="00CA250C">
      <w:pPr>
        <w:autoSpaceDE w:val="0"/>
        <w:autoSpaceDN w:val="0"/>
        <w:adjustRightInd w:val="0"/>
        <w:spacing w:after="0" w:line="360" w:lineRule="auto"/>
        <w:ind w:left="40" w:right="-20"/>
        <w:rPr>
          <w:rFonts w:asciiTheme="majorHAnsi" w:hAnsiTheme="majorHAnsi"/>
          <w:lang w:val="en-US"/>
        </w:rPr>
      </w:pPr>
      <w:r>
        <w:rPr>
          <w:rFonts w:asciiTheme="majorHAnsi" w:hAnsiTheme="majorHAnsi"/>
        </w:rPr>
        <w:t xml:space="preserve">Bacopa has a record of several hundred years of safe therapeutic use in Ayurvedic medicine and </w:t>
      </w:r>
      <w:r>
        <w:rPr>
          <w:rFonts w:asciiTheme="majorHAnsi" w:eastAsia="ACaslonPro-Regular" w:hAnsiTheme="majorHAnsi" w:cs="ACaslonPro-Regular"/>
          <w:lang w:val="en-US"/>
        </w:rPr>
        <w:t xml:space="preserve">overall regarded as safe and well-tolerated (Singh &amp; Singh, 1980, Singh &amp; Dhawan, 1997). </w:t>
      </w:r>
      <w:r>
        <w:rPr>
          <w:rFonts w:asciiTheme="majorHAnsi" w:hAnsiTheme="majorHAnsi"/>
        </w:rPr>
        <w:t>The LD</w:t>
      </w:r>
      <w:r>
        <w:rPr>
          <w:rFonts w:asciiTheme="majorHAnsi" w:hAnsiTheme="majorHAnsi"/>
          <w:vertAlign w:val="subscript"/>
        </w:rPr>
        <w:t xml:space="preserve"> 50 </w:t>
      </w:r>
      <w:r>
        <w:rPr>
          <w:rFonts w:asciiTheme="majorHAnsi" w:hAnsiTheme="majorHAnsi"/>
        </w:rPr>
        <w:t>of aqueous and alcoholic extracts of BM in rats was 1000 mg and 15 g/kg by the intraperitoneal route, respectively.</w:t>
      </w:r>
      <w:r>
        <w:rPr>
          <w:rFonts w:asciiTheme="majorHAnsi" w:hAnsiTheme="majorHAnsi"/>
          <w:vertAlign w:val="superscript"/>
        </w:rPr>
        <w:t>  </w:t>
      </w:r>
      <w:r>
        <w:rPr>
          <w:rFonts w:asciiTheme="majorHAnsi" w:hAnsiTheme="majorHAnsi"/>
        </w:rPr>
        <w:t>The aqueous extract given orally at a dose of 5 g/kg did not show any toxicity. The LD</w:t>
      </w:r>
      <w:r>
        <w:rPr>
          <w:rFonts w:asciiTheme="majorHAnsi" w:hAnsiTheme="majorHAnsi"/>
          <w:vertAlign w:val="subscript"/>
        </w:rPr>
        <w:t> 50</w:t>
      </w:r>
      <w:r>
        <w:rPr>
          <w:rFonts w:asciiTheme="majorHAnsi" w:hAnsiTheme="majorHAnsi"/>
        </w:rPr>
        <w:t xml:space="preserve"> of the alcoholic extract was 17 g/kg given orally. Both extracts did not produce any </w:t>
        <w:lastRenderedPageBreak/>
        <w:t>gross behavioural changes at these levels (Pravina et al. 2007, Vahora et al., 1997Mandal et al., 2011).</w:t>
      </w:r>
      <w:r>
        <w:rPr>
          <w:rFonts w:asciiTheme="majorHAnsi" w:hAnsiTheme="majorHAnsi"/>
          <w:vertAlign w:val="superscript"/>
        </w:rPr>
        <w:t> </w:t>
      </w:r>
      <w:r>
        <w:rPr>
          <w:rFonts w:asciiTheme="majorHAnsi" w:eastAsia="ACaslonPro-Regular" w:hAnsiTheme="majorHAnsi" w:cs="ACaslonPro-Regular"/>
          <w:lang w:val="en-US"/>
        </w:rPr>
        <w:t xml:space="preserve"> One study using the concentrated bacopa extract reported a fairly significant number of adverse gastrointestinal effects may be caused by the cholinergic effect of bacopa and urged caution when using the herb with cholinergic drugs often used </w:t>
      </w:r>
      <w:r>
        <w:rPr>
          <w:rFonts w:asciiTheme="majorHAnsi" w:hAnsiTheme="majorHAnsi"/>
          <w:lang w:val="en-US"/>
        </w:rPr>
        <w:t xml:space="preserve">in dementia . Animal models suggest that bacopa may decrease the toxicity of the drugs morphine and phenytoin. It appears to potentiate the sedative effects of phenobarbital and chlorpromazine, suggesting that caution and forethought is warranted when combining bacopa with these types of drugs to avoid overmedication (Krishnakumar et al., 2009).  </w:t>
      </w:r>
    </w:p>
    <w:p w:rsidR="009176C4" w:rsidRPr="004609FD" w:rsidRDefault="009176C4" w:rsidP="00CA250C">
      <w:pPr>
        <w:autoSpaceDE w:val="0"/>
        <w:autoSpaceDN w:val="0"/>
        <w:adjustRightInd w:val="0"/>
        <w:spacing w:after="0" w:line="360" w:lineRule="auto"/>
        <w:rPr>
          <w:rFonts w:asciiTheme="majorHAnsi" w:hAnsiTheme="majorHAnsi"/>
        </w:rPr>
      </w:pPr>
      <w:r>
        <w:rPr>
          <w:rFonts w:asciiTheme="majorHAnsi" w:hAnsiTheme="majorHAnsi"/>
        </w:rPr>
        <w:t>In one clinical trial 18 adverse events have been reported in the Bacopa group, of which 9 were considered as “possibly related”, such as “flu-like</w:t>
      </w:r>
    </w:p>
    <w:p w:rsidR="009176C4" w:rsidRDefault="009176C4" w:rsidP="00CA250C">
      <w:pPr>
        <w:autoSpaceDE w:val="0"/>
        <w:autoSpaceDN w:val="0"/>
        <w:adjustRightInd w:val="0"/>
        <w:spacing w:after="0" w:line="360" w:lineRule="auto"/>
        <w:rPr>
          <w:rFonts w:asciiTheme="majorHAnsi" w:hAnsiTheme="majorHAnsi"/>
        </w:rPr>
      </w:pPr>
      <w:r>
        <w:rPr>
          <w:rFonts w:asciiTheme="majorHAnsi" w:hAnsiTheme="majorHAnsi"/>
        </w:rPr>
        <w:t xml:space="preserve">symptoms” and “digestive problems”. Another clinical study was also reported side-effects of thirst, nausea, and muscle fatigue.  </w:t>
      </w:r>
    </w:p>
    <w:p w:rsidR="009176C4" w:rsidRDefault="009176C4" w:rsidP="00CA250C">
      <w:pPr>
        <w:autoSpaceDE w:val="0"/>
        <w:autoSpaceDN w:val="0"/>
        <w:adjustRightInd w:val="0"/>
        <w:spacing w:after="0" w:line="360" w:lineRule="auto"/>
        <w:rPr>
          <w:rFonts w:asciiTheme="majorHAnsi" w:hAnsiTheme="majorHAnsi"/>
        </w:rPr>
      </w:pPr>
      <w:r>
        <w:rPr>
          <w:rFonts w:asciiTheme="majorHAnsi" w:hAnsiTheme="majorHAnsi"/>
        </w:rPr>
        <w:t>A double-blind, placebo-controlled clinical trial of healthy male volunteers investigated the safety of pharmacological doses of isolated bacosides over a 4-week period. Concentrated bacosides given in single (20-30 mg) and multiple (100-200 mg) daily doses were well tolerated and without adverse effects.</w:t>
      </w:r>
      <w:r>
        <w:rPr>
          <w:rFonts w:asciiTheme="majorHAnsi" w:hAnsiTheme="majorHAnsi"/>
          <w:vertAlign w:val="superscript"/>
        </w:rPr>
        <w:t> </w:t>
      </w:r>
      <w:r>
        <w:rPr>
          <w:rFonts w:asciiTheme="majorHAnsi" w:hAnsiTheme="majorHAnsi"/>
        </w:rPr>
        <w:t> </w:t>
      </w:r>
    </w:p>
    <w:p w:rsidR="005C4F7A" w:rsidRDefault="005C4F7A" w:rsidP="009176C4">
      <w:pPr>
        <w:autoSpaceDE w:val="0"/>
        <w:autoSpaceDN w:val="0"/>
        <w:adjustRightInd w:val="0"/>
        <w:spacing w:after="0" w:line="360" w:lineRule="auto"/>
        <w:rPr>
          <w:rFonts w:asciiTheme="majorHAnsi" w:hAnsiTheme="majorHAnsi"/>
        </w:rPr>
      </w:pPr>
    </w:p>
    <w:p w:rsidR="005C4F7A" w:rsidRDefault="005C4F7A" w:rsidP="009176C4">
      <w:pPr>
        <w:autoSpaceDE w:val="0"/>
        <w:autoSpaceDN w:val="0"/>
        <w:adjustRightInd w:val="0"/>
        <w:spacing w:after="0" w:line="360" w:lineRule="auto"/>
        <w:rPr>
          <w:rFonts w:asciiTheme="majorHAnsi" w:hAnsiTheme="majorHAnsi"/>
        </w:rPr>
      </w:pPr>
    </w:p>
    <w:p w:rsidR="005C4F7A" w:rsidRDefault="005C4F7A" w:rsidP="009176C4">
      <w:pPr>
        <w:autoSpaceDE w:val="0"/>
        <w:autoSpaceDN w:val="0"/>
        <w:adjustRightInd w:val="0"/>
        <w:spacing w:after="0" w:line="360" w:lineRule="auto"/>
        <w:rPr>
          <w:rFonts w:asciiTheme="majorHAnsi" w:hAnsiTheme="majorHAnsi"/>
        </w:rPr>
      </w:pPr>
    </w:p>
    <w:p w:rsidR="005C4F7A" w:rsidRDefault="005C4F7A" w:rsidP="009176C4">
      <w:pPr>
        <w:autoSpaceDE w:val="0"/>
        <w:autoSpaceDN w:val="0"/>
        <w:adjustRightInd w:val="0"/>
        <w:spacing w:after="0" w:line="360" w:lineRule="auto"/>
        <w:rPr>
          <w:rFonts w:asciiTheme="majorHAnsi" w:hAnsiTheme="majorHAnsi"/>
        </w:rPr>
      </w:pPr>
    </w:p>
    <w:p w:rsidR="005C4F7A" w:rsidRDefault="005C4F7A" w:rsidP="009176C4">
      <w:pPr>
        <w:autoSpaceDE w:val="0"/>
        <w:autoSpaceDN w:val="0"/>
        <w:adjustRightInd w:val="0"/>
        <w:spacing w:after="0" w:line="360" w:lineRule="auto"/>
        <w:rPr>
          <w:rFonts w:asciiTheme="majorHAnsi" w:hAnsiTheme="majorHAnsi"/>
        </w:rPr>
      </w:pPr>
    </w:p>
    <w:p w:rsidR="005C4F7A" w:rsidRDefault="005C4F7A" w:rsidP="009176C4">
      <w:pPr>
        <w:autoSpaceDE w:val="0"/>
        <w:autoSpaceDN w:val="0"/>
        <w:adjustRightInd w:val="0"/>
        <w:spacing w:after="0" w:line="360" w:lineRule="auto"/>
        <w:rPr>
          <w:rFonts w:asciiTheme="majorHAnsi" w:hAnsiTheme="majorHAnsi"/>
        </w:rPr>
      </w:pPr>
    </w:p>
    <w:p w:rsidR="005C4F7A" w:rsidRDefault="005C4F7A" w:rsidP="009176C4">
      <w:pPr>
        <w:autoSpaceDE w:val="0"/>
        <w:autoSpaceDN w:val="0"/>
        <w:adjustRightInd w:val="0"/>
        <w:spacing w:after="0" w:line="360" w:lineRule="auto"/>
        <w:rPr>
          <w:rFonts w:asciiTheme="majorHAnsi" w:hAnsiTheme="majorHAnsi"/>
        </w:rPr>
      </w:pPr>
    </w:p>
    <w:p w:rsidR="005C4F7A" w:rsidRDefault="005C4F7A" w:rsidP="009176C4">
      <w:pPr>
        <w:autoSpaceDE w:val="0"/>
        <w:autoSpaceDN w:val="0"/>
        <w:adjustRightInd w:val="0"/>
        <w:spacing w:after="0" w:line="360" w:lineRule="auto"/>
        <w:rPr>
          <w:rFonts w:asciiTheme="majorHAnsi" w:hAnsiTheme="majorHAnsi"/>
        </w:rPr>
      </w:pPr>
    </w:p>
    <w:p w:rsidR="005C4F7A" w:rsidRDefault="005C4F7A" w:rsidP="009176C4">
      <w:pPr>
        <w:autoSpaceDE w:val="0"/>
        <w:autoSpaceDN w:val="0"/>
        <w:adjustRightInd w:val="0"/>
        <w:spacing w:after="0" w:line="360" w:lineRule="auto"/>
        <w:rPr>
          <w:rFonts w:asciiTheme="majorHAnsi" w:hAnsiTheme="majorHAnsi"/>
        </w:rPr>
      </w:pPr>
    </w:p>
    <w:p w:rsidR="005C4F7A" w:rsidRPr="004609FD" w:rsidRDefault="005C4F7A" w:rsidP="009176C4">
      <w:pPr>
        <w:autoSpaceDE w:val="0"/>
        <w:autoSpaceDN w:val="0"/>
        <w:adjustRightInd w:val="0"/>
        <w:spacing w:after="0" w:line="360" w:lineRule="auto"/>
        <w:rPr>
          <w:rFonts w:asciiTheme="majorHAnsi" w:hAnsiTheme="majorHAnsi"/>
        </w:rPr>
      </w:pPr>
    </w:p>
    <w:p w:rsidR="00A214EA" w:rsidRDefault="00A214EA" w:rsidP="007D4466">
      <w:pPr>
        <w:pStyle w:val="Heading2"/>
      </w:pPr>
      <w:r>
        <w:lastRenderedPageBreak/>
        <w:t>2.7.5 Literature References</w:t>
      </w:r>
    </w:p>
    <w:p w:rsidR="006337B3" w:rsidRDefault="006337B3" w:rsidP="00DE10EF"/>
    <w:p w:rsidR="00686349" w:rsidRPr="002C1325" w:rsidRDefault="00686349" w:rsidP="00686349">
      <w:pPr>
        <w:spacing w:after="0" w:line="360" w:lineRule="auto"/>
        <w:rPr>
          <w:rFonts w:asciiTheme="majorHAnsi" w:hAnsiTheme="majorHAnsi" w:cstheme="minorHAnsi"/>
        </w:rPr>
      </w:pPr>
      <w:r>
        <w:rPr>
          <w:rFonts w:asciiTheme="majorHAnsi" w:hAnsiTheme="majorHAnsi" w:cstheme="minorHAnsi"/>
        </w:rPr>
        <w:t xml:space="preserve">Barbhaiya HC et al. 2008. </w:t>
      </w:r>
      <w:r>
        <w:rPr>
          <w:rFonts w:asciiTheme="majorHAnsi" w:hAnsiTheme="majorHAnsi" w:cstheme="minorHAnsi"/>
          <w:lang w:val="en-US"/>
        </w:rPr>
        <w:t xml:space="preserve">Efficacy and tolerability of BacoMind on memory improvement in elderly participants- A double blind placebo controlled study. </w:t>
      </w:r>
      <w:r>
        <w:rPr>
          <w:rFonts w:asciiTheme="majorHAnsi" w:hAnsiTheme="majorHAnsi" w:cstheme="minorHAnsi"/>
        </w:rPr>
        <w:t>J Pharmacol. Toxicol., 3: 425-434.</w:t>
      </w:r>
    </w:p>
    <w:p w:rsidR="00686349" w:rsidRPr="002C1325" w:rsidRDefault="00686349" w:rsidP="00686349">
      <w:pPr>
        <w:spacing w:after="0" w:line="360" w:lineRule="auto"/>
        <w:rPr>
          <w:rFonts w:asciiTheme="majorHAnsi" w:hAnsiTheme="majorHAnsi"/>
          <w:lang w:val="en-US"/>
        </w:rPr>
      </w:pPr>
      <w:r>
        <w:rPr>
          <w:rFonts w:asciiTheme="majorHAnsi" w:hAnsiTheme="majorHAnsi"/>
          <w:lang w:val="en-US"/>
        </w:rPr>
        <w:t>Calabrese et al. 2008. Effects of a Standardized Bacopa monnieri Extract on Cognitive Performance, Anxiety, and Depression in the Elderly: A Randomized, Double-Blind, Placebo-Controlled Trial. J Alternative &amp; Complementary Medicine, 14 (6): 707-713.</w:t>
      </w:r>
    </w:p>
    <w:p w:rsidR="00686349" w:rsidRPr="002C1325" w:rsidRDefault="00686349" w:rsidP="00686349">
      <w:pPr>
        <w:spacing w:after="0" w:line="360" w:lineRule="auto"/>
        <w:rPr>
          <w:rFonts w:asciiTheme="majorHAnsi" w:hAnsiTheme="majorHAnsi" w:cstheme="minorHAnsi"/>
          <w:bCs/>
          <w:iCs/>
          <w:spacing w:val="-1"/>
          <w:position w:val="1"/>
          <w:lang w:val="en-US"/>
        </w:rPr>
      </w:pPr>
      <w:r>
        <w:rPr>
          <w:rFonts w:asciiTheme="majorHAnsi" w:hAnsiTheme="majorHAnsi" w:cstheme="minorHAnsi"/>
          <w:bCs/>
          <w:iCs/>
          <w:spacing w:val="-1"/>
          <w:position w:val="1"/>
          <w:lang w:val="en-US"/>
        </w:rPr>
        <w:t>Mandal AK et al.</w:t>
      </w:r>
      <w:r>
        <w:rPr>
          <w:rFonts w:asciiTheme="majorHAnsi" w:eastAsiaTheme="minorHAnsi" w:hAnsiTheme="majorHAnsi" w:cstheme="minorHAnsi"/>
          <w:lang w:val="en-US" w:eastAsia="en-US"/>
        </w:rPr>
        <w:t xml:space="preserve"> 2011. </w:t>
      </w:r>
      <w:r>
        <w:rPr>
          <w:rFonts w:asciiTheme="majorHAnsi" w:hAnsiTheme="majorHAnsi" w:cstheme="minorHAnsi"/>
          <w:bCs/>
          <w:iCs/>
          <w:spacing w:val="-1"/>
          <w:position w:val="1"/>
          <w:lang w:val="en-US"/>
        </w:rPr>
        <w:t>A clinical study to evaluate the efficacy and safety of Bacopa caplets in memory and learning ability: A double blind placebo controlled study.</w:t>
      </w:r>
      <w:r>
        <w:rPr>
          <w:rFonts w:asciiTheme="majorHAnsi" w:eastAsiaTheme="minorHAnsi" w:hAnsiTheme="majorHAnsi" w:cstheme="minorHAnsi"/>
          <w:lang w:val="en-US" w:eastAsia="en-US"/>
        </w:rPr>
        <w:t xml:space="preserve"> </w:t>
      </w:r>
      <w:r>
        <w:rPr>
          <w:rFonts w:asciiTheme="majorHAnsi" w:hAnsiTheme="majorHAnsi" w:cstheme="minorHAnsi"/>
          <w:bCs/>
          <w:iCs/>
          <w:spacing w:val="-1"/>
          <w:position w:val="1"/>
          <w:lang w:val="en-US"/>
        </w:rPr>
        <w:t>Australian J Medical Herbalism, 23: 122-125.</w:t>
      </w:r>
    </w:p>
    <w:p w:rsidR="00686349" w:rsidRPr="002C1325" w:rsidRDefault="00686349" w:rsidP="00686349">
      <w:pPr>
        <w:spacing w:after="0" w:line="360" w:lineRule="auto"/>
        <w:rPr>
          <w:rFonts w:asciiTheme="majorHAnsi" w:hAnsiTheme="majorHAnsi" w:cstheme="minorHAnsi"/>
          <w:lang w:val="en-US"/>
        </w:rPr>
      </w:pPr>
      <w:r>
        <w:rPr>
          <w:rFonts w:asciiTheme="majorHAnsi" w:hAnsiTheme="majorHAnsi" w:cstheme="minorHAnsi"/>
        </w:rPr>
        <w:t xml:space="preserve">Morgan A. and Stevens J. 2010. </w:t>
      </w:r>
      <w:r>
        <w:rPr>
          <w:rFonts w:asciiTheme="majorHAnsi" w:hAnsiTheme="majorHAnsi" w:cstheme="minorHAnsi"/>
          <w:lang w:val="en-US"/>
        </w:rPr>
        <w:t>Does Bacopa monnieri improve memory performance in older persons? Results of a randomized, placebo-controlled, double blind trial. J Alternative &amp; Complementary Medicine, 16: 753-759.</w:t>
      </w:r>
    </w:p>
    <w:p w:rsidR="00686349" w:rsidRPr="002C1325" w:rsidRDefault="00686349" w:rsidP="00686349">
      <w:pPr>
        <w:spacing w:after="0" w:line="360" w:lineRule="auto"/>
        <w:rPr>
          <w:rFonts w:asciiTheme="majorHAnsi" w:hAnsiTheme="majorHAnsi"/>
          <w:lang w:val="en-US"/>
        </w:rPr>
      </w:pPr>
      <w:r>
        <w:rPr>
          <w:rFonts w:asciiTheme="majorHAnsi" w:hAnsiTheme="majorHAnsi" w:cstheme="minorHAnsi"/>
          <w:lang w:val="en-US"/>
        </w:rPr>
        <w:t>Negi KS et al. 2000. Clinical evaluative of memory enhancing properties of Memory Plus in children with Attention Deficit Hyperactivity Disorder. Indian J Psychiatry, 42(2): Supplement.</w:t>
      </w:r>
    </w:p>
    <w:p w:rsidR="00686349" w:rsidRPr="002C1325" w:rsidRDefault="00686349" w:rsidP="00686349">
      <w:pPr>
        <w:spacing w:after="0" w:line="360" w:lineRule="auto"/>
        <w:rPr>
          <w:rFonts w:asciiTheme="majorHAnsi" w:hAnsiTheme="majorHAnsi" w:cstheme="minorHAnsi"/>
          <w:lang w:val="en-US"/>
        </w:rPr>
      </w:pPr>
      <w:r>
        <w:rPr>
          <w:rFonts w:asciiTheme="majorHAnsi" w:hAnsiTheme="majorHAnsi" w:cstheme="minorHAnsi"/>
          <w:lang w:val="en-US"/>
        </w:rPr>
        <w:t>Pase MP et al. 2011. The cognitive enhancing effects of Bacopa monneiri: A systematic review of randomized, controlled human clinical trials. Journal of Alternative and Complementary Medicine (In press).</w:t>
      </w:r>
    </w:p>
    <w:p w:rsidR="00686349" w:rsidRPr="002C1325" w:rsidRDefault="00686349" w:rsidP="00686349">
      <w:pPr>
        <w:spacing w:after="0" w:line="360" w:lineRule="auto"/>
        <w:rPr>
          <w:rFonts w:asciiTheme="majorHAnsi" w:hAnsiTheme="majorHAnsi" w:cstheme="minorHAnsi"/>
        </w:rPr>
      </w:pPr>
      <w:r>
        <w:rPr>
          <w:rFonts w:asciiTheme="majorHAnsi" w:hAnsiTheme="majorHAnsi" w:cstheme="minorHAnsi"/>
        </w:rPr>
        <w:t>Pravina, K et al. 2007. Safety evaluation of BacoMind</w:t>
      </w:r>
      <w:r>
        <w:rPr>
          <w:rFonts w:asciiTheme="majorHAnsi" w:hAnsiTheme="majorHAnsi" w:cstheme="minorHAnsi"/>
          <w:vertAlign w:val="superscript"/>
        </w:rPr>
        <w:t>TM</w:t>
      </w:r>
      <w:r>
        <w:rPr>
          <w:rFonts w:asciiTheme="majorHAnsi" w:hAnsiTheme="majorHAnsi" w:cstheme="minorHAnsi"/>
        </w:rPr>
        <w:t xml:space="preserve"> in healthy volunteers: A phase I study. Phytomed., 14: 301-308.</w:t>
      </w:r>
    </w:p>
    <w:p w:rsidR="00686349" w:rsidRPr="002C1325" w:rsidRDefault="00686349" w:rsidP="00686349">
      <w:pPr>
        <w:spacing w:after="0" w:line="360" w:lineRule="auto"/>
        <w:rPr>
          <w:rFonts w:asciiTheme="majorHAnsi" w:hAnsiTheme="majorHAnsi" w:cstheme="minorHAnsi"/>
          <w:bCs/>
          <w:iCs/>
          <w:spacing w:val="-1"/>
          <w:position w:val="1"/>
        </w:rPr>
      </w:pPr>
      <w:r>
        <w:rPr>
          <w:rFonts w:asciiTheme="majorHAnsi" w:hAnsiTheme="majorHAnsi" w:cstheme="minorHAnsi"/>
          <w:bCs/>
          <w:iCs/>
          <w:spacing w:val="-1"/>
          <w:position w:val="1"/>
          <w:lang w:val="en-US"/>
        </w:rPr>
        <w:t>Rooderneys S et al.</w:t>
      </w:r>
      <w:r>
        <w:rPr>
          <w:rFonts w:asciiTheme="majorHAnsi" w:eastAsiaTheme="minorHAnsi" w:hAnsiTheme="majorHAnsi" w:cstheme="minorHAnsi"/>
          <w:spacing w:val="-5"/>
          <w:lang w:val="en-US" w:eastAsia="en-US"/>
        </w:rPr>
        <w:t xml:space="preserve"> 2002. </w:t>
      </w:r>
      <w:r>
        <w:rPr>
          <w:rFonts w:asciiTheme="majorHAnsi" w:hAnsiTheme="majorHAnsi" w:cstheme="minorHAnsi"/>
          <w:bCs/>
          <w:iCs/>
          <w:spacing w:val="-1"/>
          <w:position w:val="1"/>
          <w:lang w:val="en-US"/>
        </w:rPr>
        <w:t xml:space="preserve">Chronic Effects of Brahmi (Bacopa monnieri) on Human Memory. </w:t>
      </w:r>
      <w:r>
        <w:rPr>
          <w:rFonts w:asciiTheme="majorHAnsi" w:hAnsiTheme="majorHAnsi" w:cstheme="minorHAnsi"/>
          <w:bCs/>
          <w:iCs/>
          <w:spacing w:val="-1"/>
          <w:position w:val="1"/>
        </w:rPr>
        <w:t>Neuropsychopharmacolog</w:t>
      </w:r>
      <w:r>
        <w:rPr>
          <w:rFonts w:asciiTheme="majorHAnsi" w:hAnsiTheme="majorHAnsi" w:cstheme="minorHAnsi"/>
          <w:bCs/>
          <w:iCs/>
          <w:position w:val="1"/>
        </w:rPr>
        <w:t>y,</w:t>
      </w:r>
      <w:r>
        <w:rPr>
          <w:rFonts w:asciiTheme="majorHAnsi" w:hAnsiTheme="majorHAnsi" w:cstheme="minorHAnsi"/>
          <w:bCs/>
          <w:iCs/>
          <w:spacing w:val="-1"/>
          <w:position w:val="1"/>
        </w:rPr>
        <w:t xml:space="preserve"> 27: 279–281.</w:t>
      </w:r>
    </w:p>
    <w:p w:rsidR="00686349" w:rsidRPr="002C1325" w:rsidRDefault="00686349" w:rsidP="00686349">
      <w:pPr>
        <w:spacing w:after="0" w:line="360" w:lineRule="auto"/>
        <w:rPr>
          <w:rFonts w:asciiTheme="majorHAnsi" w:hAnsiTheme="majorHAnsi"/>
          <w:lang w:val="en-US"/>
        </w:rPr>
      </w:pPr>
      <w:r>
        <w:rPr>
          <w:rFonts w:asciiTheme="majorHAnsi" w:hAnsiTheme="majorHAnsi"/>
          <w:lang w:val="en-US"/>
        </w:rPr>
        <w:t>Singh and Singh. 1980. Studies on the anti-anxiety effect of the Medhya Rasayana drug, Brahmi (Bacopa monniera Wettst.)- Part I. J Res Ayurveda Siddha, 1(1): 133-148.</w:t>
      </w:r>
    </w:p>
    <w:p w:rsidR="00686349" w:rsidRPr="002C1325" w:rsidRDefault="00686349" w:rsidP="00686349">
      <w:pPr>
        <w:spacing w:after="0" w:line="360" w:lineRule="auto"/>
        <w:rPr>
          <w:rFonts w:asciiTheme="majorHAnsi" w:hAnsiTheme="majorHAnsi" w:cstheme="minorHAnsi"/>
        </w:rPr>
      </w:pPr>
      <w:r>
        <w:rPr>
          <w:rFonts w:asciiTheme="majorHAnsi" w:hAnsiTheme="majorHAnsi" w:cstheme="minorHAnsi"/>
        </w:rPr>
        <w:t>Singh, H.K. and Dhawan, B.N. 1997. Neuropsychopharmacological effects of the Ayurvedic nootropic Bacopa monniera Linn. (Brahmi). Indian J Pharmacology, 29: 359-365.</w:t>
      </w:r>
    </w:p>
    <w:p w:rsidR="00686349" w:rsidRPr="002C1325" w:rsidRDefault="00686349" w:rsidP="00686349">
      <w:pPr>
        <w:spacing w:after="0" w:line="360" w:lineRule="auto"/>
        <w:rPr>
          <w:rFonts w:asciiTheme="majorHAnsi" w:hAnsiTheme="majorHAnsi" w:cstheme="minorHAnsi"/>
          <w:lang w:val="en-US"/>
        </w:rPr>
      </w:pPr>
      <w:r>
        <w:rPr>
          <w:rFonts w:asciiTheme="majorHAnsi" w:hAnsiTheme="majorHAnsi" w:cstheme="minorHAnsi"/>
          <w:lang w:val="en-US"/>
        </w:rPr>
        <w:t>Stough C, et al. 2008. Examining the nootropic effects of a special extract of Bacopa monniera on human cognitive functioning: 90 Day double-blind placebo-controlled randomized trial. Phytotherapy Research 22(12):1629-1634.</w:t>
      </w:r>
    </w:p>
    <w:p w:rsidR="00686349" w:rsidRPr="002C1325" w:rsidRDefault="00686349" w:rsidP="00686349">
      <w:pPr>
        <w:autoSpaceDE w:val="0"/>
        <w:autoSpaceDN w:val="0"/>
        <w:adjustRightInd w:val="0"/>
        <w:spacing w:after="0" w:line="360" w:lineRule="auto"/>
        <w:rPr>
          <w:rFonts w:asciiTheme="majorHAnsi" w:hAnsiTheme="majorHAnsi" w:cstheme="minorHAnsi"/>
        </w:rPr>
      </w:pPr>
      <w:r>
        <w:rPr>
          <w:rFonts w:asciiTheme="majorHAnsi" w:hAnsiTheme="majorHAnsi" w:cstheme="minorHAnsi"/>
          <w:lang w:val="en-US"/>
        </w:rPr>
        <w:t>Stough C, et al. 2001. The chronic effects of an extract of Bacopa monniera (Brahmi) on cognitive function in healthy human subjects. Psychopharmacology 156(4):481-484.</w:t>
      </w:r>
    </w:p>
    <w:p w:rsidR="00686349" w:rsidRPr="002C1325" w:rsidRDefault="00686349" w:rsidP="00686349">
      <w:pPr>
        <w:autoSpaceDE w:val="0"/>
        <w:autoSpaceDN w:val="0"/>
        <w:adjustRightInd w:val="0"/>
        <w:spacing w:after="0" w:line="360" w:lineRule="auto"/>
        <w:ind w:right="-20"/>
        <w:rPr>
          <w:rFonts w:asciiTheme="majorHAnsi" w:hAnsiTheme="majorHAnsi" w:cstheme="minorHAnsi"/>
        </w:rPr>
      </w:pPr>
      <w:r>
        <w:rPr>
          <w:rFonts w:asciiTheme="majorHAnsi" w:hAnsiTheme="majorHAnsi" w:cstheme="minorHAnsi"/>
        </w:rPr>
        <w:t xml:space="preserve">Vohora, S.B. </w:t>
      </w:r>
      <w:r>
        <w:rPr>
          <w:rFonts w:asciiTheme="majorHAnsi" w:hAnsiTheme="majorHAnsi" w:cstheme="minorHAnsi"/>
          <w:spacing w:val="10"/>
        </w:rPr>
        <w:t xml:space="preserve"> </w:t>
      </w:r>
      <w:r>
        <w:rPr>
          <w:rFonts w:asciiTheme="majorHAnsi" w:hAnsiTheme="majorHAnsi" w:cstheme="minorHAnsi"/>
          <w:w w:val="111"/>
        </w:rPr>
        <w:t>et al.</w:t>
      </w:r>
      <w:r>
        <w:rPr>
          <w:rFonts w:asciiTheme="majorHAnsi" w:hAnsiTheme="majorHAnsi" w:cstheme="minorHAnsi"/>
        </w:rPr>
        <w:t xml:space="preserve"> 1997.</w:t>
      </w:r>
      <w:r>
        <w:rPr>
          <w:rFonts w:asciiTheme="majorHAnsi" w:hAnsiTheme="majorHAnsi" w:cstheme="minorHAnsi"/>
          <w:spacing w:val="4"/>
        </w:rPr>
        <w:t xml:space="preserve"> </w:t>
      </w:r>
      <w:r>
        <w:rPr>
          <w:rFonts w:asciiTheme="majorHAnsi" w:hAnsiTheme="majorHAnsi" w:cstheme="minorHAnsi"/>
        </w:rPr>
        <w:t xml:space="preserve">Analgesic </w:t>
      </w:r>
      <w:r>
        <w:rPr>
          <w:rFonts w:asciiTheme="majorHAnsi" w:hAnsiTheme="majorHAnsi" w:cstheme="minorHAnsi"/>
          <w:spacing w:val="16"/>
        </w:rPr>
        <w:t xml:space="preserve"> </w:t>
      </w:r>
      <w:r>
        <w:rPr>
          <w:rFonts w:asciiTheme="majorHAnsi" w:hAnsiTheme="majorHAnsi" w:cstheme="minorHAnsi"/>
        </w:rPr>
        <w:t xml:space="preserve">activity </w:t>
      </w:r>
      <w:r>
        <w:rPr>
          <w:rFonts w:asciiTheme="majorHAnsi" w:hAnsiTheme="majorHAnsi" w:cstheme="minorHAnsi"/>
          <w:spacing w:val="25"/>
        </w:rPr>
        <w:t xml:space="preserve"> </w:t>
      </w:r>
      <w:r>
        <w:rPr>
          <w:rFonts w:asciiTheme="majorHAnsi" w:hAnsiTheme="majorHAnsi" w:cstheme="minorHAnsi"/>
          <w:w w:val="105"/>
        </w:rPr>
        <w:t xml:space="preserve">of </w:t>
      </w:r>
      <w:r>
        <w:rPr>
          <w:rFonts w:asciiTheme="majorHAnsi" w:hAnsiTheme="majorHAnsi" w:cstheme="minorHAnsi"/>
        </w:rPr>
        <w:t>ba</w:t>
      </w:r>
      <w:bookmarkStart w:id="1" w:name="_GoBack"/>
      <w:bookmarkEnd w:id="1"/>
      <w:r>
        <w:rPr>
          <w:rFonts w:asciiTheme="majorHAnsi" w:hAnsiTheme="majorHAnsi" w:cstheme="minorHAnsi"/>
        </w:rPr>
        <w:t xml:space="preserve">cosine, a </w:t>
      </w:r>
      <w:r>
        <w:rPr>
          <w:rFonts w:asciiTheme="majorHAnsi" w:hAnsiTheme="majorHAnsi" w:cstheme="minorHAnsi"/>
          <w:spacing w:val="15"/>
        </w:rPr>
        <w:t xml:space="preserve"> </w:t>
      </w:r>
      <w:r>
        <w:rPr>
          <w:rFonts w:asciiTheme="majorHAnsi" w:hAnsiTheme="majorHAnsi" w:cstheme="minorHAnsi"/>
        </w:rPr>
        <w:t xml:space="preserve">new triterpene   </w:t>
      </w:r>
      <w:r>
        <w:rPr>
          <w:rFonts w:asciiTheme="majorHAnsi" w:hAnsiTheme="majorHAnsi" w:cstheme="minorHAnsi"/>
          <w:spacing w:val="7"/>
        </w:rPr>
        <w:t xml:space="preserve"> </w:t>
      </w:r>
      <w:r>
        <w:rPr>
          <w:rFonts w:asciiTheme="majorHAnsi" w:hAnsiTheme="majorHAnsi" w:cstheme="minorHAnsi"/>
        </w:rPr>
        <w:t>isolated from Bacopa monnie</w:t>
      </w:r>
      <w:r>
        <w:rPr>
          <w:rFonts w:asciiTheme="majorHAnsi" w:hAnsiTheme="majorHAnsi" w:cstheme="minorHAnsi"/>
          <w:spacing w:val="-2"/>
        </w:rPr>
        <w:t>r</w:t>
      </w:r>
      <w:r>
        <w:rPr>
          <w:rFonts w:asciiTheme="majorHAnsi" w:hAnsiTheme="majorHAnsi" w:cstheme="minorHAnsi"/>
        </w:rPr>
        <w:t>a</w:t>
      </w:r>
      <w:r>
        <w:rPr>
          <w:rFonts w:asciiTheme="majorHAnsi" w:hAnsiTheme="majorHAnsi" w:cstheme="minorHAnsi"/>
          <w:spacing w:val="-11"/>
        </w:rPr>
        <w:t xml:space="preserve"> </w:t>
      </w:r>
      <w:r>
        <w:rPr>
          <w:rFonts w:asciiTheme="majorHAnsi" w:hAnsiTheme="majorHAnsi" w:cstheme="minorHAnsi"/>
        </w:rPr>
        <w:t>.</w:t>
      </w:r>
      <w:r>
        <w:rPr>
          <w:rFonts w:asciiTheme="majorHAnsi" w:hAnsiTheme="majorHAnsi" w:cstheme="minorHAnsi"/>
          <w:spacing w:val="6"/>
        </w:rPr>
        <w:t xml:space="preserve"> </w:t>
      </w:r>
      <w:r>
        <w:rPr>
          <w:rFonts w:asciiTheme="majorHAnsi" w:hAnsiTheme="majorHAnsi" w:cstheme="minorHAnsi"/>
          <w:w w:val="110"/>
        </w:rPr>
        <w:t>Fitoterapia,</w:t>
      </w:r>
      <w:r>
        <w:rPr>
          <w:rFonts w:asciiTheme="majorHAnsi" w:hAnsiTheme="majorHAnsi" w:cstheme="minorHAnsi"/>
          <w:spacing w:val="8"/>
          <w:w w:val="110"/>
        </w:rPr>
        <w:t xml:space="preserve"> </w:t>
      </w:r>
      <w:r>
        <w:rPr>
          <w:rFonts w:asciiTheme="majorHAnsi" w:hAnsiTheme="majorHAnsi" w:cstheme="minorHAnsi"/>
        </w:rPr>
        <w:t>68</w:t>
      </w:r>
      <w:r>
        <w:rPr>
          <w:rFonts w:asciiTheme="majorHAnsi" w:hAnsiTheme="majorHAnsi" w:cstheme="minorHAnsi"/>
          <w:spacing w:val="11"/>
        </w:rPr>
        <w:t xml:space="preserve"> </w:t>
      </w:r>
      <w:r>
        <w:rPr>
          <w:rFonts w:asciiTheme="majorHAnsi" w:hAnsiTheme="majorHAnsi" w:cstheme="minorHAnsi"/>
        </w:rPr>
        <w:t>(4):</w:t>
      </w:r>
      <w:r>
        <w:rPr>
          <w:rFonts w:asciiTheme="majorHAnsi" w:hAnsiTheme="majorHAnsi" w:cstheme="minorHAnsi"/>
          <w:spacing w:val="15"/>
        </w:rPr>
        <w:t xml:space="preserve"> </w:t>
      </w:r>
      <w:r>
        <w:rPr>
          <w:rFonts w:asciiTheme="majorHAnsi" w:hAnsiTheme="majorHAnsi" w:cstheme="minorHAnsi"/>
          <w:w w:val="99"/>
        </w:rPr>
        <w:t>361</w:t>
      </w:r>
      <w:r>
        <w:rPr>
          <w:rFonts w:asciiTheme="majorHAnsi" w:hAnsiTheme="majorHAnsi" w:cstheme="minorHAnsi"/>
          <w:spacing w:val="-22"/>
        </w:rPr>
        <w:t xml:space="preserve"> </w:t>
      </w:r>
      <w:r>
        <w:rPr>
          <w:rFonts w:asciiTheme="majorHAnsi" w:hAnsiTheme="majorHAnsi" w:cstheme="minorHAnsi"/>
          <w:w w:val="149"/>
        </w:rPr>
        <w:t>-</w:t>
      </w:r>
      <w:r>
        <w:rPr>
          <w:rFonts w:asciiTheme="majorHAnsi" w:hAnsiTheme="majorHAnsi" w:cstheme="minorHAnsi"/>
          <w:spacing w:val="-27"/>
        </w:rPr>
        <w:t xml:space="preserve"> </w:t>
      </w:r>
      <w:r>
        <w:rPr>
          <w:rFonts w:asciiTheme="majorHAnsi" w:hAnsiTheme="majorHAnsi" w:cstheme="minorHAnsi"/>
        </w:rPr>
        <w:t>365.</w:t>
      </w:r>
    </w:p>
    <w:p w:rsidR="0057611B" w:rsidRPr="0057611B" w:rsidRDefault="0057611B" w:rsidP="0057611B">
      <w:pPr>
        <w:rPr>
          <w:lang w:val="en-US"/>
        </w:rPr>
      </w:pPr>
    </w:p>
    <w:p w:rsidR="00493030" w:rsidRDefault="00493030" w:rsidP="0057611B"/>
    <w:sectPr w:rsidR="00493030" w:rsidSect="00ED74AA">
      <w:headerReference w:type="default" r:id="rId9"/>
      <w:footerReference w:type="default" r:id="rId10"/>
      <w:pgSz w:w="16838" w:h="11906" w:orient="landscape"/>
      <w:pgMar w:top="1800" w:right="1440" w:bottom="180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1325" w:rsidRDefault="002C1325" w:rsidP="00E527F5">
      <w:pPr>
        <w:spacing w:after="0" w:line="240" w:lineRule="auto"/>
      </w:pPr>
      <w:r>
        <w:separator/>
      </w:r>
    </w:p>
  </w:endnote>
  <w:endnote w:type="continuationSeparator" w:id="0">
    <w:p w:rsidR="002C1325" w:rsidRDefault="002C1325" w:rsidP="00E52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ranklinGothic-Condensed">
    <w:panose1 w:val="00000000000000000000"/>
    <w:charset w:val="00"/>
    <w:family w:val="swiss"/>
    <w:notTrueType/>
    <w:pitch w:val="default"/>
    <w:sig w:usb0="00000003" w:usb1="00000000" w:usb2="00000000" w:usb3="00000000" w:csb0="00000001" w:csb1="00000000"/>
  </w:font>
  <w:font w:name="TimesTen-Roman">
    <w:panose1 w:val="00000000000000000000"/>
    <w:charset w:val="00"/>
    <w:family w:val="auto"/>
    <w:notTrueType/>
    <w:pitch w:val="default"/>
    <w:sig w:usb0="00000003" w:usb1="00000000" w:usb2="00000000" w:usb3="00000000" w:csb0="00000001" w:csb1="00000000"/>
  </w:font>
  <w:font w:name="TimesTen-Bold">
    <w:panose1 w:val="00000000000000000000"/>
    <w:charset w:val="00"/>
    <w:family w:val="auto"/>
    <w:notTrueType/>
    <w:pitch w:val="default"/>
    <w:sig w:usb0="00000003" w:usb1="00000000" w:usb2="00000000" w:usb3="00000000" w:csb0="00000001" w:csb1="00000000"/>
  </w:font>
  <w:font w:name="TimesTen-BoldItalic">
    <w:panose1 w:val="00000000000000000000"/>
    <w:charset w:val="00"/>
    <w:family w:val="auto"/>
    <w:notTrueType/>
    <w:pitch w:val="default"/>
    <w:sig w:usb0="00000003" w:usb1="00000000" w:usb2="00000000" w:usb3="00000000" w:csb0="00000001" w:csb1="00000000"/>
  </w:font>
  <w:font w:name="TimesTen-Italic">
    <w:panose1 w:val="00000000000000000000"/>
    <w:charset w:val="00"/>
    <w:family w:val="auto"/>
    <w:notTrueType/>
    <w:pitch w:val="default"/>
    <w:sig w:usb0="00000003" w:usb1="00000000" w:usb2="00000000" w:usb3="00000000" w:csb0="00000001" w:csb1="00000000"/>
  </w:font>
  <w:font w:name="ACaslonPro-Regular">
    <w:altName w:val="MS Mincho"/>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325" w:rsidRDefault="002C1325">
    <w:pPr>
      <w:pStyle w:val="Footer"/>
    </w:pPr>
    <w:proofErr w:type="spellStart"/>
    <w:r>
      <w:t>Mindwise</w:t>
    </w:r>
    <w:proofErr w:type="spellEnd"/>
    <w:r>
      <w:t xml:space="preserve"> </w:t>
    </w:r>
    <w:proofErr w:type="spellStart"/>
    <w:r>
      <w:t>Dossior</w:t>
    </w:r>
    <w:proofErr w:type="spellEnd"/>
    <w:r>
      <w:ptab w:relativeTo="margin" w:alignment="center" w:leader="none"/>
    </w:r>
    <w:r>
      <w:t>Efficacy Module</w:t>
    </w:r>
    <w:r>
      <w:ptab w:relativeTo="margin" w:alignment="right"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1325" w:rsidRDefault="002C1325" w:rsidP="00E527F5">
      <w:pPr>
        <w:spacing w:after="0" w:line="240" w:lineRule="auto"/>
      </w:pPr>
      <w:r>
        <w:separator/>
      </w:r>
    </w:p>
  </w:footnote>
  <w:footnote w:type="continuationSeparator" w:id="0">
    <w:p w:rsidR="002C1325" w:rsidRDefault="002C1325" w:rsidP="00E527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325" w:rsidRPr="00B73A04" w:rsidRDefault="002C1325">
    <w:pPr>
      <w:pStyle w:val="Header"/>
      <w:rPr>
        <w:u w:val="double"/>
      </w:rPr>
    </w:pPr>
    <w:r w:rsidRPr="00B73A04">
      <w:rPr>
        <w:u w:val="double"/>
      </w:rPr>
      <w:ptab w:relativeTo="margin" w:alignment="right" w:leader="none"/>
    </w:r>
    <w:r w:rsidRPr="00B73A04">
      <w:rPr>
        <w:noProof/>
        <w:u w:val="double"/>
        <w:lang w:val="en-US" w:eastAsia="en-US"/>
      </w:rPr>
      <w:drawing>
        <wp:inline distT="0" distB="0" distL="0" distR="0" wp14:anchorId="7DD39E31" wp14:editId="3A68C8B8">
          <wp:extent cx="613727" cy="449069"/>
          <wp:effectExtent l="19050" t="0" r="0" b="0"/>
          <wp:docPr id="8" name="Picture 8" descr="LM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MC Logo"/>
                  <pic:cNvPicPr>
                    <a:picLocks noChangeAspect="1" noChangeArrowheads="1"/>
                  </pic:cNvPicPr>
                </pic:nvPicPr>
                <pic:blipFill>
                  <a:blip r:embed="rId1" r:link="rId2"/>
                  <a:srcRect/>
                  <a:stretch>
                    <a:fillRect/>
                  </a:stretch>
                </pic:blipFill>
                <pic:spPr bwMode="auto">
                  <a:xfrm>
                    <a:off x="0" y="0"/>
                    <a:ext cx="613727" cy="449069"/>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41080"/>
    <w:multiLevelType w:val="multilevel"/>
    <w:tmpl w:val="730C1CDC"/>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nsid w:val="035C2227"/>
    <w:multiLevelType w:val="hybridMultilevel"/>
    <w:tmpl w:val="C56A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A66CB3"/>
    <w:multiLevelType w:val="hybridMultilevel"/>
    <w:tmpl w:val="B1BE5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DF4220"/>
    <w:multiLevelType w:val="hybridMultilevel"/>
    <w:tmpl w:val="29A29E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04E3B09"/>
    <w:multiLevelType w:val="hybridMultilevel"/>
    <w:tmpl w:val="F9248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F914D0"/>
    <w:multiLevelType w:val="hybridMultilevel"/>
    <w:tmpl w:val="4D76F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C47AB9"/>
    <w:multiLevelType w:val="hybridMultilevel"/>
    <w:tmpl w:val="D3AAB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F44D0E"/>
    <w:multiLevelType w:val="multilevel"/>
    <w:tmpl w:val="7502674C"/>
    <w:lvl w:ilvl="0">
      <w:start w:val="1"/>
      <w:numFmt w:val="decimal"/>
      <w:lvlText w:val="%1."/>
      <w:lvlJc w:val="left"/>
      <w:pPr>
        <w:ind w:left="54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19FD2A4D"/>
    <w:multiLevelType w:val="hybridMultilevel"/>
    <w:tmpl w:val="A7969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197429"/>
    <w:multiLevelType w:val="hybridMultilevel"/>
    <w:tmpl w:val="62443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2965B5"/>
    <w:multiLevelType w:val="hybridMultilevel"/>
    <w:tmpl w:val="AA68C56C"/>
    <w:lvl w:ilvl="0" w:tplc="D480B5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EEB5FEE"/>
    <w:multiLevelType w:val="hybridMultilevel"/>
    <w:tmpl w:val="0B564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8030F0"/>
    <w:multiLevelType w:val="hybridMultilevel"/>
    <w:tmpl w:val="4AB8F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47782C"/>
    <w:multiLevelType w:val="hybridMultilevel"/>
    <w:tmpl w:val="8DE2AC9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B812A63"/>
    <w:multiLevelType w:val="multilevel"/>
    <w:tmpl w:val="BAEC6186"/>
    <w:lvl w:ilvl="0">
      <w:start w:val="4"/>
      <w:numFmt w:val="decimal"/>
      <w:lvlText w:val="%1"/>
      <w:lvlJc w:val="left"/>
      <w:pPr>
        <w:ind w:left="360" w:hanging="360"/>
      </w:pPr>
      <w:rPr>
        <w:rFonts w:hint="default"/>
      </w:rPr>
    </w:lvl>
    <w:lvl w:ilvl="1">
      <w:start w:val="1"/>
      <w:numFmt w:val="decimal"/>
      <w:lvlText w:val="%1.%2"/>
      <w:lvlJc w:val="left"/>
      <w:pPr>
        <w:ind w:left="702" w:hanging="360"/>
      </w:pPr>
      <w:rPr>
        <w:rFonts w:hint="default"/>
      </w:rPr>
    </w:lvl>
    <w:lvl w:ilvl="2">
      <w:start w:val="1"/>
      <w:numFmt w:val="decimal"/>
      <w:lvlText w:val="%1.%2.%3"/>
      <w:lvlJc w:val="left"/>
      <w:pPr>
        <w:ind w:left="1404" w:hanging="720"/>
      </w:pPr>
      <w:rPr>
        <w:rFonts w:hint="default"/>
      </w:rPr>
    </w:lvl>
    <w:lvl w:ilvl="3">
      <w:start w:val="1"/>
      <w:numFmt w:val="decimal"/>
      <w:lvlText w:val="%1.%2.%3.%4"/>
      <w:lvlJc w:val="left"/>
      <w:pPr>
        <w:ind w:left="1746" w:hanging="720"/>
      </w:pPr>
      <w:rPr>
        <w:rFonts w:hint="default"/>
      </w:rPr>
    </w:lvl>
    <w:lvl w:ilvl="4">
      <w:start w:val="1"/>
      <w:numFmt w:val="decimal"/>
      <w:lvlText w:val="%1.%2.%3.%4.%5"/>
      <w:lvlJc w:val="left"/>
      <w:pPr>
        <w:ind w:left="2448" w:hanging="1080"/>
      </w:pPr>
      <w:rPr>
        <w:rFonts w:hint="default"/>
      </w:rPr>
    </w:lvl>
    <w:lvl w:ilvl="5">
      <w:start w:val="1"/>
      <w:numFmt w:val="decimal"/>
      <w:lvlText w:val="%1.%2.%3.%4.%5.%6"/>
      <w:lvlJc w:val="left"/>
      <w:pPr>
        <w:ind w:left="2790" w:hanging="1080"/>
      </w:pPr>
      <w:rPr>
        <w:rFonts w:hint="default"/>
      </w:rPr>
    </w:lvl>
    <w:lvl w:ilvl="6">
      <w:start w:val="1"/>
      <w:numFmt w:val="decimal"/>
      <w:lvlText w:val="%1.%2.%3.%4.%5.%6.%7"/>
      <w:lvlJc w:val="left"/>
      <w:pPr>
        <w:ind w:left="3492" w:hanging="1440"/>
      </w:pPr>
      <w:rPr>
        <w:rFonts w:hint="default"/>
      </w:rPr>
    </w:lvl>
    <w:lvl w:ilvl="7">
      <w:start w:val="1"/>
      <w:numFmt w:val="decimal"/>
      <w:lvlText w:val="%1.%2.%3.%4.%5.%6.%7.%8"/>
      <w:lvlJc w:val="left"/>
      <w:pPr>
        <w:ind w:left="3834" w:hanging="1440"/>
      </w:pPr>
      <w:rPr>
        <w:rFonts w:hint="default"/>
      </w:rPr>
    </w:lvl>
    <w:lvl w:ilvl="8">
      <w:start w:val="1"/>
      <w:numFmt w:val="decimal"/>
      <w:lvlText w:val="%1.%2.%3.%4.%5.%6.%7.%8.%9"/>
      <w:lvlJc w:val="left"/>
      <w:pPr>
        <w:ind w:left="4536" w:hanging="1800"/>
      </w:pPr>
      <w:rPr>
        <w:rFonts w:hint="default"/>
      </w:rPr>
    </w:lvl>
  </w:abstractNum>
  <w:abstractNum w:abstractNumId="15">
    <w:nsid w:val="2D473B1E"/>
    <w:multiLevelType w:val="hybridMultilevel"/>
    <w:tmpl w:val="80361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DF380E"/>
    <w:multiLevelType w:val="hybridMultilevel"/>
    <w:tmpl w:val="579E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97F7BA7"/>
    <w:multiLevelType w:val="hybridMultilevel"/>
    <w:tmpl w:val="01D23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8711EE"/>
    <w:multiLevelType w:val="hybridMultilevel"/>
    <w:tmpl w:val="27E0157E"/>
    <w:lvl w:ilvl="0" w:tplc="263C13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F752AC1"/>
    <w:multiLevelType w:val="hybridMultilevel"/>
    <w:tmpl w:val="25DA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23832E9"/>
    <w:multiLevelType w:val="hybridMultilevel"/>
    <w:tmpl w:val="C152F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4EA7A7C"/>
    <w:multiLevelType w:val="hybridMultilevel"/>
    <w:tmpl w:val="6DFE0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74C7082"/>
    <w:multiLevelType w:val="hybridMultilevel"/>
    <w:tmpl w:val="074EA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A9E5F9C"/>
    <w:multiLevelType w:val="hybridMultilevel"/>
    <w:tmpl w:val="B824E284"/>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B646DE2"/>
    <w:multiLevelType w:val="hybridMultilevel"/>
    <w:tmpl w:val="7696E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310670D"/>
    <w:multiLevelType w:val="multilevel"/>
    <w:tmpl w:val="5FFE1A2A"/>
    <w:lvl w:ilvl="0">
      <w:start w:val="4"/>
      <w:numFmt w:val="decimal"/>
      <w:lvlText w:val="%1."/>
      <w:lvlJc w:val="left"/>
      <w:pPr>
        <w:ind w:left="360" w:hanging="360"/>
      </w:pPr>
      <w:rPr>
        <w:rFonts w:hint="default"/>
      </w:rPr>
    </w:lvl>
    <w:lvl w:ilvl="1">
      <w:start w:val="1"/>
      <w:numFmt w:val="decimal"/>
      <w:lvlText w:val="%1.%2."/>
      <w:lvlJc w:val="left"/>
      <w:pPr>
        <w:ind w:left="1127" w:hanging="360"/>
      </w:pPr>
      <w:rPr>
        <w:rFonts w:hint="default"/>
      </w:rPr>
    </w:lvl>
    <w:lvl w:ilvl="2">
      <w:start w:val="1"/>
      <w:numFmt w:val="decimal"/>
      <w:lvlText w:val="%1.%2.%3."/>
      <w:lvlJc w:val="left"/>
      <w:pPr>
        <w:ind w:left="2254" w:hanging="720"/>
      </w:pPr>
      <w:rPr>
        <w:rFonts w:hint="default"/>
      </w:rPr>
    </w:lvl>
    <w:lvl w:ilvl="3">
      <w:start w:val="1"/>
      <w:numFmt w:val="decimal"/>
      <w:lvlText w:val="%1.%2.%3.%4."/>
      <w:lvlJc w:val="left"/>
      <w:pPr>
        <w:ind w:left="3021" w:hanging="720"/>
      </w:pPr>
      <w:rPr>
        <w:rFonts w:hint="default"/>
      </w:rPr>
    </w:lvl>
    <w:lvl w:ilvl="4">
      <w:start w:val="1"/>
      <w:numFmt w:val="decimal"/>
      <w:lvlText w:val="%1.%2.%3.%4.%5."/>
      <w:lvlJc w:val="left"/>
      <w:pPr>
        <w:ind w:left="4148" w:hanging="1080"/>
      </w:pPr>
      <w:rPr>
        <w:rFonts w:hint="default"/>
      </w:rPr>
    </w:lvl>
    <w:lvl w:ilvl="5">
      <w:start w:val="1"/>
      <w:numFmt w:val="decimal"/>
      <w:lvlText w:val="%1.%2.%3.%4.%5.%6."/>
      <w:lvlJc w:val="left"/>
      <w:pPr>
        <w:ind w:left="4915" w:hanging="1080"/>
      </w:pPr>
      <w:rPr>
        <w:rFonts w:hint="default"/>
      </w:rPr>
    </w:lvl>
    <w:lvl w:ilvl="6">
      <w:start w:val="1"/>
      <w:numFmt w:val="decimal"/>
      <w:lvlText w:val="%1.%2.%3.%4.%5.%6.%7."/>
      <w:lvlJc w:val="left"/>
      <w:pPr>
        <w:ind w:left="6042" w:hanging="1440"/>
      </w:pPr>
      <w:rPr>
        <w:rFonts w:hint="default"/>
      </w:rPr>
    </w:lvl>
    <w:lvl w:ilvl="7">
      <w:start w:val="1"/>
      <w:numFmt w:val="decimal"/>
      <w:lvlText w:val="%1.%2.%3.%4.%5.%6.%7.%8."/>
      <w:lvlJc w:val="left"/>
      <w:pPr>
        <w:ind w:left="6809" w:hanging="1440"/>
      </w:pPr>
      <w:rPr>
        <w:rFonts w:hint="default"/>
      </w:rPr>
    </w:lvl>
    <w:lvl w:ilvl="8">
      <w:start w:val="1"/>
      <w:numFmt w:val="decimal"/>
      <w:lvlText w:val="%1.%2.%3.%4.%5.%6.%7.%8.%9."/>
      <w:lvlJc w:val="left"/>
      <w:pPr>
        <w:ind w:left="7936" w:hanging="1800"/>
      </w:pPr>
      <w:rPr>
        <w:rFonts w:hint="default"/>
      </w:rPr>
    </w:lvl>
  </w:abstractNum>
  <w:abstractNum w:abstractNumId="26">
    <w:nsid w:val="535C3FB7"/>
    <w:multiLevelType w:val="hybridMultilevel"/>
    <w:tmpl w:val="0BE48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3EE10F2"/>
    <w:multiLevelType w:val="hybridMultilevel"/>
    <w:tmpl w:val="BA5CE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3EF4A79"/>
    <w:multiLevelType w:val="hybridMultilevel"/>
    <w:tmpl w:val="A8682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F65318"/>
    <w:multiLevelType w:val="multilevel"/>
    <w:tmpl w:val="F2FA1F8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58B44D1A"/>
    <w:multiLevelType w:val="hybridMultilevel"/>
    <w:tmpl w:val="C04CA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C2F3745"/>
    <w:multiLevelType w:val="hybridMultilevel"/>
    <w:tmpl w:val="42120B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5EF3648A"/>
    <w:multiLevelType w:val="hybridMultilevel"/>
    <w:tmpl w:val="84B0F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F9805BC"/>
    <w:multiLevelType w:val="hybridMultilevel"/>
    <w:tmpl w:val="58E0E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4D16BB1"/>
    <w:multiLevelType w:val="hybridMultilevel"/>
    <w:tmpl w:val="E46ECC38"/>
    <w:lvl w:ilvl="0" w:tplc="525295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B42C4A"/>
    <w:multiLevelType w:val="multilevel"/>
    <w:tmpl w:val="36EE96D4"/>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6">
    <w:nsid w:val="68851006"/>
    <w:multiLevelType w:val="hybridMultilevel"/>
    <w:tmpl w:val="A01C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A4113C1"/>
    <w:multiLevelType w:val="hybridMultilevel"/>
    <w:tmpl w:val="FCB8C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EA801F2"/>
    <w:multiLevelType w:val="hybridMultilevel"/>
    <w:tmpl w:val="B456E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3444318"/>
    <w:multiLevelType w:val="multilevel"/>
    <w:tmpl w:val="EA26702C"/>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nsid w:val="7B6D56EF"/>
    <w:multiLevelType w:val="hybridMultilevel"/>
    <w:tmpl w:val="CEA63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D172846"/>
    <w:multiLevelType w:val="hybridMultilevel"/>
    <w:tmpl w:val="FC7CD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3"/>
  </w:num>
  <w:num w:numId="3">
    <w:abstractNumId w:val="36"/>
  </w:num>
  <w:num w:numId="4">
    <w:abstractNumId w:val="24"/>
  </w:num>
  <w:num w:numId="5">
    <w:abstractNumId w:val="38"/>
  </w:num>
  <w:num w:numId="6">
    <w:abstractNumId w:val="12"/>
  </w:num>
  <w:num w:numId="7">
    <w:abstractNumId w:val="28"/>
  </w:num>
  <w:num w:numId="8">
    <w:abstractNumId w:val="11"/>
  </w:num>
  <w:num w:numId="9">
    <w:abstractNumId w:val="19"/>
  </w:num>
  <w:num w:numId="10">
    <w:abstractNumId w:val="21"/>
  </w:num>
  <w:num w:numId="11">
    <w:abstractNumId w:val="22"/>
  </w:num>
  <w:num w:numId="12">
    <w:abstractNumId w:val="26"/>
  </w:num>
  <w:num w:numId="13">
    <w:abstractNumId w:val="20"/>
  </w:num>
  <w:num w:numId="14">
    <w:abstractNumId w:val="40"/>
  </w:num>
  <w:num w:numId="15">
    <w:abstractNumId w:val="2"/>
  </w:num>
  <w:num w:numId="16">
    <w:abstractNumId w:val="9"/>
  </w:num>
  <w:num w:numId="17">
    <w:abstractNumId w:val="31"/>
  </w:num>
  <w:num w:numId="18">
    <w:abstractNumId w:val="5"/>
  </w:num>
  <w:num w:numId="19">
    <w:abstractNumId w:val="17"/>
  </w:num>
  <w:num w:numId="20">
    <w:abstractNumId w:val="32"/>
  </w:num>
  <w:num w:numId="21">
    <w:abstractNumId w:val="1"/>
  </w:num>
  <w:num w:numId="22">
    <w:abstractNumId w:val="16"/>
  </w:num>
  <w:num w:numId="23">
    <w:abstractNumId w:val="39"/>
  </w:num>
  <w:num w:numId="24">
    <w:abstractNumId w:val="15"/>
  </w:num>
  <w:num w:numId="25">
    <w:abstractNumId w:val="30"/>
  </w:num>
  <w:num w:numId="26">
    <w:abstractNumId w:val="7"/>
  </w:num>
  <w:num w:numId="27">
    <w:abstractNumId w:val="35"/>
  </w:num>
  <w:num w:numId="28">
    <w:abstractNumId w:val="25"/>
  </w:num>
  <w:num w:numId="29">
    <w:abstractNumId w:val="0"/>
  </w:num>
  <w:num w:numId="30">
    <w:abstractNumId w:val="23"/>
  </w:num>
  <w:num w:numId="31">
    <w:abstractNumId w:val="14"/>
  </w:num>
  <w:num w:numId="32">
    <w:abstractNumId w:val="29"/>
  </w:num>
  <w:num w:numId="33">
    <w:abstractNumId w:val="8"/>
  </w:num>
  <w:num w:numId="34">
    <w:abstractNumId w:val="41"/>
  </w:num>
  <w:num w:numId="35">
    <w:abstractNumId w:val="27"/>
  </w:num>
  <w:num w:numId="36">
    <w:abstractNumId w:val="33"/>
  </w:num>
  <w:num w:numId="37">
    <w:abstractNumId w:val="4"/>
  </w:num>
  <w:num w:numId="38">
    <w:abstractNumId w:val="37"/>
  </w:num>
  <w:num w:numId="39">
    <w:abstractNumId w:val="6"/>
  </w:num>
  <w:num w:numId="40">
    <w:abstractNumId w:val="34"/>
  </w:num>
  <w:num w:numId="41">
    <w:abstractNumId w:val="18"/>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3030"/>
    <w:rsid w:val="0004076E"/>
    <w:rsid w:val="00057276"/>
    <w:rsid w:val="00074898"/>
    <w:rsid w:val="0009451F"/>
    <w:rsid w:val="000E56AE"/>
    <w:rsid w:val="00104AA3"/>
    <w:rsid w:val="001066A2"/>
    <w:rsid w:val="001677D8"/>
    <w:rsid w:val="00177C42"/>
    <w:rsid w:val="001A51DA"/>
    <w:rsid w:val="001B79CE"/>
    <w:rsid w:val="001C4511"/>
    <w:rsid w:val="001D4D52"/>
    <w:rsid w:val="00221A1B"/>
    <w:rsid w:val="002236D5"/>
    <w:rsid w:val="00223FC4"/>
    <w:rsid w:val="002250CA"/>
    <w:rsid w:val="0023334E"/>
    <w:rsid w:val="002375AB"/>
    <w:rsid w:val="00237D51"/>
    <w:rsid w:val="00246926"/>
    <w:rsid w:val="00251B77"/>
    <w:rsid w:val="00266954"/>
    <w:rsid w:val="00294E29"/>
    <w:rsid w:val="002A7FA8"/>
    <w:rsid w:val="002C1325"/>
    <w:rsid w:val="002E7A5D"/>
    <w:rsid w:val="002F2E15"/>
    <w:rsid w:val="00342C00"/>
    <w:rsid w:val="00347ED4"/>
    <w:rsid w:val="00367D15"/>
    <w:rsid w:val="00385C81"/>
    <w:rsid w:val="00385E38"/>
    <w:rsid w:val="003E32B4"/>
    <w:rsid w:val="0041334B"/>
    <w:rsid w:val="0041609C"/>
    <w:rsid w:val="00430A34"/>
    <w:rsid w:val="00444FFF"/>
    <w:rsid w:val="00454395"/>
    <w:rsid w:val="004609FD"/>
    <w:rsid w:val="00465403"/>
    <w:rsid w:val="004804A1"/>
    <w:rsid w:val="00493030"/>
    <w:rsid w:val="00494B43"/>
    <w:rsid w:val="004D35A3"/>
    <w:rsid w:val="004D6CAD"/>
    <w:rsid w:val="004D7852"/>
    <w:rsid w:val="004E711B"/>
    <w:rsid w:val="00524435"/>
    <w:rsid w:val="0054363E"/>
    <w:rsid w:val="0057611B"/>
    <w:rsid w:val="005A51C7"/>
    <w:rsid w:val="005B1FEC"/>
    <w:rsid w:val="005C4F7A"/>
    <w:rsid w:val="005F3EFF"/>
    <w:rsid w:val="006005E4"/>
    <w:rsid w:val="00621058"/>
    <w:rsid w:val="006337B3"/>
    <w:rsid w:val="006344DE"/>
    <w:rsid w:val="0065125C"/>
    <w:rsid w:val="00686103"/>
    <w:rsid w:val="00686349"/>
    <w:rsid w:val="006942CB"/>
    <w:rsid w:val="006A14FD"/>
    <w:rsid w:val="006B2E99"/>
    <w:rsid w:val="006C28E5"/>
    <w:rsid w:val="006E3FA7"/>
    <w:rsid w:val="00703349"/>
    <w:rsid w:val="00705B2A"/>
    <w:rsid w:val="00722E62"/>
    <w:rsid w:val="007416E7"/>
    <w:rsid w:val="007500C5"/>
    <w:rsid w:val="00760B47"/>
    <w:rsid w:val="00783971"/>
    <w:rsid w:val="007A741A"/>
    <w:rsid w:val="007B5A87"/>
    <w:rsid w:val="007C3CB8"/>
    <w:rsid w:val="007D4466"/>
    <w:rsid w:val="007E0191"/>
    <w:rsid w:val="00833E9D"/>
    <w:rsid w:val="008405F3"/>
    <w:rsid w:val="00903F8A"/>
    <w:rsid w:val="009176C4"/>
    <w:rsid w:val="009211EF"/>
    <w:rsid w:val="009252AD"/>
    <w:rsid w:val="00951130"/>
    <w:rsid w:val="00994ABC"/>
    <w:rsid w:val="009A0BD7"/>
    <w:rsid w:val="00A06795"/>
    <w:rsid w:val="00A11146"/>
    <w:rsid w:val="00A12F9D"/>
    <w:rsid w:val="00A214EA"/>
    <w:rsid w:val="00A454B6"/>
    <w:rsid w:val="00A638A7"/>
    <w:rsid w:val="00AA4FDE"/>
    <w:rsid w:val="00AB5653"/>
    <w:rsid w:val="00AC0B6E"/>
    <w:rsid w:val="00AC5847"/>
    <w:rsid w:val="00AD596D"/>
    <w:rsid w:val="00AD7AF9"/>
    <w:rsid w:val="00AE2030"/>
    <w:rsid w:val="00B17794"/>
    <w:rsid w:val="00B22D3A"/>
    <w:rsid w:val="00B347E5"/>
    <w:rsid w:val="00B37C25"/>
    <w:rsid w:val="00B41649"/>
    <w:rsid w:val="00B42B4E"/>
    <w:rsid w:val="00B449E3"/>
    <w:rsid w:val="00B47565"/>
    <w:rsid w:val="00B511AF"/>
    <w:rsid w:val="00B56FBD"/>
    <w:rsid w:val="00B679AA"/>
    <w:rsid w:val="00B73A04"/>
    <w:rsid w:val="00B74D6D"/>
    <w:rsid w:val="00BA41E5"/>
    <w:rsid w:val="00BB2AA8"/>
    <w:rsid w:val="00BF5081"/>
    <w:rsid w:val="00BF524E"/>
    <w:rsid w:val="00C02A20"/>
    <w:rsid w:val="00C33CAE"/>
    <w:rsid w:val="00C51A02"/>
    <w:rsid w:val="00C70090"/>
    <w:rsid w:val="00C7323C"/>
    <w:rsid w:val="00C85FF3"/>
    <w:rsid w:val="00C92714"/>
    <w:rsid w:val="00CA0A25"/>
    <w:rsid w:val="00CA250C"/>
    <w:rsid w:val="00CC356B"/>
    <w:rsid w:val="00CD0923"/>
    <w:rsid w:val="00CE7B5B"/>
    <w:rsid w:val="00D06378"/>
    <w:rsid w:val="00D20142"/>
    <w:rsid w:val="00D21221"/>
    <w:rsid w:val="00D22A18"/>
    <w:rsid w:val="00D33F76"/>
    <w:rsid w:val="00D63CF2"/>
    <w:rsid w:val="00D71C20"/>
    <w:rsid w:val="00D80597"/>
    <w:rsid w:val="00D970D7"/>
    <w:rsid w:val="00DB338C"/>
    <w:rsid w:val="00DE10EF"/>
    <w:rsid w:val="00E12BC1"/>
    <w:rsid w:val="00E164B0"/>
    <w:rsid w:val="00E279CC"/>
    <w:rsid w:val="00E27AB5"/>
    <w:rsid w:val="00E35639"/>
    <w:rsid w:val="00E5175C"/>
    <w:rsid w:val="00E527F5"/>
    <w:rsid w:val="00E66AB5"/>
    <w:rsid w:val="00ED3AC6"/>
    <w:rsid w:val="00ED74AA"/>
    <w:rsid w:val="00F20A7D"/>
    <w:rsid w:val="00F472AA"/>
    <w:rsid w:val="00F522C7"/>
    <w:rsid w:val="00F57600"/>
    <w:rsid w:val="00FA5DD4"/>
    <w:rsid w:val="00FB51D7"/>
    <w:rsid w:val="00FE0F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B33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9303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B338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4692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49303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93030"/>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493030"/>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4930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DB338C"/>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DB338C"/>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BA41E5"/>
    <w:pPr>
      <w:ind w:left="720"/>
      <w:contextualSpacing/>
    </w:pPr>
  </w:style>
  <w:style w:type="character" w:styleId="Hyperlink">
    <w:name w:val="Hyperlink"/>
    <w:basedOn w:val="DefaultParagraphFont"/>
    <w:uiPriority w:val="99"/>
    <w:unhideWhenUsed/>
    <w:rsid w:val="001677D8"/>
    <w:rPr>
      <w:color w:val="0000FF" w:themeColor="hyperlink"/>
      <w:u w:val="single"/>
    </w:rPr>
  </w:style>
  <w:style w:type="character" w:styleId="PlaceholderText">
    <w:name w:val="Placeholder Text"/>
    <w:basedOn w:val="DefaultParagraphFont"/>
    <w:uiPriority w:val="99"/>
    <w:semiHidden/>
    <w:rsid w:val="00B17794"/>
    <w:rPr>
      <w:color w:val="808080"/>
    </w:rPr>
  </w:style>
  <w:style w:type="paragraph" w:styleId="BalloonText">
    <w:name w:val="Balloon Text"/>
    <w:basedOn w:val="Normal"/>
    <w:link w:val="BalloonTextChar"/>
    <w:uiPriority w:val="99"/>
    <w:semiHidden/>
    <w:unhideWhenUsed/>
    <w:rsid w:val="00B177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7794"/>
    <w:rPr>
      <w:rFonts w:ascii="Tahoma" w:hAnsi="Tahoma" w:cs="Tahoma"/>
      <w:sz w:val="16"/>
      <w:szCs w:val="16"/>
    </w:rPr>
  </w:style>
  <w:style w:type="paragraph" w:styleId="Header">
    <w:name w:val="header"/>
    <w:basedOn w:val="Normal"/>
    <w:link w:val="HeaderChar"/>
    <w:uiPriority w:val="99"/>
    <w:unhideWhenUsed/>
    <w:rsid w:val="00E527F5"/>
    <w:pPr>
      <w:tabs>
        <w:tab w:val="center" w:pos="4153"/>
        <w:tab w:val="right" w:pos="8306"/>
      </w:tabs>
      <w:spacing w:after="0" w:line="240" w:lineRule="auto"/>
    </w:pPr>
  </w:style>
  <w:style w:type="character" w:customStyle="1" w:styleId="HeaderChar">
    <w:name w:val="Header Char"/>
    <w:basedOn w:val="DefaultParagraphFont"/>
    <w:link w:val="Header"/>
    <w:uiPriority w:val="99"/>
    <w:rsid w:val="00E527F5"/>
  </w:style>
  <w:style w:type="paragraph" w:styleId="Footer">
    <w:name w:val="footer"/>
    <w:basedOn w:val="Normal"/>
    <w:link w:val="FooterChar"/>
    <w:uiPriority w:val="99"/>
    <w:unhideWhenUsed/>
    <w:rsid w:val="00E527F5"/>
    <w:pPr>
      <w:tabs>
        <w:tab w:val="center" w:pos="4153"/>
        <w:tab w:val="right" w:pos="8306"/>
      </w:tabs>
      <w:spacing w:after="0" w:line="240" w:lineRule="auto"/>
    </w:pPr>
  </w:style>
  <w:style w:type="character" w:customStyle="1" w:styleId="FooterChar">
    <w:name w:val="Footer Char"/>
    <w:basedOn w:val="DefaultParagraphFont"/>
    <w:link w:val="Footer"/>
    <w:uiPriority w:val="99"/>
    <w:rsid w:val="00E527F5"/>
  </w:style>
  <w:style w:type="character" w:customStyle="1" w:styleId="Heading4Char">
    <w:name w:val="Heading 4 Char"/>
    <w:basedOn w:val="DefaultParagraphFont"/>
    <w:link w:val="Heading4"/>
    <w:uiPriority w:val="9"/>
    <w:rsid w:val="00246926"/>
    <w:rPr>
      <w:rFonts w:asciiTheme="majorHAnsi" w:eastAsiaTheme="majorEastAsia" w:hAnsiTheme="majorHAnsi" w:cstheme="majorBidi"/>
      <w:b/>
      <w:bCs/>
      <w:i/>
      <w:iCs/>
      <w:color w:val="4F81BD" w:themeColor="accent1"/>
    </w:rPr>
  </w:style>
  <w:style w:type="table" w:customStyle="1" w:styleId="TableGrid1">
    <w:name w:val="Table Grid1"/>
    <w:basedOn w:val="TableNormal"/>
    <w:next w:val="TableGrid"/>
    <w:uiPriority w:val="59"/>
    <w:rsid w:val="00ED74AA"/>
    <w:pPr>
      <w:spacing w:after="0" w:line="240" w:lineRule="auto"/>
    </w:pPr>
    <w:rPr>
      <w:rFonts w:eastAsia="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ED74AA"/>
    <w:pPr>
      <w:spacing w:after="0" w:line="240" w:lineRule="auto"/>
    </w:pPr>
    <w:rPr>
      <w:rFonts w:eastAsia="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FA5DD4"/>
    <w:pPr>
      <w:spacing w:after="0" w:line="240" w:lineRule="auto"/>
    </w:pPr>
    <w:rPr>
      <w:rFonts w:eastAsia="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2E7A5D"/>
    <w:pPr>
      <w:spacing w:after="0" w:line="240" w:lineRule="auto"/>
    </w:pPr>
    <w:rPr>
      <w:rFonts w:eastAsia="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B33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9303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B338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4692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49303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93030"/>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493030"/>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4930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DB338C"/>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DB338C"/>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BA41E5"/>
    <w:pPr>
      <w:ind w:left="720"/>
      <w:contextualSpacing/>
    </w:pPr>
  </w:style>
  <w:style w:type="character" w:styleId="Hyperlink">
    <w:name w:val="Hyperlink"/>
    <w:basedOn w:val="DefaultParagraphFont"/>
    <w:uiPriority w:val="99"/>
    <w:unhideWhenUsed/>
    <w:rsid w:val="001677D8"/>
    <w:rPr>
      <w:color w:val="0000FF" w:themeColor="hyperlink"/>
      <w:u w:val="single"/>
    </w:rPr>
  </w:style>
  <w:style w:type="character" w:styleId="PlaceholderText">
    <w:name w:val="Placeholder Text"/>
    <w:basedOn w:val="DefaultParagraphFont"/>
    <w:uiPriority w:val="99"/>
    <w:semiHidden/>
    <w:rsid w:val="00B17794"/>
    <w:rPr>
      <w:color w:val="808080"/>
    </w:rPr>
  </w:style>
  <w:style w:type="paragraph" w:styleId="BalloonText">
    <w:name w:val="Balloon Text"/>
    <w:basedOn w:val="Normal"/>
    <w:link w:val="BalloonTextChar"/>
    <w:uiPriority w:val="99"/>
    <w:semiHidden/>
    <w:unhideWhenUsed/>
    <w:rsid w:val="00B177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7794"/>
    <w:rPr>
      <w:rFonts w:ascii="Tahoma" w:hAnsi="Tahoma" w:cs="Tahoma"/>
      <w:sz w:val="16"/>
      <w:szCs w:val="16"/>
    </w:rPr>
  </w:style>
  <w:style w:type="paragraph" w:styleId="Header">
    <w:name w:val="header"/>
    <w:basedOn w:val="Normal"/>
    <w:link w:val="HeaderChar"/>
    <w:uiPriority w:val="99"/>
    <w:unhideWhenUsed/>
    <w:rsid w:val="00E527F5"/>
    <w:pPr>
      <w:tabs>
        <w:tab w:val="center" w:pos="4153"/>
        <w:tab w:val="right" w:pos="8306"/>
      </w:tabs>
      <w:spacing w:after="0" w:line="240" w:lineRule="auto"/>
    </w:pPr>
  </w:style>
  <w:style w:type="character" w:customStyle="1" w:styleId="HeaderChar">
    <w:name w:val="Header Char"/>
    <w:basedOn w:val="DefaultParagraphFont"/>
    <w:link w:val="Header"/>
    <w:uiPriority w:val="99"/>
    <w:rsid w:val="00E527F5"/>
  </w:style>
  <w:style w:type="paragraph" w:styleId="Footer">
    <w:name w:val="footer"/>
    <w:basedOn w:val="Normal"/>
    <w:link w:val="FooterChar"/>
    <w:uiPriority w:val="99"/>
    <w:unhideWhenUsed/>
    <w:rsid w:val="00E527F5"/>
    <w:pPr>
      <w:tabs>
        <w:tab w:val="center" w:pos="4153"/>
        <w:tab w:val="right" w:pos="8306"/>
      </w:tabs>
      <w:spacing w:after="0" w:line="240" w:lineRule="auto"/>
    </w:pPr>
  </w:style>
  <w:style w:type="character" w:customStyle="1" w:styleId="FooterChar">
    <w:name w:val="Footer Char"/>
    <w:basedOn w:val="DefaultParagraphFont"/>
    <w:link w:val="Footer"/>
    <w:uiPriority w:val="99"/>
    <w:rsid w:val="00E527F5"/>
  </w:style>
  <w:style w:type="character" w:customStyle="1" w:styleId="Heading4Char">
    <w:name w:val="Heading 4 Char"/>
    <w:basedOn w:val="DefaultParagraphFont"/>
    <w:link w:val="Heading4"/>
    <w:uiPriority w:val="9"/>
    <w:rsid w:val="00246926"/>
    <w:rPr>
      <w:rFonts w:asciiTheme="majorHAnsi" w:eastAsiaTheme="majorEastAsia" w:hAnsiTheme="majorHAnsi" w:cstheme="majorBidi"/>
      <w:b/>
      <w:bCs/>
      <w:i/>
      <w:iCs/>
      <w:color w:val="4F81BD" w:themeColor="accent1"/>
    </w:rPr>
  </w:style>
  <w:style w:type="table" w:customStyle="1" w:styleId="TableGrid1">
    <w:name w:val="Table Grid1"/>
    <w:basedOn w:val="TableNormal"/>
    <w:next w:val="TableGrid"/>
    <w:uiPriority w:val="59"/>
    <w:rsid w:val="00ED74AA"/>
    <w:pPr>
      <w:spacing w:after="0" w:line="240" w:lineRule="auto"/>
    </w:pPr>
    <w:rPr>
      <w:rFonts w:eastAsia="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ED74AA"/>
    <w:pPr>
      <w:spacing w:after="0" w:line="240" w:lineRule="auto"/>
    </w:pPr>
    <w:rPr>
      <w:rFonts w:eastAsia="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FA5DD4"/>
    <w:pPr>
      <w:spacing w:after="0" w:line="240" w:lineRule="auto"/>
    </w:pPr>
    <w:rPr>
      <w:rFonts w:eastAsia="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2E7A5D"/>
    <w:pPr>
      <w:spacing w:after="0" w:line="240" w:lineRule="auto"/>
    </w:pPr>
    <w:rPr>
      <w:rFonts w:eastAsia="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Relationships xmlns="http://schemas.openxmlformats.org/package/2006/relationships"><Relationship Id="rId2" Type="http://schemas.openxmlformats.org/officeDocument/2006/relationships/image" Target="cid:sfi.png@61db578c.f1374c4c"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890434-0524-40E2-9713-AE250C114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17</Pages>
  <Words>3469</Words>
  <Characters>19778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QingHong Lin</dc:creator>
  <cp:lastModifiedBy>Dilip Ghosh</cp:lastModifiedBy>
  <cp:revision>18</cp:revision>
  <cp:lastPrinted>2012-05-16T00:27:00Z</cp:lastPrinted>
  <dcterms:created xsi:type="dcterms:W3CDTF">2012-05-07T01:53:00Z</dcterms:created>
  <dcterms:modified xsi:type="dcterms:W3CDTF">2012-05-16T01:01:00Z</dcterms:modified>
</cp:coreProperties>
</file>