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6633"/>
          <w:sz w:val="56"/>
        </w:rPr>
        <w:t>MINDWISE</w:t>
      </w:r>
    </w:p>
    <w:p>
      <w:pPr>
        <w:jc w:val="center"/>
      </w:pPr>
      <w:r>
        <w:rPr>
          <w:b/>
          <w:sz w:val="32"/>
        </w:rPr>
        <w:t>Meeting Summary: Manik (Sorted Agency)</w:t>
      </w:r>
    </w:p>
    <w:p>
      <w:pPr>
        <w:jc w:val="center"/>
      </w:pPr>
      <w:r>
        <w:rPr>
          <w:color w:val="666666"/>
          <w:sz w:val="22"/>
        </w:rPr>
        <w:t>Monday, 24 March 2026</w:t>
      </w:r>
    </w:p>
    <w:p>
      <w:pPr>
        <w:jc w:val="center"/>
      </w:pPr>
      <w:r>
        <w:rPr>
          <w:color w:val="666666"/>
          <w:sz w:val="20"/>
        </w:rPr>
        <w:t>Attendees: Thambu (LMC/Mindwise), Shivendra Selvam (Race Sims), Manik (Sorted Agency)</w:t>
      </w:r>
    </w:p>
    <w:p/>
    <w:p>
      <w:pPr>
        <w:pStyle w:val="Heading1"/>
      </w:pPr>
      <w:r>
        <w:t>Meeting Overview</w:t>
      </w:r>
    </w:p>
    <w:p>
      <w:r>
        <w:rPr>
          <w:sz w:val="22"/>
        </w:rPr>
        <w:t xml:space="preserve">This meeting covered three key topics for the Mindwise India relaunch: </w:t>
      </w:r>
      <w:r>
        <w:rPr>
          <w:b/>
          <w:sz w:val="22"/>
        </w:rPr>
        <w:t>(1) Brand Manager role and marketing support, (2) Website development scope and budget, and (3) Pricing strategy.</w:t>
      </w:r>
    </w:p>
    <w:p>
      <w:r>
        <w:rPr>
          <w:sz w:val="22"/>
        </w:rPr>
        <w:t xml:space="preserve">The meeting also established a target in-person session on </w:t>
      </w:r>
      <w:r>
        <w:rPr>
          <w:b/>
          <w:sz w:val="22"/>
        </w:rPr>
        <w:t>April 2nd in Mumbai</w:t>
      </w:r>
      <w:r>
        <w:rPr>
          <w:sz w:val="22"/>
        </w:rPr>
        <w:t xml:space="preserve"> to review the visual identity presentation, discuss website next steps, and meet a potential performance/social media agency.</w:t>
      </w:r>
    </w:p>
    <w:p>
      <w:pPr>
        <w:pStyle w:val="Heading1"/>
      </w:pPr>
      <w:r>
        <w:t>1. Brand Manager Role &amp; Marketing Support</w:t>
      </w:r>
    </w:p>
    <w:p>
      <w:pPr>
        <w:pStyle w:val="Heading3"/>
      </w:pPr>
      <w:r>
        <w:t>Context</w:t>
      </w:r>
    </w:p>
    <w:p>
      <w:r>
        <w:rPr>
          <w:sz w:val="22"/>
        </w:rPr>
        <w:t>Thambu and Shivendra proposed that Thambu transition into a formal Brand Manager role for Lumen/Mindwise, taking ownership of all marketing activities while Shivendra focuses on the sales front. The team wanted Manik’s input on whether this approach would work at the current stage.</w:t>
      </w:r>
    </w:p>
    <w:p>
      <w:pPr>
        <w:pStyle w:val="Heading3"/>
      </w:pPr>
      <w:r>
        <w:t>Manik’s Recommendation</w:t>
      </w:r>
    </w:p>
    <w:p>
      <w:pPr>
        <w:pStyle w:val="ListBullet"/>
      </w:pPr>
      <w:r>
        <w:rPr>
          <w:b/>
          <w:sz w:val="22"/>
        </w:rPr>
        <w:t>Don’t go solo initially.</w:t>
      </w:r>
      <w:r>
        <w:rPr>
          <w:sz w:val="22"/>
        </w:rPr>
        <w:t xml:space="preserve"> While Thambu has capability, the role requires domain expertise in algorithms, ad mechanics, and marketing execution. Learning on the job will slow the brand during the critical first year.</w:t>
      </w:r>
    </w:p>
    <w:p>
      <w:pPr>
        <w:pStyle w:val="ListBullet"/>
      </w:pPr>
      <w:r>
        <w:rPr>
          <w:b/>
          <w:sz w:val="22"/>
        </w:rPr>
        <w:t>Hire a freelancer or project-based agency for 3–6 months.</w:t>
      </w:r>
      <w:r>
        <w:rPr>
          <w:sz w:val="22"/>
        </w:rPr>
        <w:t xml:space="preserve"> This person works alongside Thambu, provides direction, and helps build systems. Manik and Aarti can give strategic direction to this person. After 3–6 months, Thambu transitions into running it independently.</w:t>
      </w:r>
    </w:p>
    <w:p>
      <w:pPr>
        <w:pStyle w:val="ListBullet"/>
      </w:pPr>
      <w:r>
        <w:rPr>
          <w:b/>
          <w:sz w:val="22"/>
        </w:rPr>
        <w:t>Hybrid content model.</w:t>
      </w:r>
      <w:r>
        <w:rPr>
          <w:sz w:val="22"/>
        </w:rPr>
        <w:t xml:space="preserve"> Use a combination of: (a) agency/freelancer for performance ad creatives and a base of ~10 posts/month, (b) AI-generated content and Thambu’s own work for the rest. This keeps costs manageable.</w:t>
      </w:r>
    </w:p>
    <w:p>
      <w:pPr>
        <w:pStyle w:val="ListBullet"/>
      </w:pPr>
      <w:r>
        <w:rPr>
          <w:b/>
          <w:sz w:val="22"/>
        </w:rPr>
        <w:t>Same agency for ads + creative.</w:t>
      </w:r>
      <w:r>
        <w:rPr>
          <w:sz w:val="22"/>
        </w:rPr>
        <w:t xml:space="preserve"> Having the creative agency and performance agency be separate entities often causes friction. If one agency handles both ad creative and ad running, accountability is cleaner.</w:t>
      </w:r>
    </w:p>
    <w:p>
      <w:pPr>
        <w:pStyle w:val="Heading3"/>
      </w:pPr>
      <w:r>
        <w:t>Action Items</w:t>
      </w:r>
    </w:p>
    <w:p>
      <w:pPr>
        <w:pStyle w:val="ListBullet"/>
      </w:pPr>
      <w:r>
        <w:rPr>
          <w:sz w:val="22"/>
        </w:rPr>
        <w:t>Manik meeting a potential agency/freelancer this week (woman who specialises in 0-to-1 brand growth, performance marketing, and social media). Will vet her and connect with Thambu/Shivendra.</w:t>
      </w:r>
    </w:p>
    <w:p>
      <w:pPr>
        <w:pStyle w:val="ListBullet"/>
      </w:pPr>
      <w:r>
        <w:rPr>
          <w:sz w:val="22"/>
        </w:rPr>
        <w:t>If vetted successfully, plan a face-to-face meeting during the April 2nd Mumbai visit.</w:t>
      </w:r>
    </w:p>
    <w:p>
      <w:pPr>
        <w:pStyle w:val="ListBullet"/>
      </w:pPr>
      <w:r>
        <w:rPr>
          <w:sz w:val="22"/>
        </w:rPr>
        <w:t>Thambu to continue preparing for the Brand Manager transition in parallel.</w:t>
      </w:r>
    </w:p>
    <w:p>
      <w:pPr>
        <w:pStyle w:val="Heading1"/>
      </w:pPr>
      <w:r>
        <w:t>2. Website Development</w:t>
      </w:r>
    </w:p>
    <w:p>
      <w:pPr>
        <w:pStyle w:val="Heading3"/>
      </w:pPr>
      <w:r>
        <w:t>Sorted’s Proposal</w:t>
      </w:r>
    </w:p>
    <w:p>
      <w:r>
        <w:rPr>
          <w:sz w:val="22"/>
        </w:rPr>
        <w:t xml:space="preserve">Sorted submitted a website proposal at </w:t>
      </w:r>
      <w:r>
        <w:rPr>
          <w:b/>
          <w:sz w:val="22"/>
        </w:rPr>
        <w:t>INR 6,00,000</w:t>
      </w:r>
      <w:r>
        <w:rPr>
          <w:sz w:val="22"/>
        </w:rPr>
        <w:t xml:space="preserve"> for a custom Shopify store. The scope includes UI/UX design, Shopify development, Razorpay integration, email capture (Klaviyo), analytics setup, review integration, and full website copy written by Sorted. Timeline: 10–15 days design + 30–35 days development.</w:t>
      </w:r>
    </w:p>
    <w:p>
      <w:pPr>
        <w:pStyle w:val="Heading3"/>
      </w:pPr>
      <w:r>
        <w:t>Budget Discussion</w:t>
      </w:r>
    </w:p>
    <w:p>
      <w:pPr>
        <w:pStyle w:val="ListBullet"/>
      </w:pPr>
      <w:r>
        <w:rPr>
          <w:sz w:val="22"/>
        </w:rPr>
        <w:t>Thambu/Shivendra’s target budget: INR 3,00,000.</w:t>
      </w:r>
    </w:p>
    <w:p>
      <w:pPr>
        <w:pStyle w:val="ListBullet"/>
      </w:pPr>
      <w:r>
        <w:rPr>
          <w:sz w:val="22"/>
        </w:rPr>
        <w:t>Manik’s position: ₹3L is not feasible. The developer alone costs ₹3L. The ₹6L includes design coordination, developer, and full website copy—most agencies wouldn’t include copy at this price.</w:t>
      </w:r>
    </w:p>
    <w:p>
      <w:pPr>
        <w:pStyle w:val="ListBullet"/>
      </w:pPr>
      <w:r>
        <w:rPr>
          <w:sz w:val="22"/>
        </w:rPr>
        <w:t>Manik emphasised that the website must match the premium visual identity being built. A template or AI-generated site won’t achieve the brand positioning they’ve invested in.</w:t>
      </w:r>
    </w:p>
    <w:p>
      <w:pPr>
        <w:pStyle w:val="ListBullet"/>
      </w:pPr>
      <w:r>
        <w:rPr>
          <w:sz w:val="22"/>
        </w:rPr>
        <w:t>Manik consulted his designer, who advised: keep animations minimal for fast load times and low bounce rate. It’s a performance/conversion website first.</w:t>
      </w:r>
    </w:p>
    <w:p>
      <w:pPr>
        <w:pStyle w:val="Heading3"/>
      </w:pPr>
      <w:r>
        <w:t>Decision</w:t>
      </w:r>
    </w:p>
    <w:p>
      <w:r>
        <w:rPr>
          <w:b/>
          <w:sz w:val="22"/>
        </w:rPr>
        <w:t>Pin the website decision until the visual identity presentation is complete.</w:t>
      </w:r>
      <w:r>
        <w:rPr>
          <w:sz w:val="22"/>
        </w:rPr>
        <w:t xml:space="preserve"> Once the brand book and design language are presented, it becomes much easier to justify the investment to partners—they can see the brand come to life and understand why the website needs to match that standard. Manik offered to provide a one-pager/rough website copy mockup to help visualise and pitch internally.</w:t>
      </w:r>
    </w:p>
    <w:p>
      <w:pPr>
        <w:pStyle w:val="Heading3"/>
      </w:pPr>
      <w:r>
        <w:t>Action Items</w:t>
      </w:r>
    </w:p>
    <w:p>
      <w:pPr>
        <w:pStyle w:val="ListBullet"/>
      </w:pPr>
      <w:r>
        <w:rPr>
          <w:sz w:val="22"/>
        </w:rPr>
        <w:t>Sorted to deliver visual identity presentation by end of week March 30 or by April 2nd.</w:t>
      </w:r>
    </w:p>
    <w:p>
      <w:pPr>
        <w:pStyle w:val="ListBullet"/>
      </w:pPr>
      <w:r>
        <w:rPr>
          <w:sz w:val="22"/>
        </w:rPr>
        <w:t>Manik to provide a one-pager/rough website copy to help the team visualise.</w:t>
      </w:r>
    </w:p>
    <w:p>
      <w:pPr>
        <w:pStyle w:val="ListBullet"/>
      </w:pPr>
      <w:r>
        <w:rPr>
          <w:sz w:val="22"/>
        </w:rPr>
        <w:t>Website decision to be discussed during April 2nd Mumbai meeting with full visual context.</w:t>
      </w:r>
    </w:p>
    <w:p>
      <w:pPr>
        <w:pStyle w:val="ListBullet"/>
      </w:pPr>
      <w:r>
        <w:rPr>
          <w:sz w:val="22"/>
        </w:rPr>
        <w:t>Team to also explore whether external website developers can work from Sorted’s brand guidelines as an alternative.</w:t>
      </w:r>
    </w:p>
    <w:p>
      <w:pPr>
        <w:pStyle w:val="Heading1"/>
      </w:pPr>
      <w:r>
        <w:t>3. Pricing Strategy</w:t>
      </w:r>
    </w:p>
    <w:p>
      <w:pPr>
        <w:pStyle w:val="Heading3"/>
      </w:pPr>
      <w:r>
        <w:t>Manik’s Recommendation</w:t>
      </w:r>
    </w:p>
    <w:p>
      <w:r>
        <w:rPr>
          <w:sz w:val="22"/>
        </w:rPr>
        <w:t xml:space="preserve">Target MRP: </w:t>
      </w:r>
      <w:r>
        <w:rPr>
          <w:b/>
          <w:sz w:val="22"/>
        </w:rPr>
        <w:t>₹850–900 per bottle.</w:t>
      </w:r>
    </w:p>
    <w:p>
      <w:pPr>
        <w:pStyle w:val="ListBullet"/>
      </w:pPr>
      <w:r>
        <w:rPr>
          <w:b/>
          <w:sz w:val="22"/>
        </w:rPr>
        <w:t>Above ₹1,000:</w:t>
      </w:r>
      <w:r>
        <w:rPr>
          <w:sz w:val="22"/>
        </w:rPr>
        <w:t xml:space="preserve"> Requires premium creator partnerships (₹2–3L per creator per month for collaborations). Brands like Wellbeing Nutrition and Ace operate at this level with significant marketing budgets. Not viable at current stage.</w:t>
      </w:r>
    </w:p>
    <w:p>
      <w:pPr>
        <w:pStyle w:val="ListBullet"/>
      </w:pPr>
      <w:r>
        <w:rPr>
          <w:b/>
          <w:sz w:val="22"/>
        </w:rPr>
        <w:t>Below ₹600:</w:t>
      </w:r>
      <w:r>
        <w:rPr>
          <w:sz w:val="22"/>
        </w:rPr>
        <w:t xml:space="preserve"> Too mass-market. Doesn’t match the premium brand positioning being built.</w:t>
      </w:r>
    </w:p>
    <w:p>
      <w:pPr>
        <w:pStyle w:val="ListBullet"/>
      </w:pPr>
      <w:r>
        <w:rPr>
          <w:b/>
          <w:sz w:val="22"/>
        </w:rPr>
        <w:t>₹850–900 range:</w:t>
      </w:r>
      <w:r>
        <w:rPr>
          <w:sz w:val="22"/>
        </w:rPr>
        <w:t xml:space="preserve"> Sweet spot. Premium enough to command respect, accessible enough to not require outsized marketing spend.</w:t>
      </w:r>
    </w:p>
    <w:p>
      <w:pPr>
        <w:pStyle w:val="ListBullet"/>
      </w:pPr>
      <w:r>
        <w:rPr>
          <w:b/>
          <w:sz w:val="22"/>
        </w:rPr>
        <w:t>Discounting:</w:t>
      </w:r>
      <w:r>
        <w:rPr>
          <w:sz w:val="22"/>
        </w:rPr>
        <w:t xml:space="preserve"> Only on bundles, never on single-product price. Protect the anchor price.</w:t>
      </w:r>
    </w:p>
    <w:p>
      <w:pPr>
        <w:pStyle w:val="ListBullet"/>
      </w:pPr>
      <w:r>
        <w:rPr>
          <w:b/>
          <w:sz w:val="22"/>
        </w:rPr>
        <w:t>Key insight:</w:t>
      </w:r>
      <w:r>
        <w:rPr>
          <w:sz w:val="22"/>
        </w:rPr>
        <w:t xml:space="preserve"> Premium pricing = premium content spend. Every pricing decision has downstream implications on the kind of creators, content quality, and marketing budget required.</w:t>
      </w:r>
    </w:p>
    <w:p>
      <w:pPr>
        <w:pStyle w:val="Heading1"/>
      </w:pPr>
      <w:r>
        <w:t>4. PR &amp; Podcast Strategy</w:t>
      </w:r>
    </w:p>
    <w:p>
      <w:r>
        <w:rPr>
          <w:sz w:val="22"/>
        </w:rPr>
        <w:t>Manik offered to share a freelance PR contact who charges approximately ₹1.7L (compared to ₹12L for a full agency like Mad Over Marketing). This person can help with media placements, podcast appearances, and earned media. Manik to share the contact directly.</w:t>
      </w:r>
    </w:p>
    <w:p>
      <w:pPr>
        <w:pStyle w:val="Heading1"/>
      </w:pPr>
      <w:r>
        <w:t>April 2nd Meeting — Deliverables &amp; Agenda</w:t>
      </w:r>
    </w:p>
    <w:p>
      <w:r>
        <w:rPr>
          <w:b/>
          <w:sz w:val="22"/>
        </w:rPr>
        <w:t>Target Date: Wednesday, April 2, 2026</w:t>
      </w:r>
    </w:p>
    <w:p>
      <w:r>
        <w:rPr>
          <w:sz w:val="22"/>
        </w:rPr>
        <w:t>Location: Sorted/Manik’s office, Mumbai (with virtual link for Thambu’s father to join/drop)</w:t>
      </w:r>
    </w:p>
    <w:p>
      <w:r>
        <w:rPr>
          <w:sz w:val="22"/>
        </w:rPr>
        <w:t>Attendees: Thambu, Shivendra, Manik, potential performance/social media agency person</w:t>
      </w:r>
    </w:p>
    <w:p>
      <w:pPr>
        <w:pStyle w:val="Heading2"/>
      </w:pPr>
      <w:r>
        <w:t>Deliverables Required Before April 2nd</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20"/>
              </w:rPr>
              <w:t>#</w:t>
            </w:r>
          </w:p>
        </w:tc>
        <w:tc>
          <w:tcPr>
            <w:tcW w:type="dxa" w:w="2351"/>
          </w:tcPr>
          <w:p>
            <w:r>
              <w:rPr>
                <w:b/>
                <w:sz w:val="20"/>
              </w:rPr>
              <w:t>Deliverable</w:t>
            </w:r>
          </w:p>
        </w:tc>
        <w:tc>
          <w:tcPr>
            <w:tcW w:type="dxa" w:w="2351"/>
          </w:tcPr>
          <w:p>
            <w:r>
              <w:rPr>
                <w:b/>
                <w:sz w:val="20"/>
              </w:rPr>
              <w:t>Owner</w:t>
            </w:r>
          </w:p>
        </w:tc>
        <w:tc>
          <w:tcPr>
            <w:tcW w:type="dxa" w:w="2351"/>
          </w:tcPr>
          <w:p>
            <w:r>
              <w:rPr>
                <w:b/>
                <w:sz w:val="20"/>
              </w:rPr>
              <w:t>Deadline</w:t>
            </w:r>
          </w:p>
        </w:tc>
      </w:tr>
      <w:tr>
        <w:tc>
          <w:tcPr>
            <w:tcW w:type="dxa" w:w="2351"/>
          </w:tcPr>
          <w:p>
            <w:r>
              <w:rPr>
                <w:sz w:val="20"/>
              </w:rPr>
              <w:t>1</w:t>
            </w:r>
          </w:p>
        </w:tc>
        <w:tc>
          <w:tcPr>
            <w:tcW w:type="dxa" w:w="2351"/>
          </w:tcPr>
          <w:p>
            <w:r>
              <w:rPr>
                <w:sz w:val="20"/>
              </w:rPr>
              <w:t>Visual Identity Presentation (brand book, design language, logo applications, colour system, typography)</w:t>
            </w:r>
          </w:p>
        </w:tc>
        <w:tc>
          <w:tcPr>
            <w:tcW w:type="dxa" w:w="2351"/>
          </w:tcPr>
          <w:p>
            <w:r>
              <w:rPr>
                <w:sz w:val="20"/>
              </w:rPr>
              <w:t>Sorted (Binita/Manik)</w:t>
            </w:r>
          </w:p>
        </w:tc>
        <w:tc>
          <w:tcPr>
            <w:tcW w:type="dxa" w:w="2351"/>
          </w:tcPr>
          <w:p>
            <w:r>
              <w:rPr>
                <w:sz w:val="20"/>
              </w:rPr>
              <w:t>By March 30–April 1</w:t>
            </w:r>
          </w:p>
        </w:tc>
      </w:tr>
      <w:tr>
        <w:tc>
          <w:tcPr>
            <w:tcW w:type="dxa" w:w="2351"/>
          </w:tcPr>
          <w:p>
            <w:r>
              <w:rPr>
                <w:sz w:val="20"/>
              </w:rPr>
              <w:t>2</w:t>
            </w:r>
          </w:p>
        </w:tc>
        <w:tc>
          <w:tcPr>
            <w:tcW w:type="dxa" w:w="2351"/>
          </w:tcPr>
          <w:p>
            <w:r>
              <w:rPr>
                <w:sz w:val="20"/>
              </w:rPr>
              <w:t>One-pager / rough website copy mockup</w:t>
            </w:r>
          </w:p>
        </w:tc>
        <w:tc>
          <w:tcPr>
            <w:tcW w:type="dxa" w:w="2351"/>
          </w:tcPr>
          <w:p>
            <w:r>
              <w:rPr>
                <w:sz w:val="20"/>
              </w:rPr>
              <w:t>Manik</w:t>
            </w:r>
          </w:p>
        </w:tc>
        <w:tc>
          <w:tcPr>
            <w:tcW w:type="dxa" w:w="2351"/>
          </w:tcPr>
          <w:p>
            <w:r>
              <w:rPr>
                <w:sz w:val="20"/>
              </w:rPr>
              <w:t>By April 1</w:t>
            </w:r>
          </w:p>
        </w:tc>
      </w:tr>
      <w:tr>
        <w:tc>
          <w:tcPr>
            <w:tcW w:type="dxa" w:w="2351"/>
          </w:tcPr>
          <w:p>
            <w:r>
              <w:rPr>
                <w:sz w:val="20"/>
              </w:rPr>
              <w:t>3</w:t>
            </w:r>
          </w:p>
        </w:tc>
        <w:tc>
          <w:tcPr>
            <w:tcW w:type="dxa" w:w="2351"/>
          </w:tcPr>
          <w:p>
            <w:r>
              <w:rPr>
                <w:sz w:val="20"/>
              </w:rPr>
              <w:t>Vet performance/social media agency and confirm availability for April 2</w:t>
            </w:r>
          </w:p>
        </w:tc>
        <w:tc>
          <w:tcPr>
            <w:tcW w:type="dxa" w:w="2351"/>
          </w:tcPr>
          <w:p>
            <w:r>
              <w:rPr>
                <w:sz w:val="20"/>
              </w:rPr>
              <w:t>Manik</w:t>
            </w:r>
          </w:p>
        </w:tc>
        <w:tc>
          <w:tcPr>
            <w:tcW w:type="dxa" w:w="2351"/>
          </w:tcPr>
          <w:p>
            <w:r>
              <w:rPr>
                <w:sz w:val="20"/>
              </w:rPr>
              <w:t>By end of week March 28</w:t>
            </w:r>
          </w:p>
        </w:tc>
      </w:tr>
      <w:tr>
        <w:tc>
          <w:tcPr>
            <w:tcW w:type="dxa" w:w="2351"/>
          </w:tcPr>
          <w:p>
            <w:r>
              <w:rPr>
                <w:sz w:val="20"/>
              </w:rPr>
              <w:t>4</w:t>
            </w:r>
          </w:p>
        </w:tc>
        <w:tc>
          <w:tcPr>
            <w:tcW w:type="dxa" w:w="2351"/>
          </w:tcPr>
          <w:p>
            <w:r>
              <w:rPr>
                <w:sz w:val="20"/>
              </w:rPr>
              <w:t>Packaging brief updates based on 11-point feedback (sent March 23)</w:t>
            </w:r>
          </w:p>
        </w:tc>
        <w:tc>
          <w:tcPr>
            <w:tcW w:type="dxa" w:w="2351"/>
          </w:tcPr>
          <w:p>
            <w:r>
              <w:rPr>
                <w:sz w:val="20"/>
              </w:rPr>
              <w:t>Sorted (Binita)</w:t>
            </w:r>
          </w:p>
        </w:tc>
        <w:tc>
          <w:tcPr>
            <w:tcW w:type="dxa" w:w="2351"/>
          </w:tcPr>
          <w:p>
            <w:r>
              <w:rPr>
                <w:sz w:val="20"/>
              </w:rPr>
              <w:t>By April 1</w:t>
            </w:r>
          </w:p>
        </w:tc>
      </w:tr>
      <w:tr>
        <w:tc>
          <w:tcPr>
            <w:tcW w:type="dxa" w:w="2351"/>
          </w:tcPr>
          <w:p>
            <w:r>
              <w:rPr>
                <w:sz w:val="20"/>
              </w:rPr>
              <w:t>5</w:t>
            </w:r>
          </w:p>
        </w:tc>
        <w:tc>
          <w:tcPr>
            <w:tcW w:type="dxa" w:w="2351"/>
          </w:tcPr>
          <w:p>
            <w:r>
              <w:rPr>
                <w:sz w:val="20"/>
              </w:rPr>
              <w:t>Internal alignment on website budget range with partners</w:t>
            </w:r>
          </w:p>
        </w:tc>
        <w:tc>
          <w:tcPr>
            <w:tcW w:type="dxa" w:w="2351"/>
          </w:tcPr>
          <w:p>
            <w:r>
              <w:rPr>
                <w:sz w:val="20"/>
              </w:rPr>
              <w:t>Thambu / Shivendra</w:t>
            </w:r>
          </w:p>
        </w:tc>
        <w:tc>
          <w:tcPr>
            <w:tcW w:type="dxa" w:w="2351"/>
          </w:tcPr>
          <w:p>
            <w:r>
              <w:rPr>
                <w:sz w:val="20"/>
              </w:rPr>
              <w:t>Before April 2</w:t>
            </w:r>
          </w:p>
        </w:tc>
      </w:tr>
      <w:tr>
        <w:tc>
          <w:tcPr>
            <w:tcW w:type="dxa" w:w="2351"/>
          </w:tcPr>
          <w:p>
            <w:r>
              <w:rPr>
                <w:sz w:val="20"/>
              </w:rPr>
              <w:t>6</w:t>
            </w:r>
          </w:p>
        </w:tc>
        <w:tc>
          <w:tcPr>
            <w:tcW w:type="dxa" w:w="2351"/>
          </w:tcPr>
          <w:p>
            <w:r>
              <w:rPr>
                <w:sz w:val="20"/>
              </w:rPr>
              <w:t>Pricing decision narrowed to ₹850–900 range; confirm with manufacturing cost analysis</w:t>
            </w:r>
          </w:p>
        </w:tc>
        <w:tc>
          <w:tcPr>
            <w:tcW w:type="dxa" w:w="2351"/>
          </w:tcPr>
          <w:p>
            <w:r>
              <w:rPr>
                <w:sz w:val="20"/>
              </w:rPr>
              <w:t>Thambu / Shivendra</w:t>
            </w:r>
          </w:p>
        </w:tc>
        <w:tc>
          <w:tcPr>
            <w:tcW w:type="dxa" w:w="2351"/>
          </w:tcPr>
          <w:p>
            <w:r>
              <w:rPr>
                <w:sz w:val="20"/>
              </w:rPr>
              <w:t>Before April 2</w:t>
            </w:r>
          </w:p>
        </w:tc>
      </w:tr>
    </w:tbl>
    <w:p/>
    <w:p>
      <w:pPr>
        <w:pStyle w:val="Heading2"/>
      </w:pPr>
      <w:r>
        <w:t>April 2nd Agenda</w:t>
      </w:r>
    </w:p>
    <w:p>
      <w:pPr>
        <w:pStyle w:val="ListNumber"/>
      </w:pPr>
      <w:r>
        <w:rPr>
          <w:b/>
          <w:sz w:val="22"/>
        </w:rPr>
        <w:t xml:space="preserve">Visual Identity Presentation — </w:t>
      </w:r>
      <w:r>
        <w:rPr>
          <w:sz w:val="22"/>
        </w:rPr>
        <w:t>Sorted presents the full brand book, design language, and visual system. Team reviews and provides feedback.</w:t>
      </w:r>
    </w:p>
    <w:p>
      <w:pPr>
        <w:pStyle w:val="ListNumber"/>
      </w:pPr>
      <w:r>
        <w:rPr>
          <w:b/>
          <w:sz w:val="22"/>
        </w:rPr>
        <w:t xml:space="preserve">Website Discussion — </w:t>
      </w:r>
      <w:r>
        <w:rPr>
          <w:sz w:val="22"/>
        </w:rPr>
        <w:t>Using the visual identity as context, discuss whether to proceed with Sorted at ₹6L, negotiate, or explore external developers who can work from the brand guidelines.</w:t>
      </w:r>
    </w:p>
    <w:p>
      <w:pPr>
        <w:pStyle w:val="ListNumber"/>
      </w:pPr>
      <w:r>
        <w:rPr>
          <w:b/>
          <w:sz w:val="22"/>
        </w:rPr>
        <w:t xml:space="preserve">Meet Performance/Social Media Agency — </w:t>
      </w:r>
      <w:r>
        <w:rPr>
          <w:sz w:val="22"/>
        </w:rPr>
        <w:t>Face-to-face introductions, discuss scope (performance ads + partial social media), pricing, and timeline.</w:t>
      </w:r>
    </w:p>
    <w:p>
      <w:pPr>
        <w:pStyle w:val="ListNumber"/>
      </w:pPr>
      <w:r>
        <w:rPr>
          <w:b/>
          <w:sz w:val="22"/>
        </w:rPr>
        <w:t xml:space="preserve">Packaging Status — </w:t>
      </w:r>
      <w:r>
        <w:rPr>
          <w:sz w:val="22"/>
        </w:rPr>
        <w:t>Quick update on packaging brief revisions and render timeline.</w:t>
      </w:r>
    </w:p>
    <w:p>
      <w:pPr>
        <w:pStyle w:val="ListNumber"/>
      </w:pPr>
      <w:r>
        <w:rPr>
          <w:b/>
          <w:sz w:val="22"/>
        </w:rPr>
        <w:t xml:space="preserve">PR Connect — </w:t>
      </w:r>
      <w:r>
        <w:rPr>
          <w:sz w:val="22"/>
        </w:rPr>
        <w:t>Confirm freelancer PR contact and next steps.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A1A1A"/>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Arial" w:hAnsi="Arial"/>
      <w:b/>
      <w:bCs/>
      <w:color w:val="1A1A1A"/>
      <w:sz w:val="28"/>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ascii="Arial" w:hAnsi="Arial"/>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