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</w:pPr>
      <w:r>
        <w:rPr>
          <w:rFonts w:ascii="Helvetica" w:cs="Helvetica" w:eastAsia="Helvetica" w:hAnsi="Helvetica"/>
          <w:b/>
          <w:bCs/>
          <w:color w:val="1A1A1A"/>
          <w:sz w:val="96"/>
          <w:szCs w:val="96"/>
        </w:rPr>
        <w:t xml:space="preserve">THE EDIT</w:t>
      </w:r>
    </w:p>
    <w:p>
      <w:pPr>
        <w:spacing w:after="400"/>
      </w:pPr>
      <w:r>
        <w:rPr>
          <w:rFonts w:ascii="Helvetica" w:cs="Helvetica" w:eastAsia="Helvetica" w:hAnsi="Helvetica"/>
          <w:i/>
          <w:iCs/>
          <w:color w:val="555555"/>
          <w:sz w:val="32"/>
          <w:szCs w:val="32"/>
        </w:rPr>
        <w:t xml:space="preserve">The wellness brand India was missing.</w:t>
      </w:r>
    </w:p>
    <w:p>
      <w:pPr>
        <w:pBdr>
          <w:top w:val="single" w:color="B0B0B0" w:sz="6" w:space="8"/>
        </w:pBdr>
        <w:spacing w:before="1200"/>
      </w:pPr>
      <w:r>
        <w:t xml:space="preserve"/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Founder: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Aishwarya Chandrasekaran</w:t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Date: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April 2026</w:t>
      </w:r>
    </w:p>
    <w:p>
      <w:p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Status: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Pre-launch strategy — locked</w:t>
      </w:r>
    </w:p>
    <w:p>
      <w:r>
        <w:br w:type="pag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Core Idea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exists because something specific has been missing for Indian couples and parents-to-be: a modern, transparent, gynaecologist-co-formulated brand with every ingredient traceable to a named source, every dose backed by published science, and every formula designed for a specific stage of the family-building journey. Not imported. Not pharma-coded. Not opaque. Built in India, across preconception, pregnancy, and the months after.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Gap in the Market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Indian-made prenatal and family-planning supplements do exist today. What doesn’t exist is an Indian brand that combines all of the following: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DTC subscription model (not doctor-prescribed, not pharmacy-distributed)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Modern lifestyle branding (not pharma-coded packaging or clinical design)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Transparent, traceable branded ingredients (e.g., Quatrefolic methylfolate, life’sDHA algal DHA, Albion chelated minerals)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Gynaecologist co-formulation (not just doctor endorsement)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Designed for the full family-building journey (preconception, prenatal, postnatal — in one brand)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Every claim backed by published clinical evidence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Made in India, priced to be accessible (~Rs.800–1,500 per SKU per month)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Existing brands have parts of this. Trimacare is clinically robust but pharma-coded and doctor-channel. Wellbeing Nutrition is DTC and lifestyle-branded but prenatal is not their hero. Ayurvedic brands (Himalaya, Patanjali) operate on a different traditional framework. Imported brands (Ritual, Garden of Life) are expensive and hard to access. Generic multivitamins don’t address motherhood’s specific needs.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No single Indian brand combines all seven. That is the white space The Edit occupies.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Market Insight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India is the largest reproductive health market in the world that nobody is building intentionally for.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27 million pregnancies per year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~5–8 million couples actively planning to conceive at any given time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Indian health and wellness market: $164B (2025) → $258B (2034)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Asia-Pacific holds 38.58% of the global postpartum market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The white space: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modern, transparent, gynaecologist-co-formulated wellness brand built around the Indian family’s most consequential moments — designed for how Indian couples actually live today.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Brand: The Edit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Positioning: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modern wellness brand for Indian couples and parents-to-be, across every stage of the family-building journey.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Brand promise: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Only what matters. For the stage you’re in.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Aesthetic: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Modern, warm, premium DTC. Gender-neutral palette. Editorial photography. Clean typography.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Distribution: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Direct-to-consumer subscription. Urban metros first — Mumbai, Bangalore, Delhi, Hyderabad, Chennai.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Pricing: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Rs.800–1,500 per SKU per month. Couples bundle priced ~15% below buying separately.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Product Architecture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Day 1 Launch — 3 SKUs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1. Edit For Two (the hero SKU)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Sold as one box containing two bottles. One product — for two people.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 Her: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egg quality, fertility support, methylfolate, CoQ10, myo-inositol, DHA. FSDU regulatory pathway.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 Him: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sperm quality, motility, antioxidants, CoQ10, L-carnitine, zinc, selenium, ashwagandha (KSM-66). Health Supplement regulatory pathway.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2. Edit Prenatal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Comprehensive 18–25 ingredient prenatal supplement with branded traceable ingredients (Quatrefolic, life’sDHA, Albion chelated minerals). All within ICMR RDA. FSDU regulatory pathway.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Year 1 Expansion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3. Edit Postnatal (Month 9–12 post-launch)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Postpartum and lactation support, formulated for the mother’s recovery and the breastfeeding period.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Why Launch Edit For Two + Prenatal at Day 1 (NOT All Three Together)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Three options were considered: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A — Launch all 3 SKUs simultaneously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Rejected.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Postnatal has no Day 1 customer demand. The natural Postnatal customer is your own Prenatal customer who just gave birth — and that cohort doesn’t exist until Month 9–12 after launch.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B — Launch Prenatal only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Rejected.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Misses the couples-inclusive positioning entirely. Prenatal-only makes The Edit a maternity brand, not the full-journey brand it is meant to be.</w:t>
      </w:r>
    </w:p>
    <w:p>
      <w:pPr>
        <w:pStyle w:val="Heading3"/>
        <w:spacing w:after="120" w:before="240" w:line="320"/>
      </w:pPr>
      <w:r>
        <w:rPr>
          <w:rFonts w:ascii="Helvetica" w:cs="Helvetica" w:eastAsia="Helvetica" w:hAnsi="Helvetica"/>
          <w:b/>
          <w:bCs/>
          <w:color w:val="1A1A1A"/>
          <w:sz w:val="22"/>
          <w:szCs w:val="22"/>
        </w:rPr>
        <w:t xml:space="preserve">Option C — Launch Edit For Two + Prenatal at Day 1, add Postnatal at Month 9–12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Selected.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Four reasons: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The brand’s manifesto is visible from Day 1.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Edit For Two addresses preconception for both partners. Edit Prenatal continues the journey.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Full customer journey captured.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woman who buys Edit For Two while planning her pregnancy transitions naturally to Edit Prenatal when she conceives.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Postnatal launches at peak demand.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First Prenatal cohort gives birth at Month 9–12. Postnatal ships exactly when this cohort needs it.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Two PR moments instead of one.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Day 1 launch is the brand’s opening statement. Month 9–12 Postnatal launch is a second wave of media attention.</w:t>
      </w:r>
    </w:p>
    <w:p>
      <w:pPr>
        <w:pStyle w:val="Heading2"/>
        <w:spacing w:after="160" w:before="320" w:line="320"/>
      </w:pPr>
      <w:r>
        <w:rPr>
          <w:rFonts w:ascii="Helvetica" w:cs="Helvetica" w:eastAsia="Helvetica" w:hAnsi="Helvetica"/>
          <w:b/>
          <w:bCs/>
          <w:color w:val="1A1A1A"/>
          <w:sz w:val="26"/>
          <w:szCs w:val="26"/>
        </w:rPr>
        <w:t xml:space="preserve">The Math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2700"/>
        <w:gridCol w:w="1860"/>
      </w:tblGrid>
      <w:tr>
        <w:trPr>
          <w:tblHeader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All 3 Day 1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Edit For Two + Prenatal Day 1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Prenatal Only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Day 1 SKUs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Capital required at launch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Rs.30–35L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Rs.25–30L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Rs.12–15L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Build timeline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20–26 months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18–20 months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14 months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Postnatal capital efficiency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Bad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Good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N/A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Full-journey positioning at launch?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Customer journey coverage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Full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Preconception → Pregnancy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Pregnancy only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Execution risk for small team</w:t>
            </w:r>
          </w:p>
        </w:tc>
        <w:tc>
          <w:tcPr>
            <w:tcW w:type="dxa" w:w="1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Very high</w:t>
            </w:r>
          </w:p>
        </w:tc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  <w:tc>
          <w:tcPr>
            <w:tcW w:type="dxa" w:w="1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For Two + Prenatal launch captures the full brand vision with significantly less capital, lower execution risk, and better inventory economics than launching all three together.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Why This Beats Every Existing Competitor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Competitor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What they do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Why The Edit wins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Trimacare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Trimester-specific prenatal MMN, doctor-prescribed, pharma-coded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Misses DTC, modern lifestyle branding, couples bundle, full-journey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Wellbeing Nutrition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Modern DTC supplements, broad portfolio, some women’s health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No prenatal-focus hero; no preconception couples bundle; no full journey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Ritual / Garden of Life / Pink Stork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Premium prenatal, transparency-led, separate Him/Her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Imported — expensive, hard to access, no India context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Himalaya / Patanjali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Ayurvedic supplements, pharma-coded packaging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Traditional framework, no transparency, no modern identity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Inatal / Pregomega / Autrin</w:t>
            </w:r>
          </w:p>
        </w:tc>
        <w:tc>
          <w:tcPr>
            <w:tcW w:type="dxa" w:w="3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Indian pharma prenatal</w:t>
            </w:r>
          </w:p>
        </w:tc>
        <w:tc>
          <w:tcPr>
            <w:tcW w:type="dxa" w:w="36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Prescription-feel, no brand story, no DTC, no couples angle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No Indian brand combines all of: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couples-inclusive positioning + premium DTC subscription + traceable branded ingredients + gynaecologist co-formulation + full family-building journey + modern wellness aesthetic.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This is the white space.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Regulatory + Operational Foundation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Operating entity: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is being incorporated as its own independent Private Limited company — separate from any of the founder’s other ventures. This protects both The Edit and the founder’s existing businesses from cross-liability. Clean cap table for future equity allocation (including the gynaecologist co-founder) and any future fundraise.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Regulatory pathways (fresh applications for the new entity):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FSSAI Central License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new application under The Edit Pvt Ltd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FSDU (Foods for Special Dietary Use) endorsement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for Preconception Her + Prenatal + Postnatal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Health Supplement endorsement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for Preconception Him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Manufacturing: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India domestic only. Currently evaluating Tanishq Lifecare and Brukem Life Care as contract manufacturers.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Formulation philosophy: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nutrients within ICMR RDA. Branded traceable ingredients (Quatrefolic, life’sDHA, Albion, KSM-66). No fillers. Nothing without published evidence.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Capital +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rPr>
          <w:tblHeader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Item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Estimate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Entity incorporation (Pvt Ltd + CA + compliance setup)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Rs.0.5–1L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Day 1 inventory (3 SKUs × MOQs)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Rs.12–15L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FSSAI consultant + regulatory filings (new license)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Rs.3–4L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Brand identity, packaging design, website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Rs.4–6L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Initial marketing (3 months runway)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Rs.3–5L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Working capital + buffer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Rs.2–3L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Total launch capital</w:t>
            </w:r>
          </w:p>
        </w:tc>
        <w:tc>
          <w:tcPr>
            <w:tcW w:type="dxa" w:w="28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Rs.25–30L</w:t>
            </w:r>
          </w:p>
        </w:tc>
      </w:tr>
    </w:tbl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Build timeline: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18–20 months from project start to Day 1 launch.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Year 1 post-launch: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Add Edit Postnatal at Month 9–12.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Risks and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Risk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/>
                <w:bCs/>
                <w:color w:val="1A1A1A"/>
                <w:sz w:val="20"/>
                <w:szCs w:val="20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Indian men don’t proactively buy supplements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Couples bundle ensures the woman buys for both; packaging + copy make his daily ritual frictionless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Cultural conservatism around discussing family planning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Target urban metro educated 28–38 demographic first; warm framing avoids confrontational positioning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Trimacare patent on trimester-specific MMN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Single comprehensive prenatal (like Ritual) sidesteps the patent entirely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Manufacturer FSDU license gap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Verification questions sent to Tanishq + Brukem; if neither qualifies, pivot to shortlist alternatives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New entity means slower regulatory start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Adds 2–4 months to timeline but is the right long-term call — clean liability boundary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Gynaecologist co-founder search</w:t>
            </w:r>
          </w:p>
        </w:tc>
        <w:tc>
          <w:tcPr>
            <w:tcW w:type="dxa" w:w="5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Helvetica" w:cs="Helvetica" w:eastAsia="Helvetica" w:hAnsi="Helvetica"/>
                <w:b w:val="false"/>
                <w:bCs w:val="false"/>
                <w:color w:val="1A1A1A"/>
                <w:sz w:val="20"/>
                <w:szCs w:val="20"/>
              </w:rPr>
              <w:t xml:space="preserve">Step 0 of execution. Clean Pvt Ltd structure makes equity allocation straightforward</w:t>
            </w:r>
          </w:p>
        </w:tc>
      </w:tr>
    </w:tbl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Next 30 Days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2"/>
          <w:szCs w:val="22"/>
        </w:rPr>
        <w:t xml:space="preserve">Incorporate The Edit Pvt Ltd </w:t>
      </w: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— directors, MOA, registered office, PAN, GST, bank account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Send manufacturer discovery emails to Tanishq + Brukem (drafts ready in Gmail)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Apply for FSSAI Central License under the new entity, with FSDU + Health Supplement endorsements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Trademark search + filing at IP India for “EDIT” / “THE EDIT” in Class 5 + Class 30 under the new entity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Domain verification and registration for theedit.in / theeditco.com / equivalent under the new entity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Begin gynaecologist co-founder outreach — identify 5–10 candidates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Helvetica" w:cs="Helvetica" w:eastAsia="Helvetica" w:hAnsi="Helvetica"/>
          <w:color w:val="1A1A1A"/>
          <w:sz w:val="22"/>
          <w:szCs w:val="22"/>
        </w:rPr>
        <w:t xml:space="preserve">Start customer validation interviews with 30–50 couples in target demographic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80" w:line="320"/>
      </w:pPr>
      <w:r>
        <w:rPr>
          <w:rFonts w:ascii="Helvetica" w:cs="Helvetica" w:eastAsia="Helvetica" w:hAnsi="Helvetica"/>
          <w:b/>
          <w:bCs/>
          <w:color w:val="1A1A1A"/>
          <w:sz w:val="36"/>
          <w:szCs w:val="36"/>
        </w:rPr>
        <w:t xml:space="preserve">The Vision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Edit is not a prenatal supplement company. It is a modern wellness brand built for Indian couples and parents-to-be, across every stage of the family-building journey. What the Indian wellness market has been missing. What Indian couples have been waiting for.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Day 1 launches three SKUs. Year 1 covers the full preconception-to-postnatal journey. Year 3–5 expands into adjacent moments — postpartum recovery, perimenopause, the menopausal transition, supplements for the next generation. The Edit becomes a brand that walks with Indian families through every major life stage.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is a Rs.500 Cr+ brand trajectory, not a Rs.50 Cr niche. The category is large. The white space is real. The brand vision is rooted in what Indian couples already want — we are simply the first brand to make it clean, transparent, and intentional.</w:t>
      </w:r>
    </w:p>
    <w:p>
      <w:pPr>
        <w:spacing w:after="120" w:line="320"/>
      </w:pPr>
      <w:r>
        <w:rPr>
          <w:rFonts w:ascii="Helvetica" w:cs="Helvetica" w:eastAsia="Helvetica" w:hAnsi="Helvetica"/>
          <w:b/>
          <w:bCs/>
          <w:i w:val="false"/>
          <w:iCs w:val="false"/>
          <w:color w:val="1A1A1A"/>
          <w:sz w:val="24"/>
          <w:szCs w:val="24"/>
        </w:rPr>
        <w:t xml:space="preserve">That’s the proposal.</w:t>
      </w:r>
    </w:p>
    <w:p>
      <w:pPr>
        <w:pBdr>
          <w:bottom w:val="single" w:color="B0B0B0" w:sz="6" w:space="1"/>
        </w:pBdr>
        <w:spacing w:after="200" w:before="200"/>
      </w:pPr>
      <w:r>
        <w:t xml:space="preserve"/>
      </w:r>
    </w:p>
    <w:p>
      <w:pPr>
        <w:spacing w:after="60" w:line="320"/>
      </w:pPr>
      <w:r>
        <w:rPr>
          <w:rFonts w:ascii="Helvetica" w:cs="Helvetica" w:eastAsia="Helvetica" w:hAnsi="Helvetica"/>
          <w:b w:val="false"/>
          <w:bCs w:val="false"/>
          <w:i/>
          <w:iCs/>
          <w:color w:val="555555"/>
          <w:sz w:val="22"/>
          <w:szCs w:val="22"/>
        </w:rPr>
        <w:t xml:space="preserve">Prepared for: gynaecologist co-founder candidates, founding advisors, capital partners, and the founder’s own reference.</w:t>
      </w:r>
    </w:p>
    <w:p>
      <w:pPr>
        <w:spacing w:after="120" w:line="320"/>
      </w:pPr>
      <w:r>
        <w:rPr>
          <w:rFonts w:ascii="Helvetica" w:cs="Helvetica" w:eastAsia="Helvetica" w:hAnsi="Helvetica"/>
          <w:b w:val="false"/>
          <w:bCs w:val="false"/>
          <w:i/>
          <w:iCs/>
          <w:color w:val="555555"/>
          <w:sz w:val="22"/>
          <w:szCs w:val="22"/>
        </w:rPr>
        <w:t xml:space="preserve">Aishwarya Chandrasekaran — April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 w:line="320"/>
      <w:outlineLvl w:val="0"/>
    </w:pPr>
    <w:rPr>
      <w:rFonts w:ascii="Helvetica" w:cs="Helvetica" w:eastAsia="Helvetica" w:hAnsi="Helvetica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 w:line="320"/>
      <w:outlineLvl w:val="1"/>
    </w:pPr>
    <w:rPr>
      <w:rFonts w:ascii="Helvetica" w:cs="Helvetica" w:eastAsia="Helvetica" w:hAnsi="Helvetica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 w:line="320"/>
      <w:outlineLvl w:val="2"/>
    </w:pPr>
    <w:rPr>
      <w:rFonts w:ascii="Helvetica" w:cs="Helvetica" w:eastAsia="Helvetica" w:hAnsi="Helvetica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Edit — Proposal</dc:title>
  <dc:creator>Aishwarya Chandrasekaran</dc:creator>
  <cp:lastModifiedBy>Un-named</cp:lastModifiedBy>
  <cp:revision>1</cp:revision>
  <dcterms:created xsi:type="dcterms:W3CDTF">2026-04-18T04:40:46.215Z</dcterms:created>
  <dcterms:modified xsi:type="dcterms:W3CDTF">2026-04-18T04:40:46.216Z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