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left"/>
      </w:pPr>
      <w:r>
        <w:rPr>
          <w:rFonts w:ascii="Helvetica" w:cs="Helvetica" w:eastAsia="Helvetica" w:hAnsi="Helvetica"/>
          <w:b/>
          <w:bCs/>
          <w:color w:val="1A1A1A"/>
          <w:sz w:val="96"/>
          <w:szCs w:val="96"/>
        </w:rPr>
        <w:t xml:space="preserve">THE EDIT</w:t>
      </w:r>
    </w:p>
    <w:p>
      <w:pPr>
        <w:spacing w:after="400"/>
        <w:jc w:val="left"/>
      </w:pPr>
      <w:r>
        <w:rPr>
          <w:rFonts w:ascii="Helvetica" w:cs="Helvetica" w:eastAsia="Helvetica" w:hAnsi="Helvetica"/>
          <w:i/>
          <w:iCs/>
          <w:color w:val="555555"/>
          <w:sz w:val="32"/>
          <w:szCs w:val="32"/>
        </w:rPr>
        <w:t xml:space="preserve">A Proposal for India’s First Reproductive Partnership Brand</w:t>
      </w:r>
    </w:p>
    <w:p>
      <w:pPr>
        <w:pBdr>
          <w:top w:val="single" w:color="B0B0B0" w:sz="6" w:space="8"/>
        </w:pBdr>
        <w:spacing w:before="1200"/>
      </w:pPr>
      <w:r>
        <w:t xml:space="preserve"/>
      </w:r>
    </w:p>
    <w:p>
      <w:pPr>
        <w:spacing w:after="8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Founder: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Aishwarya Chandrasekhar</w:t>
      </w:r>
    </w:p>
    <w:p>
      <w:pPr>
        <w:spacing w:after="8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Date: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April 2026</w:t>
      </w:r>
    </w:p>
    <w:p>
      <w:pPr>
        <w:spacing w:after="8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Status: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Pre-launch strategy — locked</w:t>
      </w:r>
    </w:p>
    <w:p>
      <w:r>
        <w:br w:type="pag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The Core Idea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Edit is built on one belief: </w:t>
      </w: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making a baby is a reproductive partnership, not a woman’s solo project.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India, when couples decide to have a baby, only one person is asked to prepare. She visits doctors, takes vitamins, changes her diet, monitors her cycle. He continues life unchanged. But conception is a team sport — sperm quality matters as much as egg quality. Stress affects both. Lifestyle affects both. Recovery affects both.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Edit is a wellness brand for couples who believe the work of building a family begins with two people, not one.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Why “Reproductive Partnership” Is the Right Framing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chose this term deliberately. Other vocabulary doesn’t do the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Term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What it implies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Why we don’t lead with 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“Fertility”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Medicalized — implies infertility, clinics, treatment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Stigmatizing in Indian context; positions brand as a problem-fixer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“TTC” (Trying to Conceive)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Insider lingo — clinical, reductive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Doesn’t articulate the why behind the 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“Couples Planning”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Logistical — feels like calendar management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Misses the physiological reality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“Reproductive Partnership”</w:t>
            </w:r>
          </w:p>
        </w:tc>
        <w:tc>
          <w:tcPr>
            <w:tcW w:type="dxa" w:w="3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A relationship, a shared physiological project, a values stance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Captures the truth + signals the brand’s worldview</w:t>
            </w:r>
          </w:p>
        </w:tc>
      </w:tr>
    </w:tbl>
    <w:p>
      <w:pPr>
        <w:spacing w:after="10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Reproductive partnership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a category-defining phrase because: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It names what’s missing in India’s wellness landscape.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brand articulates that conception is a partnership. Saying it out loud is itself a contribution.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It works as a value, a category, and a marketing platform simultaneously.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It tells customers what we believe, what we sell, and how we talk about reproduction.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It’s defensible.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Trimacare cannot adopt this language credibly — their entire model is doctor-prescribed-to-woman. Ritual (US) sells two products but doesn’t lead with partnership. Ayurvedic brands lean on dosha balance, not equality.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It opens content territory others can’t enter.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Male fertility, paternal preparation, the unspoken work of motherhood, partner accountability — all become The Edit’s natural conversation.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The Market Insight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India is the largest reproductive health market in the world that nobody is building intentionally for.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27 million pregnancies per year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~5–8 million couples actively trying to conceive at any given time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India health &amp; wellness market: $164B (2025) → $258B (2034)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Asia-Pacific holds 38.58% of global postpartum market</w:t>
      </w:r>
    </w:p>
    <w:p>
      <w:pPr>
        <w:spacing w:after="8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 the existing brands fail in specific ways: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Trimacare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(and similar pharma-coded prenatals) — woman-only, doctor-prescribed, treats the woman as a patient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Imported brands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(Ritual, Garden of Life) — expensive, hard to access, regulatory grey zone, no India context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Ayurvedic brands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(Himalaya, Patanjali) — pharma-coded, no traceability, no transparency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Nobody at all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addresses the male side of conception, or the couple as the unit of care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The white space: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premium DTC wellness brand built on reproductive partnership, with traceable ingredients, gynecologist co-formulation, and transparent sourcing.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The Brand: The Edit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Positioning: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India’s first reproductive partnership wellness brand.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Manifesto: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TTC is a team job. Men need to be equally invested.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Brand promise: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Only what matters. For both of you.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Aesthetic: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Modern, gender-neutral, premium DTC — closer to Aesop or The Ordinary than to a maternity brand.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Distribution: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Direct-to-consumer subscription model (initially). Urban metros first — Mumbai, Bangalore, Delhi, Hyderabad, Chennai.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Pricing: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Rs.800–1,500 per SKU per month. Couples bundle priced at ~15% discount vs buying separately.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Product Architecture</w:t>
      </w:r>
    </w:p>
    <w:p>
      <w:pPr>
        <w:pStyle w:val="Heading2"/>
        <w:spacing w:after="160" w:before="320" w:line="320"/>
      </w:pPr>
      <w:r>
        <w:rPr>
          <w:rFonts w:ascii="Helvetica" w:cs="Helvetica" w:eastAsia="Helvetica" w:hAnsi="Helvetica"/>
          <w:b/>
          <w:bCs/>
          <w:color w:val="1A1A1A"/>
          <w:sz w:val="26"/>
          <w:szCs w:val="26"/>
        </w:rPr>
        <w:t xml:space="preserve">Day 1 Launch — 3 SKUs</w:t>
      </w:r>
    </w:p>
    <w:p>
      <w:pPr>
        <w:pStyle w:val="Heading3"/>
        <w:spacing w:after="120" w:before="240" w:line="3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1. Edit Couples Bundle (the hero SKU)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Sold as one box containing two bottles. Marketed as a single product. The visible expression of the reproductive partnership manifesto.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For Her: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egg quality, fertility support, methylfolate, CoQ10, myo-inositol, DHA. FSDU regulatory pathway.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For Him: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sperm quality, motility, antioxidants, CoQ10, L-carnitine, zinc, selenium, ashwagandha (KSM-66). Health Supplement regulatory pathway.</w:t>
      </w:r>
    </w:p>
    <w:p>
      <w:pPr>
        <w:pStyle w:val="Heading3"/>
        <w:spacing w:after="120" w:before="240" w:line="3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2. Edit Prenatal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Comprehensive 18–25 ingredient prenatal supplement with branded traceable ingredients (Quatrefolic, life’sDHA, Albion chelated minerals). All within ICMR RDA. FSDU regulatory pathway.</w:t>
      </w:r>
    </w:p>
    <w:p>
      <w:pPr>
        <w:pStyle w:val="Heading2"/>
        <w:spacing w:after="160" w:before="320" w:line="320"/>
      </w:pPr>
      <w:r>
        <w:rPr>
          <w:rFonts w:ascii="Helvetica" w:cs="Helvetica" w:eastAsia="Helvetica" w:hAnsi="Helvetica"/>
          <w:b/>
          <w:bCs/>
          <w:color w:val="1A1A1A"/>
          <w:sz w:val="26"/>
          <w:szCs w:val="26"/>
        </w:rPr>
        <w:t xml:space="preserve">Year 1 Expansion</w:t>
      </w:r>
    </w:p>
    <w:p>
      <w:pPr>
        <w:pStyle w:val="Heading3"/>
        <w:spacing w:after="120" w:before="240" w:line="3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3. Edit Postnatal (Month 9–12 post-launch)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Postpartum + lactation support, formulated for the mother’s recovery and the breastfeeding period.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Why Launch Couples Bundle + Prenatal at Day 1 (NOT All Three Together)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was the most important strategic decision in the planning process. Three options were considered:</w:t>
      </w:r>
    </w:p>
    <w:p>
      <w:pPr>
        <w:pStyle w:val="Heading3"/>
        <w:spacing w:after="120" w:before="240" w:line="3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Option A — Launch all 3 SKUs simultaneously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Rejected.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Postnatal has no Day 1 customer demand. The natural Postnatal customer is your own Prenatal customer who just gave birth — and that cohort doesn’t exist until Month 9–12 after launch. Manufacturing Postnatal at Day 1 means inventory sits in the warehouse for nearly a year before customers materialize, locking up capital and burning shelf life.</w:t>
      </w:r>
    </w:p>
    <w:p>
      <w:pPr>
        <w:pStyle w:val="Heading3"/>
        <w:spacing w:after="120" w:before="240" w:line="3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Option B — Launch Prenatal only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Rejected.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Misses the reproductive partnership positioning entirely. Pregnant women are already pregnant — they’re past the partnership moment. Prenatal-only makes The Edit a maternity brand, not a partnership brand.</w:t>
      </w:r>
    </w:p>
    <w:p>
      <w:pPr>
        <w:pStyle w:val="Heading3"/>
        <w:spacing w:after="120" w:before="240" w:line="3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Option C — Launch Couples Bundle + Prenatal at Day 1, add Postnatal at Month 9–12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Selected.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right architecture for four reasons: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Captures the partnership positioning from Day 1.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Couples bundle is the hero. Prenatal is the natural progression. The brand’s values are visible at launch, not deferred.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Captures full female customer journey.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woman who buys the Couples Bundle while trying to conceive transitions to Edit Prenatal when she gets pregnant — same brand, same trust, same subscription.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Postnatal launches at peak demand.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First Prenatal cohort gives birth at Month 9–12. Postnatal launches exactly when this cohort needs it.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Two PR moments instead of one.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Day 1 launch is the manifesto moment. Month 9–12 Postnatal launch is the second wave.</w:t>
      </w:r>
    </w:p>
    <w:p>
      <w:pPr>
        <w:pStyle w:val="Heading2"/>
        <w:spacing w:after="160" w:before="320" w:line="320"/>
      </w:pPr>
      <w:r>
        <w:rPr>
          <w:rFonts w:ascii="Helvetica" w:cs="Helvetica" w:eastAsia="Helvetica" w:hAnsi="Helvetica"/>
          <w:b/>
          <w:bCs/>
          <w:color w:val="1A1A1A"/>
          <w:sz w:val="26"/>
          <w:szCs w:val="26"/>
        </w:rPr>
        <w:t xml:space="preserve">The Math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700"/>
        <w:gridCol w:w="1860"/>
      </w:tblGrid>
      <w:tr>
        <w:trPr>
          <w:tblHeader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All 3 Day 1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Couples + Prenatal Day 1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Prenatal only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Day 1 SKUs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Capital required at launch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Rs.25–30L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Rs.20–25L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Rs.10–12L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18–24 months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16–18 months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12 months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Postnatal capital efficiency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Bad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Reproductive partnership at launch?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Customer journey coverage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Full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Preconception → Pregnancy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Pregnancy only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Execution risk for small team</w:t>
            </w:r>
          </w:p>
        </w:tc>
        <w:tc>
          <w:tcPr>
            <w:tcW w:type="dxa" w:w="19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Very high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“Couples Bundle + Prenatal at Day 1” path captures 100% of the brand vision with significantly less capital, lower execution risk, and better inventory economics than launching all three together.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Why This Beats Every Existing Competitor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Why The Edit wins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Trimacare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Doctor-prescribed prenatal MMN, woman-only, pharma-coded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Cannot adopt couples partnership without contradicting their entire DNA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Ritual (US, imported)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Premium prenatal, transparency-led, separate Him/Her products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Imported = expensive + slow; doesn’t lead with partnership framing; no India context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Garden of Life / Pink Stork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Premium prenatal, lifestyle brand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Same issues as Ritual + no men’s product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Himalaya / Patanjali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Ayurvedic supplements, pharma-coded packaging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No transparency, no traceability, no modern brand identity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Wellbeing Nutrition</w:t>
            </w:r>
          </w:p>
        </w:tc>
        <w:tc>
          <w:tcPr>
            <w:tcW w:type="dxa" w:w="3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Modern DTC supplements, broad portfolio</w:t>
            </w:r>
          </w:p>
        </w:tc>
        <w:tc>
          <w:tcPr>
            <w:tcW w:type="dxa" w:w="36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No prenatal/preconception focus, no couples positioning</w:t>
            </w:r>
          </w:p>
        </w:tc>
      </w:tr>
    </w:tbl>
    <w:p>
      <w:pPr>
        <w:spacing w:after="10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No existing brand combines all of: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reproductive partnership positioning, premium DTC subscription model, traceable branded ingredients, gynecologist co-formulation, made-in-India for both partners, modern wellness aesthetic. This is the white space.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Regulatory + Operational Foundation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Operating entity: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Lumen Marketing Company (LMC) umbrella — saves Rs.30K + 4 weeks vs separate incorporation.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Regulatory pathways: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FSDU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(Foods for Special Dietary Use) — for Preconception Her + Prenatal + Postnatal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Health Supplement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 for Preconception Him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Both endorsements added to LMC’s existing FSSAI Central License.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Manufacturing: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India domestic only (rejected Thailand/overseas — contradicts brand thesis of “Indian women shouldn’t have to import”). Currently evaluating Tanishq Lifecare and Brukem Life Care as contract manufacturers.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Formulation philosophy: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nutrients within ICMR RDA. Branded traceable ingredients (Quatrefolic, life’sDHA, Albion, KSM-66). No fillers. Nothing without published evidence.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Capital +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Estimate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Day 1 inventory (3 SKUs × MOQs)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Rs.12–15L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FSSAI consultant + regulatory filings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Rs.2–3L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Brand identity, packaging design, website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Rs.4–6L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Initial marketing (3 months runway)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Rs.3–5L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Working capital + buffer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Rs.2–3L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Total launch capital</w:t>
            </w:r>
          </w:p>
        </w:tc>
        <w:tc>
          <w:tcPr>
            <w:tcW w:type="dxa" w:w="2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Rs.20–25L</w:t>
            </w:r>
          </w:p>
        </w:tc>
      </w:tr>
    </w:tbl>
    <w:p>
      <w:pPr>
        <w:spacing w:after="10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Build timeline: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16–18 months from project start to Day 1 launch.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Year 1 post-launch: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Edit Postnatal at Month 9–12. Add fertility add-ons at Month 12–18 if brand is hungry.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Indian men don’t proactively buy supplements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Couples bundle ensures the woman buys for both; packaging makes his daily ritual frictionless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Cultural sensitivity around TTC framing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Target urban metro educated 28–38 demographic; don’t try to appeal to all of India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Trimacare patent on trimester-specific MMN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Single comprehensive prenatal (like Ritual) sidesteps the patent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Manufacturer FSDU license gap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Verification questions sent to Tanishq + Brukem; if neither qualifies, pivot to alternatives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Liability mixing under LMC umbrella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Future spin-out into separate Pvt Ltd when investment or scale demands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Gynecologist co-founder search</w:t>
            </w:r>
          </w:p>
        </w:tc>
        <w:tc>
          <w:tcPr>
            <w:tcW w:type="dxa" w:w="5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1A1A1A"/>
                <w:sz w:val="20"/>
                <w:szCs w:val="20"/>
              </w:rPr>
              <w:t xml:space="preserve">Step 0 of execution — the brand cannot launch without one</w:t>
            </w:r>
          </w:p>
        </w:tc>
      </w:tr>
    </w:tbl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Next 30 Days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Send manufacturer discovery emails to Tanishq + Brukem (drafts ready in Gmail)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Add FSDU + Health Supplement endorsements to LMC’s FSSAI Central License (call Thambu’s CA)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Trademark search at IP India for “EDIT” / “THE EDIT” in Class 5 + Class 30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Domain verification for theedit.in / theeditco.com / equivalent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Begin gynecologist co-founder outreach — identify 5–10 candidates, start conversations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Helvetica" w:cs="Helvetica" w:eastAsia="Helvetica" w:hAnsi="Helvetica"/>
          <w:color w:val="1A1A1A"/>
          <w:sz w:val="22"/>
          <w:szCs w:val="22"/>
        </w:rPr>
        <w:t xml:space="preserve">Start customer validation interviews with 30–50 couples in target demographic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 w:line="320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The Vision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Edit is not a prenatal supplement company. It’s a brand built around a single conviction: </w:t>
      </w: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2"/>
          <w:szCs w:val="22"/>
        </w:rPr>
        <w:t xml:space="preserve">the work of building a family is shared work.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Every product, every word, every design choice expresses this.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Day 1 launches three SKUs. Year 1 covers the full preconception-to-postnatal journey. Year 3–5 expands into adjacent reproductive wellness — fertility tracking, postpartum recovery, perimenopause, the menopausal transition. The Edit becomes a women’s lifecycle wellness platform with the soul of reproductive partnership.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a Rs.500 Cr+ brand trajectory, not a Rs.50 Cr niche. The category is large. The white space is real. The brand vision is unique. The founder cares about this for reasons beyond commerce.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/>
          <w:bCs/>
          <w:i w:val="false"/>
          <w:iCs w:val="false"/>
          <w:color w:val="1A1A1A"/>
          <w:sz w:val="24"/>
          <w:szCs w:val="24"/>
        </w:rPr>
        <w:t xml:space="preserve">That’s the proposal.</w:t>
      </w:r>
    </w:p>
    <w:p>
      <w:pPr>
        <w:pBdr>
          <w:bottom w:val="single" w:color="B0B0B0" w:sz="6" w:space="1"/>
        </w:pBdr>
        <w:spacing w:after="200" w:before="200"/>
      </w:pPr>
      <w:r>
        <w:t xml:space="preserve"/>
      </w:r>
    </w:p>
    <w:p>
      <w:pPr>
        <w:spacing w:after="60" w:line="320"/>
        <w:jc w:val="left"/>
      </w:pPr>
      <w:r>
        <w:rPr>
          <w:rFonts w:ascii="Helvetica" w:cs="Helvetica" w:eastAsia="Helvetica" w:hAnsi="Helvetica"/>
          <w:b w:val="false"/>
          <w:bCs w:val="false"/>
          <w:i/>
          <w:iCs/>
          <w:color w:val="555555"/>
          <w:sz w:val="22"/>
          <w:szCs w:val="22"/>
        </w:rPr>
        <w:t xml:space="preserve">Prepared for: gynecologist co-founder candidates, founding advisors, capital partners, and the founder’s own reference.</w:t>
      </w:r>
    </w:p>
    <w:p>
      <w:pPr>
        <w:spacing w:after="120" w:line="320"/>
        <w:jc w:val="left"/>
      </w:pPr>
      <w:r>
        <w:rPr>
          <w:rFonts w:ascii="Helvetica" w:cs="Helvetica" w:eastAsia="Helvetica" w:hAnsi="Helvetica"/>
          <w:b w:val="false"/>
          <w:bCs w:val="false"/>
          <w:i/>
          <w:iCs/>
          <w:color w:val="555555"/>
          <w:sz w:val="22"/>
          <w:szCs w:val="22"/>
        </w:rPr>
        <w:t xml:space="preserve">Aishwarya Chandrasekhar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 w:line="320"/>
      <w:outlineLvl w:val="0"/>
    </w:pPr>
    <w:rPr>
      <w:rFonts w:ascii="Helvetica" w:cs="Helvetica" w:eastAsia="Helvetica" w:hAnsi="Helvetic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 w:line="320"/>
      <w:outlineLvl w:val="1"/>
    </w:pPr>
    <w:rPr>
      <w:rFonts w:ascii="Helvetica" w:cs="Helvetica" w:eastAsia="Helvetica" w:hAnsi="Helvetica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 w:line="320"/>
      <w:outlineLvl w:val="2"/>
    </w:pPr>
    <w:rPr>
      <w:rFonts w:ascii="Helvetica" w:cs="Helvetica" w:eastAsia="Helvetica" w:hAnsi="Helvetica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Edit — Proposal</dc:title>
  <dc:creator>Aishwarya Chandrasekhar</dc:creator>
  <cp:lastModifiedBy>Un-named</cp:lastModifiedBy>
  <cp:revision>1</cp:revision>
  <dcterms:created xsi:type="dcterms:W3CDTF">2026-04-17T13:18:56.664Z</dcterms:created>
  <dcterms:modified xsi:type="dcterms:W3CDTF">2026-04-17T13:18:56.664Z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