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pPr>
      <w:r>
        <w:rPr>
          <w:rFonts w:ascii="Helvetica" w:cs="Helvetica" w:eastAsia="Helvetica" w:hAnsi="Helvetica"/>
          <w:b/>
          <w:bCs/>
          <w:color w:val="1A1A1A"/>
          <w:sz w:val="96"/>
          <w:szCs w:val="96"/>
        </w:rPr>
        <w:t xml:space="preserve">THE EDIT</w:t>
      </w:r>
    </w:p>
    <w:p>
      <w:pPr>
        <w:spacing w:after="400"/>
      </w:pPr>
      <w:r>
        <w:rPr>
          <w:rFonts w:ascii="Helvetica" w:cs="Helvetica" w:eastAsia="Helvetica" w:hAnsi="Helvetica"/>
          <w:i/>
          <w:iCs/>
          <w:color w:val="555555"/>
          <w:sz w:val="32"/>
          <w:szCs w:val="32"/>
        </w:rPr>
        <w:t xml:space="preserve">The wellness brand India was missing.</w:t>
      </w:r>
    </w:p>
    <w:p>
      <w:pPr>
        <w:pBdr>
          <w:top w:val="single" w:color="B0B0B0" w:sz="6" w:space="8"/>
        </w:pBdr>
        <w:spacing w:before="1200"/>
      </w:pPr>
      <w:r>
        <w:t xml:space="preserve"/>
      </w:r>
    </w:p>
    <w:p>
      <w:pPr>
        <w:spacing w:after="80" w:line="320"/>
      </w:pPr>
      <w:r>
        <w:rPr>
          <w:rFonts w:ascii="Helvetica" w:cs="Helvetica" w:eastAsia="Helvetica" w:hAnsi="Helvetica"/>
          <w:b/>
          <w:bCs/>
          <w:i w:val="false"/>
          <w:iCs w:val="false"/>
          <w:color w:val="1A1A1A"/>
          <w:sz w:val="22"/>
          <w:szCs w:val="22"/>
        </w:rPr>
        <w:t xml:space="preserve">Founder: </w:t>
      </w:r>
      <w:r>
        <w:rPr>
          <w:rFonts w:ascii="Helvetica" w:cs="Helvetica" w:eastAsia="Helvetica" w:hAnsi="Helvetica"/>
          <w:b w:val="false"/>
          <w:bCs w:val="false"/>
          <w:i w:val="false"/>
          <w:iCs w:val="false"/>
          <w:color w:val="1A1A1A"/>
          <w:sz w:val="22"/>
          <w:szCs w:val="22"/>
        </w:rPr>
        <w:t xml:space="preserve">Aishwarya Chandrasekaran</w:t>
      </w:r>
    </w:p>
    <w:p>
      <w:pPr>
        <w:spacing w:after="80" w:line="320"/>
      </w:pPr>
      <w:r>
        <w:rPr>
          <w:rFonts w:ascii="Helvetica" w:cs="Helvetica" w:eastAsia="Helvetica" w:hAnsi="Helvetica"/>
          <w:b/>
          <w:bCs/>
          <w:i w:val="false"/>
          <w:iCs w:val="false"/>
          <w:color w:val="1A1A1A"/>
          <w:sz w:val="22"/>
          <w:szCs w:val="22"/>
        </w:rPr>
        <w:t xml:space="preserve">Date: </w:t>
      </w:r>
      <w:r>
        <w:rPr>
          <w:rFonts w:ascii="Helvetica" w:cs="Helvetica" w:eastAsia="Helvetica" w:hAnsi="Helvetica"/>
          <w:b w:val="false"/>
          <w:bCs w:val="false"/>
          <w:i w:val="false"/>
          <w:iCs w:val="false"/>
          <w:color w:val="1A1A1A"/>
          <w:sz w:val="22"/>
          <w:szCs w:val="22"/>
        </w:rPr>
        <w:t xml:space="preserve">April 2026</w:t>
      </w:r>
    </w:p>
    <w:p>
      <w:pPr>
        <w:spacing w:after="80" w:line="320"/>
      </w:pPr>
      <w:r>
        <w:rPr>
          <w:rFonts w:ascii="Helvetica" w:cs="Helvetica" w:eastAsia="Helvetica" w:hAnsi="Helvetica"/>
          <w:b/>
          <w:bCs/>
          <w:i w:val="false"/>
          <w:iCs w:val="false"/>
          <w:color w:val="1A1A1A"/>
          <w:sz w:val="22"/>
          <w:szCs w:val="22"/>
        </w:rPr>
        <w:t xml:space="preserve">Status: </w:t>
      </w:r>
      <w:r>
        <w:rPr>
          <w:rFonts w:ascii="Helvetica" w:cs="Helvetica" w:eastAsia="Helvetica" w:hAnsi="Helvetica"/>
          <w:b w:val="false"/>
          <w:bCs w:val="false"/>
          <w:i w:val="false"/>
          <w:iCs w:val="false"/>
          <w:color w:val="1A1A1A"/>
          <w:sz w:val="22"/>
          <w:szCs w:val="22"/>
        </w:rPr>
        <w:t xml:space="preserve">Pre-launch strategy — locked</w:t>
      </w:r>
    </w:p>
    <w:p>
      <w:r>
        <w:br w:type="page"/>
      </w:r>
    </w:p>
    <w:p>
      <w:pPr>
        <w:pStyle w:val="Heading1"/>
        <w:spacing w:after="200" w:before="480" w:line="320"/>
      </w:pPr>
      <w:r>
        <w:rPr>
          <w:rFonts w:ascii="Helvetica" w:cs="Helvetica" w:eastAsia="Helvetica" w:hAnsi="Helvetica"/>
          <w:b/>
          <w:bCs/>
          <w:color w:val="1A1A1A"/>
          <w:sz w:val="36"/>
          <w:szCs w:val="36"/>
        </w:rPr>
        <w:t xml:space="preserve">The Core Idea</w:t>
      </w:r>
    </w:p>
    <w:p>
      <w:pPr>
        <w:spacing w:after="120" w:line="320"/>
      </w:pPr>
      <w:r>
        <w:rPr>
          <w:rFonts w:ascii="Helvetica" w:cs="Helvetica" w:eastAsia="Helvetica" w:hAnsi="Helvetica"/>
          <w:b w:val="false"/>
          <w:bCs w:val="false"/>
          <w:i w:val="false"/>
          <w:iCs w:val="false"/>
          <w:color w:val="1A1A1A"/>
          <w:sz w:val="22"/>
          <w:szCs w:val="22"/>
        </w:rPr>
        <w:t xml:space="preserve">The Edit exists because something specific has been missing for Indian couples and parents-to-be: a modern, transparent, gynaecologist-co-formulated brand with every ingredient traceable to a named source, every dose backed by published science, and every formula designed for a specific stage of the family-building journey. Not imported. Not pharma-coded. Not opaque. Built in India, across preconception, pregnancy, and the months after.</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Supplementation Isn’t Optional Anymore</w:t>
      </w:r>
    </w:p>
    <w:p>
      <w:pPr>
        <w:spacing w:after="120" w:line="320"/>
      </w:pPr>
      <w:r>
        <w:rPr>
          <w:rFonts w:ascii="Helvetica" w:cs="Helvetica" w:eastAsia="Helvetica" w:hAnsi="Helvetica"/>
          <w:b w:val="false"/>
          <w:bCs w:val="false"/>
          <w:i w:val="false"/>
          <w:iCs w:val="false"/>
          <w:color w:val="1A1A1A"/>
          <w:sz w:val="22"/>
          <w:szCs w:val="22"/>
        </w:rPr>
        <w:t xml:space="preserve">Before talking about the supplement gap, there’s a deeper truth worth naming: the modern Indian woman can no longer rely on food alone for the nutrition her body needs to plan a family, carry a child, or recover from birth.</w:t>
      </w:r>
    </w:p>
    <w:p>
      <w:pPr>
        <w:spacing w:after="120" w:line="320"/>
      </w:pPr>
      <w:r>
        <w:rPr>
          <w:rFonts w:ascii="Helvetica" w:cs="Helvetica" w:eastAsia="Helvetica" w:hAnsi="Helvetica"/>
          <w:b w:val="false"/>
          <w:bCs w:val="false"/>
          <w:i w:val="false"/>
          <w:iCs w:val="false"/>
          <w:color w:val="1A1A1A"/>
          <w:sz w:val="22"/>
          <w:szCs w:val="22"/>
        </w:rPr>
        <w:t xml:space="preserve">Three forces have converged: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nuclear-family shift. </w:t>
      </w:r>
      <w:r>
        <w:rPr>
          <w:rFonts w:ascii="Helvetica" w:cs="Helvetica" w:eastAsia="Helvetica" w:hAnsi="Helvetica"/>
          <w:b w:val="false"/>
          <w:bCs w:val="false"/>
          <w:i w:val="false"/>
          <w:iCs w:val="false"/>
          <w:color w:val="1A1A1A"/>
          <w:sz w:val="22"/>
          <w:szCs w:val="22"/>
        </w:rPr>
        <w:t xml:space="preserve">Joint-family kitchens with multiple cooks preparing elaborate meals daily have given way to dual-income nuclear households where both partners work. Three home-cooked, nutritionally complete meals a day — once the default in Indian families — has become genuinely aspirational.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Food adulteration is widespread and well-documented. </w:t>
      </w:r>
      <w:r>
        <w:rPr>
          <w:rFonts w:ascii="Helvetica" w:cs="Helvetica" w:eastAsia="Helvetica" w:hAnsi="Helvetica"/>
          <w:b w:val="false"/>
          <w:bCs w:val="false"/>
          <w:i w:val="false"/>
          <w:iCs w:val="false"/>
          <w:color w:val="1A1A1A"/>
          <w:sz w:val="22"/>
          <w:szCs w:val="22"/>
        </w:rPr>
        <w:t xml:space="preserve">Indian fruits, vegetables, dairy, and grains face ongoing concerns about pesticide residues, heavy metal contamination, mislabeling, and inconsistent micronutrient density. What an Indian woman puts on her plate is no longer reliably what she thinks she’s eating.</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micronutrient gap in modern Indian diets is real. </w:t>
      </w:r>
      <w:r>
        <w:rPr>
          <w:rFonts w:ascii="Helvetica" w:cs="Helvetica" w:eastAsia="Helvetica" w:hAnsi="Helvetica"/>
          <w:b w:val="false"/>
          <w:bCs w:val="false"/>
          <w:i w:val="false"/>
          <w:iCs w:val="false"/>
          <w:color w:val="1A1A1A"/>
          <w:sz w:val="22"/>
          <w:szCs w:val="22"/>
        </w:rPr>
        <w:t xml:space="preserve">Urban diets have shifted to be carbohydrate-heavy, lower in iron-rich greens, low in B-complex vitamins, and almost devoid of DHA. Even women with healthy lifestyles enter pregnancy nutritionally deficient on the markers that matter most for fetal development.</w:t>
      </w:r>
    </w:p>
    <w:p>
      <w:pPr>
        <w:spacing w:after="120" w:line="320"/>
      </w:pPr>
      <w:r>
        <w:rPr>
          <w:rFonts w:ascii="Helvetica" w:cs="Helvetica" w:eastAsia="Helvetica" w:hAnsi="Helvetica"/>
          <w:b/>
          <w:bCs/>
          <w:i w:val="false"/>
          <w:iCs w:val="false"/>
          <w:color w:val="1A1A1A"/>
          <w:sz w:val="22"/>
          <w:szCs w:val="22"/>
        </w:rPr>
        <w:t xml:space="preserve">Supplementation isn’t optional for the modern Indian woman planning a family. It’s foundational.</w:t>
      </w:r>
    </w:p>
    <w:p>
      <w:pPr>
        <w:spacing w:after="120" w:line="320"/>
      </w:pPr>
      <w:r>
        <w:rPr>
          <w:rFonts w:ascii="Helvetica" w:cs="Helvetica" w:eastAsia="Helvetica" w:hAnsi="Helvetica"/>
          <w:b w:val="false"/>
          <w:bCs w:val="false"/>
          <w:i w:val="false"/>
          <w:iCs w:val="false"/>
          <w:color w:val="1A1A1A"/>
          <w:sz w:val="22"/>
          <w:szCs w:val="22"/>
        </w:rPr>
        <w:t xml:space="preserve">Which makes the next question critical: what does she supplement with?</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Gap in the Market</w:t>
      </w:r>
    </w:p>
    <w:p>
      <w:pPr>
        <w:spacing w:after="120" w:line="320"/>
      </w:pPr>
      <w:r>
        <w:rPr>
          <w:rFonts w:ascii="Helvetica" w:cs="Helvetica" w:eastAsia="Helvetica" w:hAnsi="Helvetica"/>
          <w:b w:val="false"/>
          <w:bCs w:val="false"/>
          <w:i w:val="false"/>
          <w:iCs w:val="false"/>
          <w:color w:val="1A1A1A"/>
          <w:sz w:val="22"/>
          <w:szCs w:val="22"/>
        </w:rPr>
        <w:t xml:space="preserve">Indian-made prenatal and family-planning supplements do exist today. What doesn’t exist is an Indian brand that combines all of the following:</w:t>
      </w:r>
    </w:p>
    <w:p>
      <w:pPr>
        <w:pStyle w:val="ListParagraph"/>
        <w:numPr>
          <w:ilvl w:val="0"/>
          <w:numId w:val="2"/>
        </w:numPr>
        <w:spacing w:after="80" w:line="320"/>
      </w:pPr>
      <w:r>
        <w:rPr>
          <w:rFonts w:ascii="Helvetica" w:cs="Helvetica" w:eastAsia="Helvetica" w:hAnsi="Helvetica"/>
          <w:color w:val="1A1A1A"/>
          <w:sz w:val="22"/>
          <w:szCs w:val="22"/>
        </w:rPr>
        <w:t xml:space="preserve">DTC subscription model (not doctor-prescribed, not pharmacy-distributed)</w:t>
      </w:r>
    </w:p>
    <w:p>
      <w:pPr>
        <w:pStyle w:val="ListParagraph"/>
        <w:numPr>
          <w:ilvl w:val="0"/>
          <w:numId w:val="2"/>
        </w:numPr>
        <w:spacing w:after="80" w:line="320"/>
      </w:pPr>
      <w:r>
        <w:rPr>
          <w:rFonts w:ascii="Helvetica" w:cs="Helvetica" w:eastAsia="Helvetica" w:hAnsi="Helvetica"/>
          <w:color w:val="1A1A1A"/>
          <w:sz w:val="22"/>
          <w:szCs w:val="22"/>
        </w:rPr>
        <w:t xml:space="preserve">Modern lifestyle branding (not pharma-coded packaging or clinical design)</w:t>
      </w:r>
    </w:p>
    <w:p>
      <w:pPr>
        <w:pStyle w:val="ListParagraph"/>
        <w:numPr>
          <w:ilvl w:val="0"/>
          <w:numId w:val="2"/>
        </w:numPr>
        <w:spacing w:after="80" w:line="320"/>
      </w:pPr>
      <w:r>
        <w:rPr>
          <w:rFonts w:ascii="Helvetica" w:cs="Helvetica" w:eastAsia="Helvetica" w:hAnsi="Helvetica"/>
          <w:color w:val="1A1A1A"/>
          <w:sz w:val="22"/>
          <w:szCs w:val="22"/>
        </w:rPr>
        <w:t xml:space="preserve">Transparent, traceable branded ingredients (e.g., Quatrefolic methylfolate, life’sDHA algal DHA, Albion chelated minerals)</w:t>
      </w:r>
    </w:p>
    <w:p>
      <w:pPr>
        <w:pStyle w:val="ListParagraph"/>
        <w:numPr>
          <w:ilvl w:val="0"/>
          <w:numId w:val="2"/>
        </w:numPr>
        <w:spacing w:after="80" w:line="320"/>
      </w:pPr>
      <w:r>
        <w:rPr>
          <w:rFonts w:ascii="Helvetica" w:cs="Helvetica" w:eastAsia="Helvetica" w:hAnsi="Helvetica"/>
          <w:color w:val="1A1A1A"/>
          <w:sz w:val="22"/>
          <w:szCs w:val="22"/>
        </w:rPr>
        <w:t xml:space="preserve">Gynaecologist co-formulation (not just doctor endorsement)</w:t>
      </w:r>
    </w:p>
    <w:p>
      <w:pPr>
        <w:pStyle w:val="ListParagraph"/>
        <w:numPr>
          <w:ilvl w:val="0"/>
          <w:numId w:val="2"/>
        </w:numPr>
        <w:spacing w:after="80" w:line="320"/>
      </w:pPr>
      <w:r>
        <w:rPr>
          <w:rFonts w:ascii="Helvetica" w:cs="Helvetica" w:eastAsia="Helvetica" w:hAnsi="Helvetica"/>
          <w:color w:val="1A1A1A"/>
          <w:sz w:val="22"/>
          <w:szCs w:val="22"/>
        </w:rPr>
        <w:t xml:space="preserve">Designed for the full family-building journey (preconception, prenatal, postnatal — in one brand)</w:t>
      </w:r>
    </w:p>
    <w:p>
      <w:pPr>
        <w:pStyle w:val="ListParagraph"/>
        <w:numPr>
          <w:ilvl w:val="0"/>
          <w:numId w:val="2"/>
        </w:numPr>
        <w:spacing w:after="80" w:line="320"/>
      </w:pPr>
      <w:r>
        <w:rPr>
          <w:rFonts w:ascii="Helvetica" w:cs="Helvetica" w:eastAsia="Helvetica" w:hAnsi="Helvetica"/>
          <w:color w:val="1A1A1A"/>
          <w:sz w:val="22"/>
          <w:szCs w:val="22"/>
        </w:rPr>
        <w:t xml:space="preserve">Every claim backed by published clinical evidence</w:t>
      </w:r>
    </w:p>
    <w:p>
      <w:pPr>
        <w:pStyle w:val="ListParagraph"/>
        <w:numPr>
          <w:ilvl w:val="0"/>
          <w:numId w:val="2"/>
        </w:numPr>
        <w:spacing w:after="80" w:line="320"/>
      </w:pPr>
      <w:r>
        <w:rPr>
          <w:rFonts w:ascii="Helvetica" w:cs="Helvetica" w:eastAsia="Helvetica" w:hAnsi="Helvetica"/>
          <w:color w:val="1A1A1A"/>
          <w:sz w:val="22"/>
          <w:szCs w:val="22"/>
        </w:rPr>
        <w:t xml:space="preserve">Made in India, priced to be accessible (~Rs.800–1,500 per SKU per month)</w:t>
      </w:r>
    </w:p>
    <w:p>
      <w:pPr>
        <w:spacing w:after="120" w:line="320"/>
      </w:pPr>
      <w:r>
        <w:rPr>
          <w:rFonts w:ascii="Helvetica" w:cs="Helvetica" w:eastAsia="Helvetica" w:hAnsi="Helvetica"/>
          <w:b w:val="false"/>
          <w:bCs w:val="false"/>
          <w:i w:val="false"/>
          <w:iCs w:val="false"/>
          <w:color w:val="1A1A1A"/>
          <w:sz w:val="22"/>
          <w:szCs w:val="22"/>
        </w:rPr>
        <w:t xml:space="preserve">Existing brands have parts of this. Trimacare is clinically robust but pharma-coded and doctor-channel. Wellbeing Nutrition is DTC and lifestyle-branded but prenatal is not their hero. Ayurvedic brands (Himalaya, Patanjali) operate on a different traditional framework. Imported brands (Ritual, Garden of Life) are expensive and hard to access. Generic multivitamins don’t address motherhood’s specific needs.</w:t>
      </w:r>
    </w:p>
    <w:p>
      <w:pPr>
        <w:spacing w:after="120" w:line="320"/>
      </w:pPr>
      <w:r>
        <w:rPr>
          <w:rFonts w:ascii="Helvetica" w:cs="Helvetica" w:eastAsia="Helvetica" w:hAnsi="Helvetica"/>
          <w:b/>
          <w:bCs/>
          <w:i w:val="false"/>
          <w:iCs w:val="false"/>
          <w:color w:val="1A1A1A"/>
          <w:sz w:val="22"/>
          <w:szCs w:val="22"/>
        </w:rPr>
        <w:t xml:space="preserve">No single Indian brand combines all seven. That is the white space The Edit occupies.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Market Insight</w:t>
      </w:r>
    </w:p>
    <w:p>
      <w:pPr>
        <w:spacing w:after="120" w:line="320"/>
      </w:pPr>
      <w:r>
        <w:rPr>
          <w:rFonts w:ascii="Helvetica" w:cs="Helvetica" w:eastAsia="Helvetica" w:hAnsi="Helvetica"/>
          <w:b/>
          <w:bCs/>
          <w:i w:val="false"/>
          <w:iCs w:val="false"/>
          <w:color w:val="1A1A1A"/>
          <w:sz w:val="22"/>
          <w:szCs w:val="22"/>
        </w:rPr>
        <w:t xml:space="preserve">India is the largest reproductive health market in the world that nobody is building intentionally for.</w:t>
      </w:r>
    </w:p>
    <w:p>
      <w:pPr>
        <w:pStyle w:val="ListParagraph"/>
        <w:numPr>
          <w:ilvl w:val="0"/>
          <w:numId w:val="2"/>
        </w:numPr>
        <w:spacing w:after="80" w:line="320"/>
      </w:pPr>
      <w:r>
        <w:rPr>
          <w:rFonts w:ascii="Helvetica" w:cs="Helvetica" w:eastAsia="Helvetica" w:hAnsi="Helvetica"/>
          <w:color w:val="1A1A1A"/>
          <w:sz w:val="22"/>
          <w:szCs w:val="22"/>
        </w:rPr>
        <w:t xml:space="preserve">27 million pregnancies per year</w:t>
      </w:r>
    </w:p>
    <w:p>
      <w:pPr>
        <w:pStyle w:val="ListParagraph"/>
        <w:numPr>
          <w:ilvl w:val="0"/>
          <w:numId w:val="2"/>
        </w:numPr>
        <w:spacing w:after="80" w:line="320"/>
      </w:pPr>
      <w:r>
        <w:rPr>
          <w:rFonts w:ascii="Helvetica" w:cs="Helvetica" w:eastAsia="Helvetica" w:hAnsi="Helvetica"/>
          <w:color w:val="1A1A1A"/>
          <w:sz w:val="22"/>
          <w:szCs w:val="22"/>
        </w:rPr>
        <w:t xml:space="preserve">~5–8 million couples actively planning to conceive at any given time</w:t>
      </w:r>
    </w:p>
    <w:p>
      <w:pPr>
        <w:pStyle w:val="ListParagraph"/>
        <w:numPr>
          <w:ilvl w:val="0"/>
          <w:numId w:val="2"/>
        </w:numPr>
        <w:spacing w:after="80" w:line="320"/>
      </w:pPr>
      <w:r>
        <w:rPr>
          <w:rFonts w:ascii="Helvetica" w:cs="Helvetica" w:eastAsia="Helvetica" w:hAnsi="Helvetica"/>
          <w:color w:val="1A1A1A"/>
          <w:sz w:val="22"/>
          <w:szCs w:val="22"/>
        </w:rPr>
        <w:t xml:space="preserve">Indian health and wellness market: $164B (2025) → $258B (2034)</w:t>
      </w:r>
    </w:p>
    <w:p>
      <w:pPr>
        <w:pStyle w:val="ListParagraph"/>
        <w:numPr>
          <w:ilvl w:val="0"/>
          <w:numId w:val="2"/>
        </w:numPr>
        <w:spacing w:after="80" w:line="320"/>
      </w:pPr>
      <w:r>
        <w:rPr>
          <w:rFonts w:ascii="Helvetica" w:cs="Helvetica" w:eastAsia="Helvetica" w:hAnsi="Helvetica"/>
          <w:color w:val="1A1A1A"/>
          <w:sz w:val="22"/>
          <w:szCs w:val="22"/>
        </w:rPr>
        <w:t xml:space="preserve">Asia-Pacific holds 38.58% of the global postpartum market</w:t>
      </w:r>
    </w:p>
    <w:p>
      <w:pPr>
        <w:spacing w:after="120" w:line="320"/>
      </w:pPr>
      <w:r>
        <w:rPr>
          <w:rFonts w:ascii="Helvetica" w:cs="Helvetica" w:eastAsia="Helvetica" w:hAnsi="Helvetica"/>
          <w:b/>
          <w:bCs/>
          <w:i w:val="false"/>
          <w:iCs w:val="false"/>
          <w:color w:val="1A1A1A"/>
          <w:sz w:val="22"/>
          <w:szCs w:val="22"/>
        </w:rPr>
        <w:t xml:space="preserve">The white space: </w:t>
      </w:r>
      <w:r>
        <w:rPr>
          <w:rFonts w:ascii="Helvetica" w:cs="Helvetica" w:eastAsia="Helvetica" w:hAnsi="Helvetica"/>
          <w:b w:val="false"/>
          <w:bCs w:val="false"/>
          <w:i w:val="false"/>
          <w:iCs w:val="false"/>
          <w:color w:val="1A1A1A"/>
          <w:sz w:val="22"/>
          <w:szCs w:val="22"/>
        </w:rPr>
        <w:t xml:space="preserve">a modern, transparent, gynaecologist-co-formulated wellness brand built around the Indian family’s most consequential moments — designed for how Indian couples actually live today.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Brand: The Edit</w:t>
      </w:r>
    </w:p>
    <w:p>
      <w:pPr>
        <w:spacing w:after="120" w:line="320"/>
      </w:pPr>
      <w:r>
        <w:rPr>
          <w:rFonts w:ascii="Helvetica" w:cs="Helvetica" w:eastAsia="Helvetica" w:hAnsi="Helvetica"/>
          <w:b/>
          <w:bCs/>
          <w:i w:val="false"/>
          <w:iCs w:val="false"/>
          <w:color w:val="1A1A1A"/>
          <w:sz w:val="22"/>
          <w:szCs w:val="22"/>
        </w:rPr>
        <w:t xml:space="preserve">Positioning: </w:t>
      </w:r>
      <w:r>
        <w:rPr>
          <w:rFonts w:ascii="Helvetica" w:cs="Helvetica" w:eastAsia="Helvetica" w:hAnsi="Helvetica"/>
          <w:b w:val="false"/>
          <w:bCs w:val="false"/>
          <w:i w:val="false"/>
          <w:iCs w:val="false"/>
          <w:color w:val="1A1A1A"/>
          <w:sz w:val="22"/>
          <w:szCs w:val="22"/>
        </w:rPr>
        <w:t xml:space="preserve">A modern wellness brand for Indian couples and parents-to-be, across every stage of the family-building journey.</w:t>
      </w:r>
    </w:p>
    <w:p>
      <w:pPr>
        <w:spacing w:after="120" w:line="320"/>
      </w:pPr>
      <w:r>
        <w:rPr>
          <w:rFonts w:ascii="Helvetica" w:cs="Helvetica" w:eastAsia="Helvetica" w:hAnsi="Helvetica"/>
          <w:b/>
          <w:bCs/>
          <w:i w:val="false"/>
          <w:iCs w:val="false"/>
          <w:color w:val="1A1A1A"/>
          <w:sz w:val="22"/>
          <w:szCs w:val="22"/>
        </w:rPr>
        <w:t xml:space="preserve">Brand promise: </w:t>
      </w:r>
      <w:r>
        <w:rPr>
          <w:rFonts w:ascii="Helvetica" w:cs="Helvetica" w:eastAsia="Helvetica" w:hAnsi="Helvetica"/>
          <w:b w:val="false"/>
          <w:bCs w:val="false"/>
          <w:i w:val="false"/>
          <w:iCs w:val="false"/>
          <w:color w:val="1A1A1A"/>
          <w:sz w:val="22"/>
          <w:szCs w:val="22"/>
        </w:rPr>
        <w:t xml:space="preserve">Only what matters. For the stage you’re in.</w:t>
      </w:r>
    </w:p>
    <w:p>
      <w:pPr>
        <w:spacing w:after="120" w:line="320"/>
      </w:pPr>
      <w:r>
        <w:rPr>
          <w:rFonts w:ascii="Helvetica" w:cs="Helvetica" w:eastAsia="Helvetica" w:hAnsi="Helvetica"/>
          <w:b/>
          <w:bCs/>
          <w:i w:val="false"/>
          <w:iCs w:val="false"/>
          <w:color w:val="1A1A1A"/>
          <w:sz w:val="22"/>
          <w:szCs w:val="22"/>
        </w:rPr>
        <w:t xml:space="preserve">Aesthetic: </w:t>
      </w:r>
      <w:r>
        <w:rPr>
          <w:rFonts w:ascii="Helvetica" w:cs="Helvetica" w:eastAsia="Helvetica" w:hAnsi="Helvetica"/>
          <w:b w:val="false"/>
          <w:bCs w:val="false"/>
          <w:i w:val="false"/>
          <w:iCs w:val="false"/>
          <w:color w:val="1A1A1A"/>
          <w:sz w:val="22"/>
          <w:szCs w:val="22"/>
        </w:rPr>
        <w:t xml:space="preserve">Modern, warm, premium DTC. Gender-neutral palette. Editorial photography. Clean typography.</w:t>
      </w:r>
    </w:p>
    <w:p>
      <w:pPr>
        <w:spacing w:after="120" w:line="320"/>
      </w:pPr>
      <w:r>
        <w:rPr>
          <w:rFonts w:ascii="Helvetica" w:cs="Helvetica" w:eastAsia="Helvetica" w:hAnsi="Helvetica"/>
          <w:b/>
          <w:bCs/>
          <w:i w:val="false"/>
          <w:iCs w:val="false"/>
          <w:color w:val="1A1A1A"/>
          <w:sz w:val="22"/>
          <w:szCs w:val="22"/>
        </w:rPr>
        <w:t xml:space="preserve">Distribution: </w:t>
      </w:r>
      <w:r>
        <w:rPr>
          <w:rFonts w:ascii="Helvetica" w:cs="Helvetica" w:eastAsia="Helvetica" w:hAnsi="Helvetica"/>
          <w:b w:val="false"/>
          <w:bCs w:val="false"/>
          <w:i w:val="false"/>
          <w:iCs w:val="false"/>
          <w:color w:val="1A1A1A"/>
          <w:sz w:val="22"/>
          <w:szCs w:val="22"/>
        </w:rPr>
        <w:t xml:space="preserve">Direct-to-consumer subscription. Urban metros first — Mumbai, Bangalore, Delhi, Hyderabad, Chennai.</w:t>
      </w:r>
    </w:p>
    <w:p>
      <w:pPr>
        <w:spacing w:after="120" w:line="320"/>
      </w:pPr>
      <w:r>
        <w:rPr>
          <w:rFonts w:ascii="Helvetica" w:cs="Helvetica" w:eastAsia="Helvetica" w:hAnsi="Helvetica"/>
          <w:b/>
          <w:bCs/>
          <w:i w:val="false"/>
          <w:iCs w:val="false"/>
          <w:color w:val="1A1A1A"/>
          <w:sz w:val="22"/>
          <w:szCs w:val="22"/>
        </w:rPr>
        <w:t xml:space="preserve">Pricing: </w:t>
      </w:r>
      <w:r>
        <w:rPr>
          <w:rFonts w:ascii="Helvetica" w:cs="Helvetica" w:eastAsia="Helvetica" w:hAnsi="Helvetica"/>
          <w:b w:val="false"/>
          <w:bCs w:val="false"/>
          <w:i w:val="false"/>
          <w:iCs w:val="false"/>
          <w:color w:val="1A1A1A"/>
          <w:sz w:val="22"/>
          <w:szCs w:val="22"/>
        </w:rPr>
        <w:t xml:space="preserve">Rs.800–1,500 per SKU per month. Couples bundle priced ~15% below buying separately.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Product Architecture</w:t>
      </w:r>
    </w:p>
    <w:p>
      <w:pPr>
        <w:pStyle w:val="Heading2"/>
        <w:spacing w:after="160" w:before="320" w:line="320"/>
      </w:pPr>
      <w:r>
        <w:rPr>
          <w:rFonts w:ascii="Helvetica" w:cs="Helvetica" w:eastAsia="Helvetica" w:hAnsi="Helvetica"/>
          <w:b/>
          <w:bCs/>
          <w:color w:val="1A1A1A"/>
          <w:sz w:val="26"/>
          <w:szCs w:val="26"/>
        </w:rPr>
        <w:t xml:space="preserve">Day 1 Launch — 3 SKUs</w:t>
      </w:r>
    </w:p>
    <w:p>
      <w:pPr>
        <w:pStyle w:val="Heading3"/>
        <w:spacing w:after="120" w:before="240" w:line="320"/>
      </w:pPr>
      <w:r>
        <w:rPr>
          <w:rFonts w:ascii="Helvetica" w:cs="Helvetica" w:eastAsia="Helvetica" w:hAnsi="Helvetica"/>
          <w:b/>
          <w:bCs/>
          <w:color w:val="1A1A1A"/>
          <w:sz w:val="22"/>
          <w:szCs w:val="22"/>
        </w:rPr>
        <w:t xml:space="preserve">1. Edit For Two (the hero SKU)</w:t>
      </w:r>
    </w:p>
    <w:p>
      <w:pPr>
        <w:spacing w:after="120" w:line="320"/>
      </w:pPr>
      <w:r>
        <w:rPr>
          <w:rFonts w:ascii="Helvetica" w:cs="Helvetica" w:eastAsia="Helvetica" w:hAnsi="Helvetica"/>
          <w:b w:val="false"/>
          <w:bCs w:val="false"/>
          <w:i w:val="false"/>
          <w:iCs w:val="false"/>
          <w:color w:val="1A1A1A"/>
          <w:sz w:val="22"/>
          <w:szCs w:val="22"/>
        </w:rPr>
        <w:t xml:space="preserve">Sold as one box containing two bottles. One product — for two people.</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Her: </w:t>
      </w:r>
      <w:r>
        <w:rPr>
          <w:rFonts w:ascii="Helvetica" w:cs="Helvetica" w:eastAsia="Helvetica" w:hAnsi="Helvetica"/>
          <w:b w:val="false"/>
          <w:bCs w:val="false"/>
          <w:i w:val="false"/>
          <w:iCs w:val="false"/>
          <w:color w:val="1A1A1A"/>
          <w:sz w:val="22"/>
          <w:szCs w:val="22"/>
        </w:rPr>
        <w:t xml:space="preserve">egg quality, fertility support, methylfolate, CoQ10, myo-inositol, DHA. FSDU regulatory pathway.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Him: </w:t>
      </w:r>
      <w:r>
        <w:rPr>
          <w:rFonts w:ascii="Helvetica" w:cs="Helvetica" w:eastAsia="Helvetica" w:hAnsi="Helvetica"/>
          <w:b w:val="false"/>
          <w:bCs w:val="false"/>
          <w:i w:val="false"/>
          <w:iCs w:val="false"/>
          <w:color w:val="1A1A1A"/>
          <w:sz w:val="22"/>
          <w:szCs w:val="22"/>
        </w:rPr>
        <w:t xml:space="preserve">sperm quality, motility, antioxidants, CoQ10, L-carnitine, zinc, selenium, ashwagandha (KSM-66). Health Supplement regulatory pathway.</w:t>
      </w:r>
    </w:p>
    <w:p>
      <w:pPr>
        <w:pStyle w:val="Heading3"/>
        <w:spacing w:after="120" w:before="240" w:line="320"/>
      </w:pPr>
      <w:r>
        <w:rPr>
          <w:rFonts w:ascii="Helvetica" w:cs="Helvetica" w:eastAsia="Helvetica" w:hAnsi="Helvetica"/>
          <w:b/>
          <w:bCs/>
          <w:color w:val="1A1A1A"/>
          <w:sz w:val="22"/>
          <w:szCs w:val="22"/>
        </w:rPr>
        <w:t xml:space="preserve">2. Edit Prenatal</w:t>
      </w:r>
    </w:p>
    <w:p>
      <w:pPr>
        <w:spacing w:after="120" w:line="320"/>
      </w:pPr>
      <w:r>
        <w:rPr>
          <w:rFonts w:ascii="Helvetica" w:cs="Helvetica" w:eastAsia="Helvetica" w:hAnsi="Helvetica"/>
          <w:b w:val="false"/>
          <w:bCs w:val="false"/>
          <w:i w:val="false"/>
          <w:iCs w:val="false"/>
          <w:color w:val="1A1A1A"/>
          <w:sz w:val="22"/>
          <w:szCs w:val="22"/>
        </w:rPr>
        <w:t xml:space="preserve">Comprehensive 18–25 ingredient prenatal supplement with branded traceable ingredients (Quatrefolic, life’sDHA, Albion chelated minerals). All within ICMR RDA. FSDU regulatory pathway.</w:t>
      </w:r>
    </w:p>
    <w:p>
      <w:pPr>
        <w:pStyle w:val="Heading2"/>
        <w:spacing w:after="160" w:before="320" w:line="320"/>
      </w:pPr>
      <w:r>
        <w:rPr>
          <w:rFonts w:ascii="Helvetica" w:cs="Helvetica" w:eastAsia="Helvetica" w:hAnsi="Helvetica"/>
          <w:b/>
          <w:bCs/>
          <w:color w:val="1A1A1A"/>
          <w:sz w:val="26"/>
          <w:szCs w:val="26"/>
        </w:rPr>
        <w:t xml:space="preserve">Year 1 Expansion</w:t>
      </w:r>
    </w:p>
    <w:p>
      <w:pPr>
        <w:pStyle w:val="Heading3"/>
        <w:spacing w:after="120" w:before="240" w:line="320"/>
      </w:pPr>
      <w:r>
        <w:rPr>
          <w:rFonts w:ascii="Helvetica" w:cs="Helvetica" w:eastAsia="Helvetica" w:hAnsi="Helvetica"/>
          <w:b/>
          <w:bCs/>
          <w:color w:val="1A1A1A"/>
          <w:sz w:val="22"/>
          <w:szCs w:val="22"/>
        </w:rPr>
        <w:t xml:space="preserve">3. Edit Postnatal (Month 9–12 post-launch)</w:t>
      </w:r>
    </w:p>
    <w:p>
      <w:pPr>
        <w:spacing w:after="120" w:line="320"/>
      </w:pPr>
      <w:r>
        <w:rPr>
          <w:rFonts w:ascii="Helvetica" w:cs="Helvetica" w:eastAsia="Helvetica" w:hAnsi="Helvetica"/>
          <w:b w:val="false"/>
          <w:bCs w:val="false"/>
          <w:i w:val="false"/>
          <w:iCs w:val="false"/>
          <w:color w:val="1A1A1A"/>
          <w:sz w:val="22"/>
          <w:szCs w:val="22"/>
        </w:rPr>
        <w:t xml:space="preserve">Postpartum and lactation support, formulated for the mother’s recovery and the breastfeeding period.</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Launch Edit For Two + Prenatal at Day 1 (NOT All Three Together)</w:t>
      </w:r>
    </w:p>
    <w:p>
      <w:pPr>
        <w:spacing w:after="120" w:line="320"/>
      </w:pPr>
      <w:r>
        <w:rPr>
          <w:rFonts w:ascii="Helvetica" w:cs="Helvetica" w:eastAsia="Helvetica" w:hAnsi="Helvetica"/>
          <w:b w:val="false"/>
          <w:bCs w:val="false"/>
          <w:i w:val="false"/>
          <w:iCs w:val="false"/>
          <w:color w:val="1A1A1A"/>
          <w:sz w:val="22"/>
          <w:szCs w:val="22"/>
        </w:rPr>
        <w:t xml:space="preserve">Three options were considered:</w:t>
      </w:r>
    </w:p>
    <w:p>
      <w:pPr>
        <w:pStyle w:val="Heading3"/>
        <w:spacing w:after="120" w:before="240" w:line="320"/>
      </w:pPr>
      <w:r>
        <w:rPr>
          <w:rFonts w:ascii="Helvetica" w:cs="Helvetica" w:eastAsia="Helvetica" w:hAnsi="Helvetica"/>
          <w:b/>
          <w:bCs/>
          <w:color w:val="1A1A1A"/>
          <w:sz w:val="22"/>
          <w:szCs w:val="22"/>
        </w:rPr>
        <w:t xml:space="preserve">Option A — Launch all 3 SKUs simultaneously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Postnatal has no Day 1 customer demand. The natural Postnatal customer is your own Prenatal customer who just gave birth — and that cohort doesn’t exist until Month 9–12 after launch.</w:t>
      </w:r>
    </w:p>
    <w:p>
      <w:pPr>
        <w:pStyle w:val="Heading3"/>
        <w:spacing w:after="120" w:before="240" w:line="320"/>
      </w:pPr>
      <w:r>
        <w:rPr>
          <w:rFonts w:ascii="Helvetica" w:cs="Helvetica" w:eastAsia="Helvetica" w:hAnsi="Helvetica"/>
          <w:b/>
          <w:bCs/>
          <w:color w:val="1A1A1A"/>
          <w:sz w:val="22"/>
          <w:szCs w:val="22"/>
        </w:rPr>
        <w:t xml:space="preserve">Option B — Launch Prenatal only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Misses the couples-inclusive positioning entirely. Prenatal-only makes The Edit a maternity brand, not the full-journey brand it is meant to be.</w:t>
      </w:r>
    </w:p>
    <w:p>
      <w:pPr>
        <w:pStyle w:val="Heading3"/>
        <w:spacing w:after="120" w:before="240" w:line="320"/>
      </w:pPr>
      <w:r>
        <w:rPr>
          <w:rFonts w:ascii="Helvetica" w:cs="Helvetica" w:eastAsia="Helvetica" w:hAnsi="Helvetica"/>
          <w:b/>
          <w:bCs/>
          <w:color w:val="1A1A1A"/>
          <w:sz w:val="22"/>
          <w:szCs w:val="22"/>
        </w:rPr>
        <w:t xml:space="preserve">Option C — Launch Edit For Two + Prenatal at Day 1, add Postnatal at Month 9–12</w:t>
      </w:r>
    </w:p>
    <w:p>
      <w:pPr>
        <w:spacing w:after="120" w:line="320"/>
      </w:pPr>
      <w:r>
        <w:rPr>
          <w:rFonts w:ascii="Helvetica" w:cs="Helvetica" w:eastAsia="Helvetica" w:hAnsi="Helvetica"/>
          <w:b/>
          <w:bCs/>
          <w:i w:val="false"/>
          <w:iCs w:val="false"/>
          <w:color w:val="1A1A1A"/>
          <w:sz w:val="22"/>
          <w:szCs w:val="22"/>
        </w:rPr>
        <w:t xml:space="preserve">Selected. </w:t>
      </w:r>
      <w:r>
        <w:rPr>
          <w:rFonts w:ascii="Helvetica" w:cs="Helvetica" w:eastAsia="Helvetica" w:hAnsi="Helvetica"/>
          <w:b w:val="false"/>
          <w:bCs w:val="false"/>
          <w:i w:val="false"/>
          <w:iCs w:val="false"/>
          <w:color w:val="1A1A1A"/>
          <w:sz w:val="22"/>
          <w:szCs w:val="22"/>
        </w:rPr>
        <w:t xml:space="preserve">Four reasons: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The brand’s manifesto is visible from Day 1. </w:t>
      </w:r>
      <w:r>
        <w:rPr>
          <w:rFonts w:ascii="Helvetica" w:cs="Helvetica" w:eastAsia="Helvetica" w:hAnsi="Helvetica"/>
          <w:b w:val="false"/>
          <w:bCs w:val="false"/>
          <w:i w:val="false"/>
          <w:iCs w:val="false"/>
          <w:color w:val="1A1A1A"/>
          <w:sz w:val="22"/>
          <w:szCs w:val="22"/>
        </w:rPr>
        <w:t xml:space="preserve">Edit For Two addresses preconception for both partners. Edit Prenatal continues the journey.</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Full customer journey captured. </w:t>
      </w:r>
      <w:r>
        <w:rPr>
          <w:rFonts w:ascii="Helvetica" w:cs="Helvetica" w:eastAsia="Helvetica" w:hAnsi="Helvetica"/>
          <w:b w:val="false"/>
          <w:bCs w:val="false"/>
          <w:i w:val="false"/>
          <w:iCs w:val="false"/>
          <w:color w:val="1A1A1A"/>
          <w:sz w:val="22"/>
          <w:szCs w:val="22"/>
        </w:rPr>
        <w:t xml:space="preserve">A woman who buys Edit For Two while planning her pregnancy transitions naturally to Edit Prenatal when she conceives.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Postnatal launches at peak demand. </w:t>
      </w:r>
      <w:r>
        <w:rPr>
          <w:rFonts w:ascii="Helvetica" w:cs="Helvetica" w:eastAsia="Helvetica" w:hAnsi="Helvetica"/>
          <w:b w:val="false"/>
          <w:bCs w:val="false"/>
          <w:i w:val="false"/>
          <w:iCs w:val="false"/>
          <w:color w:val="1A1A1A"/>
          <w:sz w:val="22"/>
          <w:szCs w:val="22"/>
        </w:rPr>
        <w:t xml:space="preserve">First Prenatal cohort gives birth at Month 9–12. Postnatal ships exactly when this cohort needs it.</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Two PR moments instead of one. </w:t>
      </w:r>
      <w:r>
        <w:rPr>
          <w:rFonts w:ascii="Helvetica" w:cs="Helvetica" w:eastAsia="Helvetica" w:hAnsi="Helvetica"/>
          <w:b w:val="false"/>
          <w:bCs w:val="false"/>
          <w:i w:val="false"/>
          <w:iCs w:val="false"/>
          <w:color w:val="1A1A1A"/>
          <w:sz w:val="22"/>
          <w:szCs w:val="22"/>
        </w:rPr>
        <w:t xml:space="preserve">Day 1 launch is the brand’s opening statement. Month 9–12 Postnatal launch is a second wave of media attention.</w:t>
      </w:r>
    </w:p>
    <w:p>
      <w:pPr>
        <w:pStyle w:val="Heading2"/>
        <w:spacing w:after="160" w:before="320" w:line="320"/>
      </w:pPr>
      <w:r>
        <w:rPr>
          <w:rFonts w:ascii="Helvetica" w:cs="Helvetica" w:eastAsia="Helvetica" w:hAnsi="Helvetica"/>
          <w:b/>
          <w:bCs/>
          <w:color w:val="1A1A1A"/>
          <w:sz w:val="26"/>
          <w:szCs w:val="26"/>
        </w:rPr>
        <w:t xml:space="preserve">The Math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2700"/>
        <w:gridCol w:w="1860"/>
      </w:tblGrid>
      <w:tr>
        <w:trPr>
          <w:tblHeader/>
        </w:trPr>
        <w:tc>
          <w:tcPr>
            <w:tcW w:type="dxa" w:w="2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
            </w:r>
          </w:p>
        </w:tc>
        <w:tc>
          <w:tcPr>
            <w:tcW w:type="dxa" w:w="1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All 3 Day 1</w:t>
            </w:r>
          </w:p>
        </w:tc>
        <w:tc>
          <w:tcPr>
            <w:tcW w:type="dxa" w:w="27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Edit For Two + Prenatal Day 1</w:t>
            </w:r>
          </w:p>
        </w:tc>
        <w:tc>
          <w:tcPr>
            <w:tcW w:type="dxa" w:w="1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Prenatal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SKUs</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Capital required at launch</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Rs.30–35L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Rs.25–30L</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Rs.12–15L</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Build timeline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20–26 months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18–20 months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14 months</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Postnatal capital efficiency</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Bad</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Good</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N/A</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Full-journey positioning at launch?</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Customer journey coverage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Preconception → Pregnancy</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Pregnancy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Execution risk for small team</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Very high</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Medium</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Low</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val="false"/>
          <w:bCs w:val="false"/>
          <w:i w:val="false"/>
          <w:iCs w:val="false"/>
          <w:color w:val="1A1A1A"/>
          <w:sz w:val="22"/>
          <w:szCs w:val="22"/>
        </w:rPr>
        <w:t xml:space="preserve">The Edit For Two + Prenatal launch captures the full brand vision with significantly less capital, lower execution risk, and better inventory economics than launching all three together.</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This Beats Every Existing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Competitor</w:t>
            </w:r>
          </w:p>
        </w:tc>
        <w:tc>
          <w:tcPr>
            <w:tcW w:type="dxa" w:w="33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What they do</w:t>
            </w:r>
          </w:p>
        </w:tc>
        <w:tc>
          <w:tcPr>
            <w:tcW w:type="dxa" w:w="36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Why The Edit wins</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Trimester-specific prenatal MMN, doctor-prescribed, pharma-coded</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Misses DTC, modern lifestyle branding, couples bundle, full-journey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Wellbeing Nutrition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Modern DTC supplements, broad portfolio, some women’s health</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 prenatal-focus hero; no preconception couples bundle; no full 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Ritual / Garden of Life / Pink Stork</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Premium prenatal, transparency-led, separate Him/Her</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Imported — expensive, hard to access, no India context</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Himalaya / Patanjali</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Ayurvedic supplements, pharma-coded packaging</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Traditional framework, no transparency, no modern identity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Inatal / Pregomega / Autrin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pharma prenatal</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Prescription-feel, no brand story, no DTC, no couples angle</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No Indian brand combines all of: </w:t>
      </w:r>
      <w:r>
        <w:rPr>
          <w:rFonts w:ascii="Helvetica" w:cs="Helvetica" w:eastAsia="Helvetica" w:hAnsi="Helvetica"/>
          <w:b w:val="false"/>
          <w:bCs w:val="false"/>
          <w:i w:val="false"/>
          <w:iCs w:val="false"/>
          <w:color w:val="1A1A1A"/>
          <w:sz w:val="22"/>
          <w:szCs w:val="22"/>
        </w:rPr>
        <w:t xml:space="preserve">couples-inclusive positioning + premium DTC subscription + traceable branded ingredients + gynaecologist co-formulation + full family-building journey + modern wellness aesthetic.</w:t>
      </w:r>
    </w:p>
    <w:p>
      <w:pPr>
        <w:spacing w:after="120" w:line="320"/>
      </w:pPr>
      <w:r>
        <w:rPr>
          <w:rFonts w:ascii="Helvetica" w:cs="Helvetica" w:eastAsia="Helvetica" w:hAnsi="Helvetica"/>
          <w:b/>
          <w:bCs/>
          <w:i w:val="false"/>
          <w:iCs w:val="false"/>
          <w:color w:val="1A1A1A"/>
          <w:sz w:val="22"/>
          <w:szCs w:val="22"/>
        </w:rPr>
        <w:t xml:space="preserve">This is the white space.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Regulatory + Operational Foundation</w:t>
      </w:r>
    </w:p>
    <w:p>
      <w:pPr>
        <w:spacing w:after="120" w:line="320"/>
      </w:pPr>
      <w:r>
        <w:rPr>
          <w:rFonts w:ascii="Helvetica" w:cs="Helvetica" w:eastAsia="Helvetica" w:hAnsi="Helvetica"/>
          <w:b/>
          <w:bCs/>
          <w:i w:val="false"/>
          <w:iCs w:val="false"/>
          <w:color w:val="1A1A1A"/>
          <w:sz w:val="22"/>
          <w:szCs w:val="22"/>
        </w:rPr>
        <w:t xml:space="preserve">Operating entity: </w:t>
      </w:r>
      <w:r>
        <w:rPr>
          <w:rFonts w:ascii="Helvetica" w:cs="Helvetica" w:eastAsia="Helvetica" w:hAnsi="Helvetica"/>
          <w:b w:val="false"/>
          <w:bCs w:val="false"/>
          <w:i w:val="false"/>
          <w:iCs w:val="false"/>
          <w:color w:val="1A1A1A"/>
          <w:sz w:val="22"/>
          <w:szCs w:val="22"/>
        </w:rPr>
        <w:t xml:space="preserve">The Edit is being incorporated as its own independent Private Limited company — separate from any of the founder’s other ventures. This protects both The Edit and the founder’s existing businesses from cross-liability. Clean cap table for future equity allocation (including the gynaecologist co-founder) and any future fundraise.</w:t>
      </w:r>
    </w:p>
    <w:p>
      <w:pPr>
        <w:spacing w:after="120" w:line="320"/>
      </w:pPr>
      <w:r>
        <w:rPr>
          <w:rFonts w:ascii="Helvetica" w:cs="Helvetica" w:eastAsia="Helvetica" w:hAnsi="Helvetica"/>
          <w:b w:val="false"/>
          <w:bCs w:val="false"/>
          <w:i w:val="false"/>
          <w:iCs w:val="false"/>
          <w:color w:val="1A1A1A"/>
          <w:sz w:val="22"/>
          <w:szCs w:val="22"/>
        </w:rPr>
        <w:t xml:space="preserve">Regulatory pathways (fresh applications for the new entity):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FSSAI Central License </w:t>
      </w:r>
      <w:r>
        <w:rPr>
          <w:rFonts w:ascii="Helvetica" w:cs="Helvetica" w:eastAsia="Helvetica" w:hAnsi="Helvetica"/>
          <w:b w:val="false"/>
          <w:bCs w:val="false"/>
          <w:i w:val="false"/>
          <w:iCs w:val="false"/>
          <w:color w:val="1A1A1A"/>
          <w:sz w:val="22"/>
          <w:szCs w:val="22"/>
        </w:rPr>
        <w:t xml:space="preserve">— new application under The Edit Pvt Ltd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FSDU (Foods for Special Dietary Use) endorsement </w:t>
      </w:r>
      <w:r>
        <w:rPr>
          <w:rFonts w:ascii="Helvetica" w:cs="Helvetica" w:eastAsia="Helvetica" w:hAnsi="Helvetica"/>
          <w:b w:val="false"/>
          <w:bCs w:val="false"/>
          <w:i w:val="false"/>
          <w:iCs w:val="false"/>
          <w:color w:val="1A1A1A"/>
          <w:sz w:val="22"/>
          <w:szCs w:val="22"/>
        </w:rPr>
        <w:t xml:space="preserve">— for Preconception Her + Prenatal + Postnatal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Health Supplement endorsement </w:t>
      </w:r>
      <w:r>
        <w:rPr>
          <w:rFonts w:ascii="Helvetica" w:cs="Helvetica" w:eastAsia="Helvetica" w:hAnsi="Helvetica"/>
          <w:b w:val="false"/>
          <w:bCs w:val="false"/>
          <w:i w:val="false"/>
          <w:iCs w:val="false"/>
          <w:color w:val="1A1A1A"/>
          <w:sz w:val="22"/>
          <w:szCs w:val="22"/>
        </w:rPr>
        <w:t xml:space="preserve">— for Preconception Him</w:t>
      </w:r>
    </w:p>
    <w:p>
      <w:pPr>
        <w:spacing w:after="120" w:line="320"/>
      </w:pPr>
      <w:r>
        <w:rPr>
          <w:rFonts w:ascii="Helvetica" w:cs="Helvetica" w:eastAsia="Helvetica" w:hAnsi="Helvetica"/>
          <w:b/>
          <w:bCs/>
          <w:i w:val="false"/>
          <w:iCs w:val="false"/>
          <w:color w:val="1A1A1A"/>
          <w:sz w:val="22"/>
          <w:szCs w:val="22"/>
        </w:rPr>
        <w:t xml:space="preserve">Manufacturing: </w:t>
      </w:r>
      <w:r>
        <w:rPr>
          <w:rFonts w:ascii="Helvetica" w:cs="Helvetica" w:eastAsia="Helvetica" w:hAnsi="Helvetica"/>
          <w:b w:val="false"/>
          <w:bCs w:val="false"/>
          <w:i w:val="false"/>
          <w:iCs w:val="false"/>
          <w:color w:val="1A1A1A"/>
          <w:sz w:val="22"/>
          <w:szCs w:val="22"/>
        </w:rPr>
        <w:t xml:space="preserve">India domestic only. Currently evaluating Tanishq Lifecare and Brukem Life Care as contract manufacturers.</w:t>
      </w:r>
    </w:p>
    <w:p>
      <w:pPr>
        <w:spacing w:after="120" w:line="320"/>
      </w:pPr>
      <w:r>
        <w:rPr>
          <w:rFonts w:ascii="Helvetica" w:cs="Helvetica" w:eastAsia="Helvetica" w:hAnsi="Helvetica"/>
          <w:b/>
          <w:bCs/>
          <w:i w:val="false"/>
          <w:iCs w:val="false"/>
          <w:color w:val="1A1A1A"/>
          <w:sz w:val="22"/>
          <w:szCs w:val="22"/>
        </w:rPr>
        <w:t xml:space="preserve">Formulation philosophy: </w:t>
      </w:r>
      <w:r>
        <w:rPr>
          <w:rFonts w:ascii="Helvetica" w:cs="Helvetica" w:eastAsia="Helvetica" w:hAnsi="Helvetica"/>
          <w:b w:val="false"/>
          <w:bCs w:val="false"/>
          <w:i w:val="false"/>
          <w:iCs w:val="false"/>
          <w:color w:val="1A1A1A"/>
          <w:sz w:val="22"/>
          <w:szCs w:val="22"/>
        </w:rPr>
        <w:t xml:space="preserve">All nutrients within ICMR RDA. Branded traceable ingredients (Quatrefolic, life’sDHA, Albion, KSM-66). No fillers. Nothing without published evidence.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Capital +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Item</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Entity incorporation (Pvt Ltd + CA + compliance setup)</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inventory (3 SKUs × MOQs)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FSSAI consultant + regulatory filings (new license)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Rs.3–4L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Brand identity, packaging design, website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Rs.4–6L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Initial marketing (3 months runway)</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Working capital + buffer</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Rs.2–3L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Total launch capital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Rs.25–30L</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Build timeline: </w:t>
      </w:r>
      <w:r>
        <w:rPr>
          <w:rFonts w:ascii="Helvetica" w:cs="Helvetica" w:eastAsia="Helvetica" w:hAnsi="Helvetica"/>
          <w:b w:val="false"/>
          <w:bCs w:val="false"/>
          <w:i w:val="false"/>
          <w:iCs w:val="false"/>
          <w:color w:val="1A1A1A"/>
          <w:sz w:val="22"/>
          <w:szCs w:val="22"/>
        </w:rPr>
        <w:t xml:space="preserve">18–20 months from project start to Day 1 launch.</w:t>
      </w:r>
    </w:p>
    <w:p>
      <w:pPr>
        <w:spacing w:after="120" w:line="320"/>
      </w:pPr>
      <w:r>
        <w:rPr>
          <w:rFonts w:ascii="Helvetica" w:cs="Helvetica" w:eastAsia="Helvetica" w:hAnsi="Helvetica"/>
          <w:b/>
          <w:bCs/>
          <w:i w:val="false"/>
          <w:iCs w:val="false"/>
          <w:color w:val="1A1A1A"/>
          <w:sz w:val="22"/>
          <w:szCs w:val="22"/>
        </w:rPr>
        <w:t xml:space="preserve">Year 1 post-launch: </w:t>
      </w:r>
      <w:r>
        <w:rPr>
          <w:rFonts w:ascii="Helvetica" w:cs="Helvetica" w:eastAsia="Helvetica" w:hAnsi="Helvetica"/>
          <w:b w:val="false"/>
          <w:bCs w:val="false"/>
          <w:i w:val="false"/>
          <w:iCs w:val="false"/>
          <w:color w:val="1A1A1A"/>
          <w:sz w:val="22"/>
          <w:szCs w:val="22"/>
        </w:rPr>
        <w:t xml:space="preserve">Add Edit Postnatal at Month 9–12.</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Risk</w:t>
            </w:r>
          </w:p>
        </w:tc>
        <w:tc>
          <w:tcPr>
            <w:tcW w:type="dxa" w:w="51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Mitigation</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men don’t proactively buy supplements</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Couples bundle ensures the woman buys for both; packaging + copy make his daily ritual frictionless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Cultural conservatism around discussing family planning</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Target urban metro educated 28–38 demographic first; warm framing avoids confrontational positioning</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 patent on trimester-specific MMN</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Single comprehensive prenatal (like Ritual) sidesteps the patent entirely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Manufacturer FSDU license gap</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Verification questions sent to Tanishq + Brukem; if neither qualifies, pivot to shortlist alternatives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New entity means slower regulatory start</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Adds 2–4 months to timeline but is the right long-term call — clean liability boundary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Gynaecologist co-founder search</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Step 0 of execution. Clean Pvt Ltd structure makes equity allocation straightforward</w:t>
            </w:r>
          </w:p>
        </w:tc>
      </w:tr>
    </w:tbl>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Next 30 Days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Incorporate The Edit Pvt Ltd </w:t>
      </w:r>
      <w:r>
        <w:rPr>
          <w:rFonts w:ascii="Helvetica" w:cs="Helvetica" w:eastAsia="Helvetica" w:hAnsi="Helvetica"/>
          <w:b w:val="false"/>
          <w:bCs w:val="false"/>
          <w:i w:val="false"/>
          <w:iCs w:val="false"/>
          <w:color w:val="1A1A1A"/>
          <w:sz w:val="22"/>
          <w:szCs w:val="22"/>
        </w:rPr>
        <w:t xml:space="preserve">— directors, MOA, registered office, PAN, GST, bank account</w:t>
      </w:r>
    </w:p>
    <w:p>
      <w:pPr>
        <w:pStyle w:val="ListParagraph"/>
        <w:numPr>
          <w:ilvl w:val="0"/>
          <w:numId w:val="3"/>
        </w:numPr>
        <w:spacing w:after="100" w:line="320"/>
      </w:pPr>
      <w:r>
        <w:rPr>
          <w:rFonts w:ascii="Helvetica" w:cs="Helvetica" w:eastAsia="Helvetica" w:hAnsi="Helvetica"/>
          <w:color w:val="1A1A1A"/>
          <w:sz w:val="22"/>
          <w:szCs w:val="22"/>
        </w:rPr>
        <w:t xml:space="preserve">Send manufacturer discovery emails to Tanishq + Brukem (drafts ready in Gmail)</w:t>
      </w:r>
    </w:p>
    <w:p>
      <w:pPr>
        <w:pStyle w:val="ListParagraph"/>
        <w:numPr>
          <w:ilvl w:val="0"/>
          <w:numId w:val="3"/>
        </w:numPr>
        <w:spacing w:after="100" w:line="320"/>
      </w:pPr>
      <w:r>
        <w:rPr>
          <w:rFonts w:ascii="Helvetica" w:cs="Helvetica" w:eastAsia="Helvetica" w:hAnsi="Helvetica"/>
          <w:color w:val="1A1A1A"/>
          <w:sz w:val="22"/>
          <w:szCs w:val="22"/>
        </w:rPr>
        <w:t xml:space="preserve">Apply for FSSAI Central License under the new entity, with FSDU + Health Supplement endorsements</w:t>
      </w:r>
    </w:p>
    <w:p>
      <w:pPr>
        <w:pStyle w:val="ListParagraph"/>
        <w:numPr>
          <w:ilvl w:val="0"/>
          <w:numId w:val="3"/>
        </w:numPr>
        <w:spacing w:after="100" w:line="320"/>
      </w:pPr>
      <w:r>
        <w:rPr>
          <w:rFonts w:ascii="Helvetica" w:cs="Helvetica" w:eastAsia="Helvetica" w:hAnsi="Helvetica"/>
          <w:color w:val="1A1A1A"/>
          <w:sz w:val="22"/>
          <w:szCs w:val="22"/>
        </w:rPr>
        <w:t xml:space="preserve">Trademark search + filing at IP India for “EDIT” / “THE EDIT” in Class 5 + Class 30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Domain verification and registration for theedit.in / theeditco.com / equivalent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Begin gynaecologist co-founder outreach — identify 5–10 candidates</w:t>
      </w:r>
    </w:p>
    <w:p>
      <w:pPr>
        <w:pStyle w:val="ListParagraph"/>
        <w:numPr>
          <w:ilvl w:val="0"/>
          <w:numId w:val="3"/>
        </w:numPr>
        <w:spacing w:after="100" w:line="320"/>
      </w:pPr>
      <w:r>
        <w:rPr>
          <w:rFonts w:ascii="Helvetica" w:cs="Helvetica" w:eastAsia="Helvetica" w:hAnsi="Helvetica"/>
          <w:color w:val="1A1A1A"/>
          <w:sz w:val="22"/>
          <w:szCs w:val="22"/>
        </w:rPr>
        <w:t xml:space="preserve">Start customer validation interviews with 30–50 couples in target demographic</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Vision</w:t>
      </w:r>
    </w:p>
    <w:p>
      <w:pPr>
        <w:spacing w:after="120" w:line="320"/>
      </w:pPr>
      <w:r>
        <w:rPr>
          <w:rFonts w:ascii="Helvetica" w:cs="Helvetica" w:eastAsia="Helvetica" w:hAnsi="Helvetica"/>
          <w:b w:val="false"/>
          <w:bCs w:val="false"/>
          <w:i w:val="false"/>
          <w:iCs w:val="false"/>
          <w:color w:val="1A1A1A"/>
          <w:sz w:val="22"/>
          <w:szCs w:val="22"/>
        </w:rPr>
        <w:t xml:space="preserve">The Edit is not a prenatal supplement company. It is a modern wellness brand built for Indian couples and parents-to-be, across every stage of the family-building journey. What the Indian wellness market has been missing. What Indian couples have been waiting for.</w:t>
      </w:r>
    </w:p>
    <w:p>
      <w:pPr>
        <w:spacing w:after="120" w:line="320"/>
      </w:pPr>
      <w:r>
        <w:rPr>
          <w:rFonts w:ascii="Helvetica" w:cs="Helvetica" w:eastAsia="Helvetica" w:hAnsi="Helvetica"/>
          <w:b w:val="false"/>
          <w:bCs w:val="false"/>
          <w:i w:val="false"/>
          <w:iCs w:val="false"/>
          <w:color w:val="1A1A1A"/>
          <w:sz w:val="22"/>
          <w:szCs w:val="22"/>
        </w:rPr>
        <w:t xml:space="preserve">Day 1 launches three SKUs. Year 1 covers the full preconception-to-postnatal journey. Year 3–5 expands into adjacent moments — postpartum recovery, perimenopause, the menopausal transition, supplements for the next generation. The Edit becomes a brand that walks with Indian families through every major life stage.</w:t>
      </w:r>
    </w:p>
    <w:p>
      <w:pPr>
        <w:spacing w:after="120" w:line="320"/>
      </w:pPr>
      <w:r>
        <w:rPr>
          <w:rFonts w:ascii="Helvetica" w:cs="Helvetica" w:eastAsia="Helvetica" w:hAnsi="Helvetica"/>
          <w:b w:val="false"/>
          <w:bCs w:val="false"/>
          <w:i w:val="false"/>
          <w:iCs w:val="false"/>
          <w:color w:val="1A1A1A"/>
          <w:sz w:val="22"/>
          <w:szCs w:val="22"/>
        </w:rPr>
        <w:t xml:space="preserve">This is a Rs.500 Cr+ brand trajectory, not a Rs.50 Cr niche. The category is large. The white space is real. The brand vision is rooted in what Indian couples already want — we are simply the first brand to make it clean, transparent, and intentional.</w:t>
      </w:r>
    </w:p>
    <w:p>
      <w:pPr>
        <w:spacing w:after="120" w:line="320"/>
      </w:pPr>
      <w:r>
        <w:rPr>
          <w:rFonts w:ascii="Helvetica" w:cs="Helvetica" w:eastAsia="Helvetica" w:hAnsi="Helvetica"/>
          <w:b/>
          <w:bCs/>
          <w:i w:val="false"/>
          <w:iCs w:val="false"/>
          <w:color w:val="1A1A1A"/>
          <w:sz w:val="24"/>
          <w:szCs w:val="24"/>
        </w:rPr>
        <w:t xml:space="preserve">That’s the proposal.</w:t>
      </w:r>
    </w:p>
    <w:p>
      <w:pPr>
        <w:pBdr>
          <w:bottom w:val="single" w:color="B0B0B0" w:sz="6" w:space="1"/>
        </w:pBdr>
        <w:spacing w:after="200" w:before="200"/>
      </w:pPr>
      <w:r>
        <w:t xml:space="preserve"/>
      </w:r>
    </w:p>
    <w:p>
      <w:pPr>
        <w:spacing w:after="60" w:line="320"/>
      </w:pPr>
      <w:r>
        <w:rPr>
          <w:rFonts w:ascii="Helvetica" w:cs="Helvetica" w:eastAsia="Helvetica" w:hAnsi="Helvetica"/>
          <w:b w:val="false"/>
          <w:bCs w:val="false"/>
          <w:i/>
          <w:iCs/>
          <w:color w:val="555555"/>
          <w:sz w:val="22"/>
          <w:szCs w:val="22"/>
        </w:rPr>
        <w:t xml:space="preserve">Prepared for: gynaecologist co-founder candidates, founding advisors, capital partners, and the founder’s own reference.</w:t>
      </w:r>
    </w:p>
    <w:p>
      <w:pPr>
        <w:spacing w:after="120" w:line="320"/>
      </w:pPr>
      <w:r>
        <w:rPr>
          <w:rFonts w:ascii="Helvetica" w:cs="Helvetica" w:eastAsia="Helvetica" w:hAnsi="Helvetica"/>
          <w:b w:val="false"/>
          <w:bCs w:val="false"/>
          <w:i/>
          <w:iCs/>
          <w:color w:val="555555"/>
          <w:sz w:val="22"/>
          <w:szCs w:val="22"/>
        </w:rPr>
        <w:t xml:space="preserve">Aishwarya Chandrasekaran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line="320"/>
      <w:outlineLvl w:val="0"/>
    </w:pPr>
    <w:rPr>
      <w:rFonts w:ascii="Helvetica" w:cs="Helvetica" w:eastAsia="Helvetica" w:hAnsi="Helvetica"/>
      <w:b/>
      <w:bCs/>
      <w:color w:val="1A1A1A"/>
      <w:sz w:val="36"/>
      <w:szCs w:val="36"/>
    </w:rPr>
  </w:style>
  <w:style w:type="paragraph" w:styleId="Heading2">
    <w:name w:val="Heading 2"/>
    <w:basedOn w:val="Normal"/>
    <w:next w:val="Normal"/>
    <w:qFormat/>
    <w:pPr>
      <w:spacing w:after="160" w:before="320" w:line="320"/>
      <w:outlineLvl w:val="1"/>
    </w:pPr>
    <w:rPr>
      <w:rFonts w:ascii="Helvetica" w:cs="Helvetica" w:eastAsia="Helvetica" w:hAnsi="Helvetica"/>
      <w:b/>
      <w:bCs/>
      <w:color w:val="1A1A1A"/>
      <w:sz w:val="26"/>
      <w:szCs w:val="26"/>
    </w:rPr>
  </w:style>
  <w:style w:type="paragraph" w:styleId="Heading3">
    <w:name w:val="Heading 3"/>
    <w:basedOn w:val="Normal"/>
    <w:next w:val="Normal"/>
    <w:qFormat/>
    <w:pPr>
      <w:spacing w:after="120" w:before="240" w:line="320"/>
      <w:outlineLvl w:val="2"/>
    </w:pPr>
    <w:rPr>
      <w:rFonts w:ascii="Helvetica" w:cs="Helvetica" w:eastAsia="Helvetica" w:hAnsi="Helvetica"/>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Edit — Proposal</dc:title>
  <dc:creator>Aishwarya Chandrasekaran</dc:creator>
  <cp:lastModifiedBy>Un-named</cp:lastModifiedBy>
  <cp:revision>1</cp:revision>
  <dcterms:created xsi:type="dcterms:W3CDTF">2026-04-18T04:45:50.798Z</dcterms:created>
  <dcterms:modified xsi:type="dcterms:W3CDTF">2026-04-18T04:45:50.799Z</dcterms:modified>
</cp:coreProperties>
</file>

<file path=docProps/custom.xml><?xml version="1.0" encoding="utf-8"?>
<Properties xmlns="http://schemas.openxmlformats.org/officeDocument/2006/custom-properties" xmlns:vt="http://schemas.openxmlformats.org/officeDocument/2006/docPropsVTypes"/>
</file>