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pPr>
      <w:r>
        <w:rPr>
          <w:rFonts w:ascii="Helvetica" w:cs="Helvetica" w:eastAsia="Helvetica" w:hAnsi="Helvetica"/>
          <w:b/>
          <w:bCs/>
          <w:color w:val="1A1A1A"/>
          <w:sz w:val="96"/>
          <w:szCs w:val="96"/>
        </w:rPr>
        <w:t xml:space="preserve">THE EDIT</w:t>
      </w:r>
    </w:p>
    <w:p>
      <w:pPr>
        <w:spacing w:after="400"/>
      </w:pPr>
      <w:r>
        <w:rPr>
          <w:rFonts w:ascii="Helvetica" w:cs="Helvetica" w:eastAsia="Helvetica" w:hAnsi="Helvetica"/>
          <w:i/>
          <w:iCs/>
          <w:color w:val="555555"/>
          <w:sz w:val="32"/>
          <w:szCs w:val="32"/>
        </w:rPr>
        <w:t xml:space="preserve">Together from the Start — A Wellness Brand for Indian Couples</w:t>
      </w:r>
    </w:p>
    <w:p>
      <w:pPr>
        <w:pBdr>
          <w:top w:val="single" w:color="B0B0B0" w:sz="6" w:space="8"/>
        </w:pBdr>
        <w:spacing w:before="1200"/>
      </w:pPr>
      <w:r>
        <w:t xml:space="preserve"/>
      </w:r>
    </w:p>
    <w:p>
      <w:pPr>
        <w:spacing w:after="80" w:line="320"/>
        <w:jc w:val="left"/>
      </w:pPr>
      <w:r>
        <w:rPr>
          <w:rFonts w:ascii="Helvetica" w:cs="Helvetica" w:eastAsia="Helvetica" w:hAnsi="Helvetica"/>
          <w:b/>
          <w:bCs/>
          <w:i w:val="false"/>
          <w:iCs w:val="false"/>
          <w:color w:val="1A1A1A"/>
          <w:sz w:val="22"/>
          <w:szCs w:val="22"/>
        </w:rPr>
        <w:t xml:space="preserve">Founder: </w:t>
      </w:r>
      <w:r>
        <w:rPr>
          <w:rFonts w:ascii="Helvetica" w:cs="Helvetica" w:eastAsia="Helvetica" w:hAnsi="Helvetica"/>
          <w:b w:val="false"/>
          <w:bCs w:val="false"/>
          <w:i w:val="false"/>
          <w:iCs w:val="false"/>
          <w:color w:val="1A1A1A"/>
          <w:sz w:val="22"/>
          <w:szCs w:val="22"/>
        </w:rPr>
        <w:t xml:space="preserve">Aishwarya Chandrasekhar</w:t>
      </w:r>
    </w:p>
    <w:p>
      <w:pPr>
        <w:spacing w:after="80" w:line="320"/>
        <w:jc w:val="left"/>
      </w:pPr>
      <w:r>
        <w:rPr>
          <w:rFonts w:ascii="Helvetica" w:cs="Helvetica" w:eastAsia="Helvetica" w:hAnsi="Helvetica"/>
          <w:b/>
          <w:bCs/>
          <w:i w:val="false"/>
          <w:iCs w:val="false"/>
          <w:color w:val="1A1A1A"/>
          <w:sz w:val="22"/>
          <w:szCs w:val="22"/>
        </w:rPr>
        <w:t xml:space="preserve">Date: </w:t>
      </w:r>
      <w:r>
        <w:rPr>
          <w:rFonts w:ascii="Helvetica" w:cs="Helvetica" w:eastAsia="Helvetica" w:hAnsi="Helvetica"/>
          <w:b w:val="false"/>
          <w:bCs w:val="false"/>
          <w:i w:val="false"/>
          <w:iCs w:val="false"/>
          <w:color w:val="1A1A1A"/>
          <w:sz w:val="22"/>
          <w:szCs w:val="22"/>
        </w:rPr>
        <w:t xml:space="preserve">April 2026</w:t>
      </w:r>
    </w:p>
    <w:p>
      <w:pPr>
        <w:spacing w:after="80" w:line="320"/>
        <w:jc w:val="left"/>
      </w:pPr>
      <w:r>
        <w:rPr>
          <w:rFonts w:ascii="Helvetica" w:cs="Helvetica" w:eastAsia="Helvetica" w:hAnsi="Helvetica"/>
          <w:b/>
          <w:bCs/>
          <w:i w:val="false"/>
          <w:iCs w:val="false"/>
          <w:color w:val="1A1A1A"/>
          <w:sz w:val="22"/>
          <w:szCs w:val="22"/>
        </w:rPr>
        <w:t xml:space="preserve">Status: </w:t>
      </w:r>
      <w:r>
        <w:rPr>
          <w:rFonts w:ascii="Helvetica" w:cs="Helvetica" w:eastAsia="Helvetica" w:hAnsi="Helvetica"/>
          <w:b w:val="false"/>
          <w:bCs w:val="false"/>
          <w:i w:val="false"/>
          <w:iCs w:val="false"/>
          <w:color w:val="1A1A1A"/>
          <w:sz w:val="22"/>
          <w:szCs w:val="22"/>
        </w:rPr>
        <w:t xml:space="preserve">Pre-launch strategy — locked</w:t>
      </w:r>
    </w:p>
    <w:p>
      <w:r>
        <w:br w:type="page"/>
      </w:r>
    </w:p>
    <w:p>
      <w:pPr>
        <w:pStyle w:val="Heading1"/>
        <w:spacing w:after="200" w:before="480" w:line="320"/>
      </w:pPr>
      <w:r>
        <w:rPr>
          <w:rFonts w:ascii="Helvetica" w:cs="Helvetica" w:eastAsia="Helvetica" w:hAnsi="Helvetica"/>
          <w:b/>
          <w:bCs/>
          <w:color w:val="1A1A1A"/>
          <w:sz w:val="36"/>
          <w:szCs w:val="36"/>
        </w:rPr>
        <w:t xml:space="preserve">The Core Idea</w:t>
      </w:r>
    </w:p>
    <w:p>
      <w:pPr>
        <w:spacing w:after="120" w:line="320"/>
        <w:jc w:val="left"/>
      </w:pPr>
      <w:r>
        <w:rPr>
          <w:rFonts w:ascii="Helvetica" w:cs="Helvetica" w:eastAsia="Helvetica" w:hAnsi="Helvetica"/>
          <w:b/>
          <w:bCs/>
          <w:i w:val="false"/>
          <w:iCs w:val="false"/>
          <w:color w:val="1A1A1A"/>
          <w:sz w:val="22"/>
          <w:szCs w:val="22"/>
        </w:rPr>
        <w:t xml:space="preserve">Making a baby is the first thing a family does together. The Edit is built for that.</w:t>
      </w:r>
    </w:p>
    <w:p>
      <w:pPr>
        <w:spacing w:after="120" w:line="320"/>
        <w:jc w:val="left"/>
      </w:pPr>
      <w:r>
        <w:rPr>
          <w:rFonts w:ascii="Helvetica" w:cs="Helvetica" w:eastAsia="Helvetica" w:hAnsi="Helvetica"/>
          <w:b w:val="false"/>
          <w:bCs w:val="false"/>
          <w:i w:val="false"/>
          <w:iCs w:val="false"/>
          <w:color w:val="1A1A1A"/>
          <w:sz w:val="22"/>
          <w:szCs w:val="22"/>
        </w:rPr>
        <w:t xml:space="preserve">In India, the family is where everything begins. Weddings happen together. Career decisions happen together. Financial choices happen together. Moves and homes and holidays — together. Yet when couples decide to actually have a child, only one person is asked to prepare. She sees the doctor. She takes the supplements. She changes her diet. She watches her body and her cycle. He shows up at the end.</w:t>
      </w:r>
    </w:p>
    <w:p>
      <w:pPr>
        <w:spacing w:after="120" w:line="320"/>
        <w:jc w:val="left"/>
      </w:pPr>
      <w:r>
        <w:rPr>
          <w:rFonts w:ascii="Helvetica" w:cs="Helvetica" w:eastAsia="Helvetica" w:hAnsi="Helvetica"/>
          <w:b w:val="false"/>
          <w:bCs w:val="false"/>
          <w:i w:val="false"/>
          <w:iCs w:val="false"/>
          <w:color w:val="1A1A1A"/>
          <w:sz w:val="22"/>
          <w:szCs w:val="22"/>
        </w:rPr>
        <w:t xml:space="preserve">The Edit is a wellness brand for couples who believe starting a family is one of the most important things they will ever do together — and that it deserves the same togetherness every other major moment in their lives has carried.</w:t>
      </w:r>
    </w:p>
    <w:p>
      <w:pPr>
        <w:spacing w:after="120" w:line="320"/>
        <w:jc w:val="left"/>
      </w:pPr>
      <w:r>
        <w:rPr>
          <w:rFonts w:ascii="Helvetica" w:cs="Helvetica" w:eastAsia="Helvetica" w:hAnsi="Helvetica"/>
          <w:b/>
          <w:bCs/>
          <w:i w:val="false"/>
          <w:iCs w:val="false"/>
          <w:color w:val="1A1A1A"/>
          <w:sz w:val="22"/>
          <w:szCs w:val="22"/>
        </w:rPr>
        <w:t xml:space="preserve">The Edit. Together from the start.</w:t>
      </w:r>
    </w:p>
    <w:p>
      <w:pPr>
        <w:pBdr>
          <w:bottom w:val="single" w:color="B0B0B0" w:sz="6" w:space="1"/>
        </w:pBdr>
        <w:spacing w:after="200" w:before="200"/>
      </w:pPr>
      <w:r>
        <w:t xml:space="preserve"/>
      </w:r>
    </w:p>
    <w:p>
      <w:pPr>
        <w:pStyle w:val="Heading1"/>
        <w:spacing w:after="200" w:before="480" w:line="320"/>
      </w:pPr>
      <w:r>
        <w:rPr>
          <w:rFonts w:ascii="Helvetica" w:cs="Helvetica" w:eastAsia="Helvetica" w:hAnsi="Helvetica"/>
          <w:b/>
          <w:bCs/>
          <w:color w:val="1A1A1A"/>
          <w:sz w:val="36"/>
          <w:szCs w:val="36"/>
        </w:rPr>
        <w:t xml:space="preserve">Why This Framing Wins</w:t>
      </w:r>
    </w:p>
    <w:p>
      <w:pPr>
        <w:spacing w:after="120" w:line="320"/>
        <w:jc w:val="left"/>
      </w:pPr>
      <w:r>
        <w:rPr>
          <w:rFonts w:ascii="Helvetica" w:cs="Helvetica" w:eastAsia="Helvetica" w:hAnsi="Helvetica"/>
          <w:b w:val="false"/>
          <w:bCs w:val="false"/>
          <w:i w:val="false"/>
          <w:iCs w:val="false"/>
          <w:color w:val="1A1A1A"/>
          <w:sz w:val="22"/>
          <w:szCs w:val="22"/>
        </w:rPr>
        <w:t xml:space="preserve">We considered several ways to say this. Each had a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D0D0D0" w:sz="4"/>
              <w:left w:val="single" w:color="D0D0D0" w:sz="4"/>
              <w:bottom w:val="single" w:color="D0D0D0" w:sz="4"/>
              <w:right w:val="single" w:color="D0D0D0" w:sz="4"/>
            </w:tcBorders>
            <w:shd w:fill="F2F2F2" w:val="clear"/>
            <w:tcMar>
              <w:top w:type="dxa" w:w="100"/>
              <w:left w:type="dxa" w:w="140"/>
              <w:bottom w:type="dxa" w:w="100"/>
              <w:right w:type="dxa" w:w="140"/>
            </w:tcMar>
            <w:vAlign w:val="center"/>
          </w:tcPr>
          <w:p>
            <w:pPr>
              <w:spacing w:after="0" w:line="280"/>
            </w:pPr>
            <w:r>
              <w:rPr>
                <w:rFonts w:ascii="Helvetica" w:cs="Helvetica" w:eastAsia="Helvetica" w:hAnsi="Helvetica"/>
                <w:b/>
                <w:bCs/>
                <w:color w:val="1A1A1A"/>
                <w:sz w:val="20"/>
                <w:szCs w:val="20"/>
              </w:rPr>
              <w:t xml:space="preserve">Framing</w:t>
            </w:r>
          </w:p>
        </w:tc>
        <w:tc>
          <w:tcPr>
            <w:tcW w:type="dxa" w:w="3500"/>
            <w:tcBorders>
              <w:top w:val="single" w:color="D0D0D0" w:sz="4"/>
              <w:left w:val="single" w:color="D0D0D0" w:sz="4"/>
              <w:bottom w:val="single" w:color="D0D0D0" w:sz="4"/>
              <w:right w:val="single" w:color="D0D0D0" w:sz="4"/>
            </w:tcBorders>
            <w:shd w:fill="F2F2F2" w:val="clear"/>
            <w:tcMar>
              <w:top w:type="dxa" w:w="100"/>
              <w:left w:type="dxa" w:w="140"/>
              <w:bottom w:type="dxa" w:w="100"/>
              <w:right w:type="dxa" w:w="140"/>
            </w:tcMar>
            <w:vAlign w:val="center"/>
          </w:tcPr>
          <w:p>
            <w:pPr>
              <w:spacing w:after="0" w:line="280"/>
            </w:pPr>
            <w:r>
              <w:rPr>
                <w:rFonts w:ascii="Helvetica" w:cs="Helvetica" w:eastAsia="Helvetica" w:hAnsi="Helvetica"/>
                <w:b/>
                <w:bCs/>
                <w:color w:val="1A1A1A"/>
                <w:sz w:val="20"/>
                <w:szCs w:val="20"/>
              </w:rPr>
              <w:t xml:space="preserve">What it means</w:t>
            </w:r>
          </w:p>
        </w:tc>
        <w:tc>
          <w:tcPr>
            <w:tcW w:type="dxa" w:w="3660"/>
            <w:tcBorders>
              <w:top w:val="single" w:color="D0D0D0" w:sz="4"/>
              <w:left w:val="single" w:color="D0D0D0" w:sz="4"/>
              <w:bottom w:val="single" w:color="D0D0D0" w:sz="4"/>
              <w:right w:val="single" w:color="D0D0D0" w:sz="4"/>
            </w:tcBorders>
            <w:shd w:fill="F2F2F2" w:val="clear"/>
            <w:tcMar>
              <w:top w:type="dxa" w:w="100"/>
              <w:left w:type="dxa" w:w="140"/>
              <w:bottom w:type="dxa" w:w="100"/>
              <w:right w:type="dxa" w:w="140"/>
            </w:tcMar>
            <w:vAlign w:val="center"/>
          </w:tcPr>
          <w:p>
            <w:pPr>
              <w:spacing w:after="0" w:line="280"/>
            </w:pPr>
            <w:r>
              <w:rPr>
                <w:rFonts w:ascii="Helvetica" w:cs="Helvetica" w:eastAsia="Helvetica" w:hAnsi="Helvetica"/>
                <w:b/>
                <w:bCs/>
                <w:color w:val="1A1A1A"/>
                <w:sz w:val="20"/>
                <w:szCs w:val="20"/>
              </w:rPr>
              <w:t xml:space="preserve">Why we didn’t lead with it</w:t>
            </w:r>
          </w:p>
        </w:tc>
      </w:tr>
      <w:tr>
        <w:trPr>
          <w:tblHeader w:val="false"/>
        </w:trPr>
        <w:tc>
          <w:tcPr>
            <w:tcW w:type="dxa" w:w="22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“Fertility”</w:t>
            </w:r>
          </w:p>
        </w:tc>
        <w:tc>
          <w:tcPr>
            <w:tcW w:type="dxa" w:w="35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Medical, clinical, problem-focused</w:t>
            </w:r>
          </w:p>
        </w:tc>
        <w:tc>
          <w:tcPr>
            <w:tcW w:type="dxa" w:w="366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Stigmatizing — many couples would not want to be seen as “fertility customers”</w:t>
            </w:r>
          </w:p>
        </w:tc>
      </w:tr>
      <w:tr>
        <w:trPr>
          <w:tblHeader w:val="false"/>
        </w:trPr>
        <w:tc>
          <w:tcPr>
            <w:tcW w:type="dxa" w:w="22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“TTC / Trying to Conceive”</w:t>
            </w:r>
          </w:p>
        </w:tc>
        <w:tc>
          <w:tcPr>
            <w:tcW w:type="dxa" w:w="35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Insider Western lingo</w:t>
            </w:r>
          </w:p>
        </w:tc>
        <w:tc>
          <w:tcPr>
            <w:tcW w:type="dxa" w:w="366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Doesn’t resonate in everyday Indian conversation</w:t>
            </w:r>
          </w:p>
        </w:tc>
      </w:tr>
      <w:tr>
        <w:trPr>
          <w:tblHeader w:val="false"/>
        </w:trPr>
        <w:tc>
          <w:tcPr>
            <w:tcW w:type="dxa" w:w="22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“Couples Wellness”</w:t>
            </w:r>
          </w:p>
        </w:tc>
        <w:tc>
          <w:tcPr>
            <w:tcW w:type="dxa" w:w="35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Generic, gym-brand vibe</w:t>
            </w:r>
          </w:p>
        </w:tc>
        <w:tc>
          <w:tcPr>
            <w:tcW w:type="dxa" w:w="366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Says nothing specific about the moment or the product</w:t>
            </w:r>
          </w:p>
        </w:tc>
      </w:tr>
      <w:tr>
        <w:trPr>
          <w:tblHeader w:val="false"/>
        </w:trPr>
        <w:tc>
          <w:tcPr>
            <w:tcW w:type="dxa" w:w="22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“Reproductive Partnership”</w:t>
            </w:r>
          </w:p>
        </w:tc>
        <w:tc>
          <w:tcPr>
            <w:tcW w:type="dxa" w:w="35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Progressive, precise, values-forward</w:t>
            </w:r>
          </w:p>
        </w:tc>
        <w:tc>
          <w:tcPr>
            <w:tcW w:type="dxa" w:w="366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Reads as academic in mass conversation; the truth, but not the way customers say it</w:t>
            </w:r>
          </w:p>
        </w:tc>
      </w:tr>
      <w:tr>
        <w:trPr>
          <w:tblHeader w:val="false"/>
        </w:trPr>
        <w:tc>
          <w:tcPr>
            <w:tcW w:type="dxa" w:w="22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“Together from the Start”</w:t>
            </w:r>
          </w:p>
        </w:tc>
        <w:tc>
          <w:tcPr>
            <w:tcW w:type="dxa" w:w="35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Warm, inclusive, instantly understood</w:t>
            </w:r>
          </w:p>
        </w:tc>
        <w:tc>
          <w:tcPr>
            <w:tcW w:type="dxa" w:w="366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Captures the same truth in language anyone can say</w:t>
            </w:r>
          </w:p>
        </w:tc>
      </w:tr>
    </w:tbl>
    <w:p>
      <w:pPr>
        <w:spacing w:after="100" w:line="320"/>
        <w:jc w:val="left"/>
      </w:pPr>
      <w:r>
        <w:rPr>
          <w:rFonts w:ascii="Helvetica" w:cs="Helvetica" w:eastAsia="Helvetica" w:hAnsi="Helvetica"/>
          <w:b w:val="false"/>
          <w:bCs w:val="false"/>
          <w:i w:val="false"/>
          <w:iCs w:val="false"/>
          <w:color w:val="1A1A1A"/>
          <w:sz w:val="22"/>
          <w:szCs w:val="22"/>
        </w:rPr>
        <w:t xml:space="preserve"/>
      </w:r>
    </w:p>
    <w:p>
      <w:pPr>
        <w:spacing w:after="120" w:line="320"/>
        <w:jc w:val="left"/>
      </w:pPr>
      <w:r>
        <w:rPr>
          <w:rFonts w:ascii="Helvetica" w:cs="Helvetica" w:eastAsia="Helvetica" w:hAnsi="Helvetica"/>
          <w:b w:val="false"/>
          <w:bCs w:val="false"/>
          <w:i w:val="false"/>
          <w:iCs w:val="false"/>
          <w:color w:val="1A1A1A"/>
          <w:sz w:val="22"/>
          <w:szCs w:val="22"/>
        </w:rPr>
        <w:t xml:space="preserve">“Together from the start” is a phrase customers already use about their own lives. It does not need to be explained. It tells the customer what the brand believes — and gives them words they can borrow back when they describe what they take, why they take it, and why they bought it for both of them.</w:t>
      </w:r>
    </w:p>
    <w:p>
      <w:pPr>
        <w:spacing w:after="120" w:line="320"/>
        <w:jc w:val="left"/>
      </w:pPr>
      <w:r>
        <w:rPr>
          <w:rFonts w:ascii="Helvetica" w:cs="Helvetica" w:eastAsia="Helvetica" w:hAnsi="Helvetica"/>
          <w:b w:val="false"/>
          <w:bCs w:val="false"/>
          <w:i w:val="false"/>
          <w:iCs w:val="false"/>
          <w:color w:val="1A1A1A"/>
          <w:sz w:val="22"/>
          <w:szCs w:val="22"/>
        </w:rPr>
        <w:t xml:space="preserve">This framing works because it:</w:t>
      </w:r>
    </w:p>
    <w:p>
      <w:pPr>
        <w:pStyle w:val="ListParagraph"/>
        <w:numPr>
          <w:ilvl w:val="0"/>
          <w:numId w:val="2"/>
        </w:numPr>
        <w:spacing w:after="100" w:line="320"/>
      </w:pPr>
      <w:r>
        <w:rPr>
          <w:rFonts w:ascii="Helvetica" w:cs="Helvetica" w:eastAsia="Helvetica" w:hAnsi="Helvetica"/>
          <w:b/>
          <w:bCs/>
          <w:i w:val="false"/>
          <w:iCs w:val="false"/>
          <w:color w:val="1A1A1A"/>
          <w:sz w:val="22"/>
          <w:szCs w:val="22"/>
        </w:rPr>
        <w:t xml:space="preserve">Respects the Indian emotional vocabulary. </w:t>
      </w:r>
      <w:r>
        <w:rPr>
          <w:rFonts w:ascii="Helvetica" w:cs="Helvetica" w:eastAsia="Helvetica" w:hAnsi="Helvetica"/>
          <w:b w:val="false"/>
          <w:bCs w:val="false"/>
          <w:i w:val="false"/>
          <w:iCs w:val="false"/>
          <w:color w:val="1A1A1A"/>
          <w:sz w:val="22"/>
          <w:szCs w:val="22"/>
        </w:rPr>
        <w:t xml:space="preserve">Family in India is felt, not argued. Togetherness is the language of every wedding, every household decision, every life milestone.</w:t>
      </w:r>
    </w:p>
    <w:p>
      <w:pPr>
        <w:pStyle w:val="ListParagraph"/>
        <w:numPr>
          <w:ilvl w:val="0"/>
          <w:numId w:val="2"/>
        </w:numPr>
        <w:spacing w:after="100" w:line="320"/>
      </w:pPr>
      <w:r>
        <w:rPr>
          <w:rFonts w:ascii="Helvetica" w:cs="Helvetica" w:eastAsia="Helvetica" w:hAnsi="Helvetica"/>
          <w:b/>
          <w:bCs/>
          <w:i w:val="false"/>
          <w:iCs w:val="false"/>
          <w:color w:val="1A1A1A"/>
          <w:sz w:val="22"/>
          <w:szCs w:val="22"/>
        </w:rPr>
        <w:t xml:space="preserve">Is inclusive without being political. </w:t>
      </w:r>
      <w:r>
        <w:rPr>
          <w:rFonts w:ascii="Helvetica" w:cs="Helvetica" w:eastAsia="Helvetica" w:hAnsi="Helvetica"/>
          <w:b w:val="false"/>
          <w:bCs w:val="false"/>
          <w:i w:val="false"/>
          <w:iCs w:val="false"/>
          <w:color w:val="1A1A1A"/>
          <w:sz w:val="22"/>
          <w:szCs w:val="22"/>
        </w:rPr>
        <w:t xml:space="preserve">Every couple can buy into “let us prepare together.” Not every couple will buy into more loaded framings.</w:t>
      </w:r>
    </w:p>
    <w:p>
      <w:pPr>
        <w:pStyle w:val="ListParagraph"/>
        <w:numPr>
          <w:ilvl w:val="0"/>
          <w:numId w:val="2"/>
        </w:numPr>
        <w:spacing w:after="100" w:line="320"/>
      </w:pPr>
      <w:r>
        <w:rPr>
          <w:rFonts w:ascii="Helvetica" w:cs="Helvetica" w:eastAsia="Helvetica" w:hAnsi="Helvetica"/>
          <w:b/>
          <w:bCs/>
          <w:i w:val="false"/>
          <w:iCs w:val="false"/>
          <w:color w:val="1A1A1A"/>
          <w:sz w:val="22"/>
          <w:szCs w:val="22"/>
        </w:rPr>
        <w:t xml:space="preserve">Is defensible long-term. </w:t>
      </w:r>
      <w:r>
        <w:rPr>
          <w:rFonts w:ascii="Helvetica" w:cs="Helvetica" w:eastAsia="Helvetica" w:hAnsi="Helvetica"/>
          <w:b w:val="false"/>
          <w:bCs w:val="false"/>
          <w:i w:val="false"/>
          <w:iCs w:val="false"/>
          <w:color w:val="1A1A1A"/>
          <w:sz w:val="22"/>
          <w:szCs w:val="22"/>
        </w:rPr>
        <w:t xml:space="preserve">No competitor can credibly claim this positioning without contradicting their existing model.</w:t>
      </w:r>
    </w:p>
    <w:p>
      <w:pPr>
        <w:pStyle w:val="ListParagraph"/>
        <w:numPr>
          <w:ilvl w:val="0"/>
          <w:numId w:val="2"/>
        </w:numPr>
        <w:spacing w:after="100" w:line="320"/>
      </w:pPr>
      <w:r>
        <w:rPr>
          <w:rFonts w:ascii="Helvetica" w:cs="Helvetica" w:eastAsia="Helvetica" w:hAnsi="Helvetica"/>
          <w:b/>
          <w:bCs/>
          <w:i w:val="false"/>
          <w:iCs w:val="false"/>
          <w:color w:val="1A1A1A"/>
          <w:sz w:val="22"/>
          <w:szCs w:val="22"/>
        </w:rPr>
        <w:t xml:space="preserve">Opens marketing territory. </w:t>
      </w:r>
      <w:r>
        <w:rPr>
          <w:rFonts w:ascii="Helvetica" w:cs="Helvetica" w:eastAsia="Helvetica" w:hAnsi="Helvetica"/>
          <w:b w:val="false"/>
          <w:bCs w:val="false"/>
          <w:i w:val="false"/>
          <w:iCs w:val="false"/>
          <w:color w:val="1A1A1A"/>
          <w:sz w:val="22"/>
          <w:szCs w:val="22"/>
        </w:rPr>
        <w:t xml:space="preserve">Every piece of content — from male fertility education to couples-preparing-together stories — fits naturally under “together.”</w:t>
      </w:r>
    </w:p>
    <w:p>
      <w:pPr>
        <w:pBdr>
          <w:bottom w:val="single" w:color="B0B0B0" w:sz="6" w:space="1"/>
        </w:pBdr>
        <w:spacing w:after="200" w:before="200"/>
      </w:pPr>
      <w:r>
        <w:t xml:space="preserve"/>
      </w:r>
    </w:p>
    <w:p>
      <w:pPr>
        <w:pStyle w:val="Heading1"/>
        <w:spacing w:after="200" w:before="480" w:line="320"/>
      </w:pPr>
      <w:r>
        <w:rPr>
          <w:rFonts w:ascii="Helvetica" w:cs="Helvetica" w:eastAsia="Helvetica" w:hAnsi="Helvetica"/>
          <w:b/>
          <w:bCs/>
          <w:color w:val="1A1A1A"/>
          <w:sz w:val="36"/>
          <w:szCs w:val="36"/>
        </w:rPr>
        <w:t xml:space="preserve">The Market Insight</w:t>
      </w:r>
    </w:p>
    <w:p>
      <w:pPr>
        <w:spacing w:after="120" w:line="320"/>
        <w:jc w:val="left"/>
      </w:pPr>
      <w:r>
        <w:rPr>
          <w:rFonts w:ascii="Helvetica" w:cs="Helvetica" w:eastAsia="Helvetica" w:hAnsi="Helvetica"/>
          <w:b/>
          <w:bCs/>
          <w:i w:val="false"/>
          <w:iCs w:val="false"/>
          <w:color w:val="1A1A1A"/>
          <w:sz w:val="22"/>
          <w:szCs w:val="22"/>
        </w:rPr>
        <w:t xml:space="preserve">India is the largest reproductive health market in the world that nobody is building intentionally for.</w:t>
      </w:r>
    </w:p>
    <w:p>
      <w:pPr>
        <w:pStyle w:val="ListParagraph"/>
        <w:numPr>
          <w:ilvl w:val="0"/>
          <w:numId w:val="3"/>
        </w:numPr>
        <w:spacing w:after="80" w:line="320"/>
      </w:pPr>
      <w:r>
        <w:rPr>
          <w:rFonts w:ascii="Helvetica" w:cs="Helvetica" w:eastAsia="Helvetica" w:hAnsi="Helvetica"/>
          <w:color w:val="1A1A1A"/>
          <w:sz w:val="22"/>
          <w:szCs w:val="22"/>
        </w:rPr>
        <w:t xml:space="preserve">27 million pregnancies per year</w:t>
      </w:r>
    </w:p>
    <w:p>
      <w:pPr>
        <w:pStyle w:val="ListParagraph"/>
        <w:numPr>
          <w:ilvl w:val="0"/>
          <w:numId w:val="3"/>
        </w:numPr>
        <w:spacing w:after="80" w:line="320"/>
      </w:pPr>
      <w:r>
        <w:rPr>
          <w:rFonts w:ascii="Helvetica" w:cs="Helvetica" w:eastAsia="Helvetica" w:hAnsi="Helvetica"/>
          <w:color w:val="1A1A1A"/>
          <w:sz w:val="22"/>
          <w:szCs w:val="22"/>
        </w:rPr>
        <w:t xml:space="preserve">~5–8 million couples actively planning to conceive at any given time</w:t>
      </w:r>
    </w:p>
    <w:p>
      <w:pPr>
        <w:pStyle w:val="ListParagraph"/>
        <w:numPr>
          <w:ilvl w:val="0"/>
          <w:numId w:val="3"/>
        </w:numPr>
        <w:spacing w:after="80" w:line="320"/>
      </w:pPr>
      <w:r>
        <w:rPr>
          <w:rFonts w:ascii="Helvetica" w:cs="Helvetica" w:eastAsia="Helvetica" w:hAnsi="Helvetica"/>
          <w:color w:val="1A1A1A"/>
          <w:sz w:val="22"/>
          <w:szCs w:val="22"/>
        </w:rPr>
        <w:t xml:space="preserve">Indian health &amp; wellness market: $164B (2025) → $258B (2034)</w:t>
      </w:r>
    </w:p>
    <w:p>
      <w:pPr>
        <w:pStyle w:val="ListParagraph"/>
        <w:numPr>
          <w:ilvl w:val="0"/>
          <w:numId w:val="3"/>
        </w:numPr>
        <w:spacing w:after="80" w:line="320"/>
      </w:pPr>
      <w:r>
        <w:rPr>
          <w:rFonts w:ascii="Helvetica" w:cs="Helvetica" w:eastAsia="Helvetica" w:hAnsi="Helvetica"/>
          <w:color w:val="1A1A1A"/>
          <w:sz w:val="22"/>
          <w:szCs w:val="22"/>
        </w:rPr>
        <w:t xml:space="preserve">Asia-Pacific holds 38.58% of the global postpartum market</w:t>
      </w:r>
    </w:p>
    <w:p>
      <w:pPr>
        <w:spacing w:after="80" w:line="320"/>
        <w:jc w:val="left"/>
      </w:pPr>
      <w:r>
        <w:rPr>
          <w:rFonts w:ascii="Helvetica" w:cs="Helvetica" w:eastAsia="Helvetica" w:hAnsi="Helvetica"/>
          <w:b w:val="false"/>
          <w:bCs w:val="false"/>
          <w:i w:val="false"/>
          <w:iCs w:val="false"/>
          <w:color w:val="1A1A1A"/>
          <w:sz w:val="22"/>
          <w:szCs w:val="22"/>
        </w:rPr>
        <w:t xml:space="preserve">The existing brands miss in specific ways:</w:t>
      </w:r>
    </w:p>
    <w:p>
      <w:pPr>
        <w:pStyle w:val="ListParagraph"/>
        <w:numPr>
          <w:ilvl w:val="0"/>
          <w:numId w:val="3"/>
        </w:numPr>
        <w:spacing w:after="80" w:line="320"/>
      </w:pPr>
      <w:r>
        <w:rPr>
          <w:rFonts w:ascii="Helvetica" w:cs="Helvetica" w:eastAsia="Helvetica" w:hAnsi="Helvetica"/>
          <w:b/>
          <w:bCs/>
          <w:i w:val="false"/>
          <w:iCs w:val="false"/>
          <w:color w:val="1A1A1A"/>
          <w:sz w:val="22"/>
          <w:szCs w:val="22"/>
        </w:rPr>
        <w:t xml:space="preserve">Trimacare </w:t>
      </w:r>
      <w:r>
        <w:rPr>
          <w:rFonts w:ascii="Helvetica" w:cs="Helvetica" w:eastAsia="Helvetica" w:hAnsi="Helvetica"/>
          <w:b w:val="false"/>
          <w:bCs w:val="false"/>
          <w:i w:val="false"/>
          <w:iCs w:val="false"/>
          <w:color w:val="1A1A1A"/>
          <w:sz w:val="22"/>
          <w:szCs w:val="22"/>
        </w:rPr>
        <w:t xml:space="preserve">(and similar pharma-coded prenatals) — doctor-prescribed, woman-only, treats the mother as a patient</w:t>
      </w:r>
    </w:p>
    <w:p>
      <w:pPr>
        <w:pStyle w:val="ListParagraph"/>
        <w:numPr>
          <w:ilvl w:val="0"/>
          <w:numId w:val="3"/>
        </w:numPr>
        <w:spacing w:after="80" w:line="320"/>
      </w:pPr>
      <w:r>
        <w:rPr>
          <w:rFonts w:ascii="Helvetica" w:cs="Helvetica" w:eastAsia="Helvetica" w:hAnsi="Helvetica"/>
          <w:b/>
          <w:bCs/>
          <w:i w:val="false"/>
          <w:iCs w:val="false"/>
          <w:color w:val="1A1A1A"/>
          <w:sz w:val="22"/>
          <w:szCs w:val="22"/>
        </w:rPr>
        <w:t xml:space="preserve">Imported brands </w:t>
      </w:r>
      <w:r>
        <w:rPr>
          <w:rFonts w:ascii="Helvetica" w:cs="Helvetica" w:eastAsia="Helvetica" w:hAnsi="Helvetica"/>
          <w:b w:val="false"/>
          <w:bCs w:val="false"/>
          <w:i w:val="false"/>
          <w:iCs w:val="false"/>
          <w:color w:val="1A1A1A"/>
          <w:sz w:val="22"/>
          <w:szCs w:val="22"/>
        </w:rPr>
        <w:t xml:space="preserve">(Ritual, Garden of Life) — expensive, hard to access, no India context</w:t>
      </w:r>
    </w:p>
    <w:p>
      <w:pPr>
        <w:pStyle w:val="ListParagraph"/>
        <w:numPr>
          <w:ilvl w:val="0"/>
          <w:numId w:val="3"/>
        </w:numPr>
        <w:spacing w:after="80" w:line="320"/>
      </w:pPr>
      <w:r>
        <w:rPr>
          <w:rFonts w:ascii="Helvetica" w:cs="Helvetica" w:eastAsia="Helvetica" w:hAnsi="Helvetica"/>
          <w:b/>
          <w:bCs/>
          <w:i w:val="false"/>
          <w:iCs w:val="false"/>
          <w:color w:val="1A1A1A"/>
          <w:sz w:val="22"/>
          <w:szCs w:val="22"/>
        </w:rPr>
        <w:t xml:space="preserve">Ayurvedic brands </w:t>
      </w:r>
      <w:r>
        <w:rPr>
          <w:rFonts w:ascii="Helvetica" w:cs="Helvetica" w:eastAsia="Helvetica" w:hAnsi="Helvetica"/>
          <w:b w:val="false"/>
          <w:bCs w:val="false"/>
          <w:i w:val="false"/>
          <w:iCs w:val="false"/>
          <w:color w:val="1A1A1A"/>
          <w:sz w:val="22"/>
          <w:szCs w:val="22"/>
        </w:rPr>
        <w:t xml:space="preserve">(Himalaya, Patanjali) — pharma-coded packaging, no traceability, no transparency</w:t>
      </w:r>
    </w:p>
    <w:p>
      <w:pPr>
        <w:pStyle w:val="ListParagraph"/>
        <w:numPr>
          <w:ilvl w:val="0"/>
          <w:numId w:val="3"/>
        </w:numPr>
        <w:spacing w:after="80" w:line="320"/>
      </w:pPr>
      <w:r>
        <w:rPr>
          <w:rFonts w:ascii="Helvetica" w:cs="Helvetica" w:eastAsia="Helvetica" w:hAnsi="Helvetica"/>
          <w:b/>
          <w:bCs/>
          <w:i w:val="false"/>
          <w:iCs w:val="false"/>
          <w:color w:val="1A1A1A"/>
          <w:sz w:val="22"/>
          <w:szCs w:val="22"/>
        </w:rPr>
        <w:t xml:space="preserve">Nobody at all </w:t>
      </w:r>
      <w:r>
        <w:rPr>
          <w:rFonts w:ascii="Helvetica" w:cs="Helvetica" w:eastAsia="Helvetica" w:hAnsi="Helvetica"/>
          <w:b w:val="false"/>
          <w:bCs w:val="false"/>
          <w:i w:val="false"/>
          <w:iCs w:val="false"/>
          <w:color w:val="1A1A1A"/>
          <w:sz w:val="22"/>
          <w:szCs w:val="22"/>
        </w:rPr>
        <w:t xml:space="preserve">speaks to the family as the unit, or to men as equal participants, or to couples preparing together</w:t>
      </w:r>
    </w:p>
    <w:p>
      <w:pPr>
        <w:spacing w:after="120" w:line="320"/>
        <w:jc w:val="left"/>
      </w:pPr>
      <w:r>
        <w:rPr>
          <w:rFonts w:ascii="Helvetica" w:cs="Helvetica" w:eastAsia="Helvetica" w:hAnsi="Helvetica"/>
          <w:b/>
          <w:bCs/>
          <w:i w:val="false"/>
          <w:iCs w:val="false"/>
          <w:color w:val="1A1A1A"/>
          <w:sz w:val="22"/>
          <w:szCs w:val="22"/>
        </w:rPr>
        <w:t xml:space="preserve">The white space: </w:t>
      </w:r>
      <w:r>
        <w:rPr>
          <w:rFonts w:ascii="Helvetica" w:cs="Helvetica" w:eastAsia="Helvetica" w:hAnsi="Helvetica"/>
          <w:b w:val="false"/>
          <w:bCs w:val="false"/>
          <w:i w:val="false"/>
          <w:iCs w:val="false"/>
          <w:color w:val="1A1A1A"/>
          <w:sz w:val="22"/>
          <w:szCs w:val="22"/>
        </w:rPr>
        <w:t xml:space="preserve">a modern, transparent, gynecologist-co-formulated wellness brand built around the Indian family journey — where the moment of starting that family is treated with the same intention as the wedding that started the partnership.</w:t>
      </w:r>
    </w:p>
    <w:p>
      <w:pPr>
        <w:pBdr>
          <w:bottom w:val="single" w:color="B0B0B0" w:sz="6" w:space="1"/>
        </w:pBdr>
        <w:spacing w:after="200" w:before="200"/>
      </w:pPr>
      <w:r>
        <w:t xml:space="preserve"/>
      </w:r>
    </w:p>
    <w:p>
      <w:pPr>
        <w:pStyle w:val="Heading1"/>
        <w:spacing w:after="200" w:before="480" w:line="320"/>
      </w:pPr>
      <w:r>
        <w:rPr>
          <w:rFonts w:ascii="Helvetica" w:cs="Helvetica" w:eastAsia="Helvetica" w:hAnsi="Helvetica"/>
          <w:b/>
          <w:bCs/>
          <w:color w:val="1A1A1A"/>
          <w:sz w:val="36"/>
          <w:szCs w:val="36"/>
        </w:rPr>
        <w:t xml:space="preserve">The Brand: The Edit</w:t>
      </w:r>
    </w:p>
    <w:p>
      <w:pPr>
        <w:spacing w:after="120" w:line="320"/>
        <w:jc w:val="left"/>
      </w:pPr>
      <w:r>
        <w:rPr>
          <w:rFonts w:ascii="Helvetica" w:cs="Helvetica" w:eastAsia="Helvetica" w:hAnsi="Helvetica"/>
          <w:b/>
          <w:bCs/>
          <w:i w:val="false"/>
          <w:iCs w:val="false"/>
          <w:color w:val="1A1A1A"/>
          <w:sz w:val="22"/>
          <w:szCs w:val="22"/>
        </w:rPr>
        <w:t xml:space="preserve">Positioning: </w:t>
      </w:r>
      <w:r>
        <w:rPr>
          <w:rFonts w:ascii="Helvetica" w:cs="Helvetica" w:eastAsia="Helvetica" w:hAnsi="Helvetica"/>
          <w:b w:val="false"/>
          <w:bCs w:val="false"/>
          <w:i w:val="false"/>
          <w:iCs w:val="false"/>
          <w:color w:val="1A1A1A"/>
          <w:sz w:val="22"/>
          <w:szCs w:val="22"/>
        </w:rPr>
        <w:t xml:space="preserve">A modern wellness brand for Indian couples starting a family — together.</w:t>
      </w:r>
    </w:p>
    <w:p>
      <w:pPr>
        <w:spacing w:after="120" w:line="320"/>
        <w:jc w:val="left"/>
      </w:pPr>
      <w:r>
        <w:rPr>
          <w:rFonts w:ascii="Helvetica" w:cs="Helvetica" w:eastAsia="Helvetica" w:hAnsi="Helvetica"/>
          <w:b/>
          <w:bCs/>
          <w:i w:val="false"/>
          <w:iCs w:val="false"/>
          <w:color w:val="1A1A1A"/>
          <w:sz w:val="22"/>
          <w:szCs w:val="22"/>
        </w:rPr>
        <w:t xml:space="preserve">Brand promise: </w:t>
      </w:r>
      <w:r>
        <w:rPr>
          <w:rFonts w:ascii="Helvetica" w:cs="Helvetica" w:eastAsia="Helvetica" w:hAnsi="Helvetica"/>
          <w:b w:val="false"/>
          <w:bCs w:val="false"/>
          <w:i w:val="false"/>
          <w:iCs w:val="false"/>
          <w:color w:val="1A1A1A"/>
          <w:sz w:val="22"/>
          <w:szCs w:val="22"/>
        </w:rPr>
        <w:t xml:space="preserve">Only what matters. For both of you.</w:t>
      </w:r>
    </w:p>
    <w:p>
      <w:pPr>
        <w:spacing w:after="120" w:line="320"/>
        <w:jc w:val="left"/>
      </w:pPr>
      <w:r>
        <w:rPr>
          <w:rFonts w:ascii="Helvetica" w:cs="Helvetica" w:eastAsia="Helvetica" w:hAnsi="Helvetica"/>
          <w:b/>
          <w:bCs/>
          <w:i w:val="false"/>
          <w:iCs w:val="false"/>
          <w:color w:val="1A1A1A"/>
          <w:sz w:val="22"/>
          <w:szCs w:val="22"/>
        </w:rPr>
        <w:t xml:space="preserve">Aesthetic: </w:t>
      </w:r>
      <w:r>
        <w:rPr>
          <w:rFonts w:ascii="Helvetica" w:cs="Helvetica" w:eastAsia="Helvetica" w:hAnsi="Helvetica"/>
          <w:b w:val="false"/>
          <w:bCs w:val="false"/>
          <w:i w:val="false"/>
          <w:iCs w:val="false"/>
          <w:color w:val="1A1A1A"/>
          <w:sz w:val="22"/>
          <w:szCs w:val="22"/>
        </w:rPr>
        <w:t xml:space="preserve">Modern, warm, premium DTC. Gender-neutral palette. Editorial photography. Clean typography. Closer to Aesop or Good Earth than to a maternity brand.</w:t>
      </w:r>
    </w:p>
    <w:p>
      <w:pPr>
        <w:spacing w:after="120" w:line="320"/>
        <w:jc w:val="left"/>
      </w:pPr>
      <w:r>
        <w:rPr>
          <w:rFonts w:ascii="Helvetica" w:cs="Helvetica" w:eastAsia="Helvetica" w:hAnsi="Helvetica"/>
          <w:b/>
          <w:bCs/>
          <w:i w:val="false"/>
          <w:iCs w:val="false"/>
          <w:color w:val="1A1A1A"/>
          <w:sz w:val="22"/>
          <w:szCs w:val="22"/>
        </w:rPr>
        <w:t xml:space="preserve">Distribution: </w:t>
      </w:r>
      <w:r>
        <w:rPr>
          <w:rFonts w:ascii="Helvetica" w:cs="Helvetica" w:eastAsia="Helvetica" w:hAnsi="Helvetica"/>
          <w:b w:val="false"/>
          <w:bCs w:val="false"/>
          <w:i w:val="false"/>
          <w:iCs w:val="false"/>
          <w:color w:val="1A1A1A"/>
          <w:sz w:val="22"/>
          <w:szCs w:val="22"/>
        </w:rPr>
        <w:t xml:space="preserve">Direct-to-consumer subscription. Urban metros first — Mumbai, Bangalore, Delhi, Hyderabad, Chennai. Tier-2 expansion by Year 3.</w:t>
      </w:r>
    </w:p>
    <w:p>
      <w:pPr>
        <w:spacing w:after="120" w:line="320"/>
        <w:jc w:val="left"/>
      </w:pPr>
      <w:r>
        <w:rPr>
          <w:rFonts w:ascii="Helvetica" w:cs="Helvetica" w:eastAsia="Helvetica" w:hAnsi="Helvetica"/>
          <w:b/>
          <w:bCs/>
          <w:i w:val="false"/>
          <w:iCs w:val="false"/>
          <w:color w:val="1A1A1A"/>
          <w:sz w:val="22"/>
          <w:szCs w:val="22"/>
        </w:rPr>
        <w:t xml:space="preserve">Pricing: </w:t>
      </w:r>
      <w:r>
        <w:rPr>
          <w:rFonts w:ascii="Helvetica" w:cs="Helvetica" w:eastAsia="Helvetica" w:hAnsi="Helvetica"/>
          <w:b w:val="false"/>
          <w:bCs w:val="false"/>
          <w:i w:val="false"/>
          <w:iCs w:val="false"/>
          <w:color w:val="1A1A1A"/>
          <w:sz w:val="22"/>
          <w:szCs w:val="22"/>
        </w:rPr>
        <w:t xml:space="preserve">Rs.800–1,500 per SKU per month. Couples bundle priced ~15% below buying separately.</w:t>
      </w:r>
    </w:p>
    <w:p>
      <w:pPr>
        <w:spacing w:after="120" w:line="320"/>
        <w:jc w:val="left"/>
      </w:pPr>
      <w:r>
        <w:rPr>
          <w:rFonts w:ascii="Helvetica" w:cs="Helvetica" w:eastAsia="Helvetica" w:hAnsi="Helvetica"/>
          <w:b/>
          <w:bCs/>
          <w:i w:val="false"/>
          <w:iCs w:val="false"/>
          <w:color w:val="1A1A1A"/>
          <w:sz w:val="22"/>
          <w:szCs w:val="22"/>
        </w:rPr>
        <w:t xml:space="preserve">The feeling we want to create: </w:t>
      </w:r>
      <w:r>
        <w:rPr>
          <w:rFonts w:ascii="Helvetica" w:cs="Helvetica" w:eastAsia="Helvetica" w:hAnsi="Helvetica"/>
          <w:b w:val="false"/>
          <w:bCs w:val="false"/>
          <w:i/>
          <w:iCs/>
          <w:color w:val="1A1A1A"/>
          <w:sz w:val="22"/>
          <w:szCs w:val="22"/>
        </w:rPr>
        <w:t xml:space="preserve">“Of course we do this together. That’s how everything else has been, and that’s how this should be too.”</w:t>
      </w:r>
    </w:p>
    <w:p>
      <w:pPr>
        <w:pBdr>
          <w:bottom w:val="single" w:color="B0B0B0" w:sz="6" w:space="1"/>
        </w:pBdr>
        <w:spacing w:after="200" w:before="200"/>
      </w:pPr>
      <w:r>
        <w:t xml:space="preserve"/>
      </w:r>
    </w:p>
    <w:p>
      <w:pPr>
        <w:pStyle w:val="Heading1"/>
        <w:spacing w:after="200" w:before="480" w:line="320"/>
      </w:pPr>
      <w:r>
        <w:rPr>
          <w:rFonts w:ascii="Helvetica" w:cs="Helvetica" w:eastAsia="Helvetica" w:hAnsi="Helvetica"/>
          <w:b/>
          <w:bCs/>
          <w:color w:val="1A1A1A"/>
          <w:sz w:val="36"/>
          <w:szCs w:val="36"/>
        </w:rPr>
        <w:t xml:space="preserve">Product Architecture</w:t>
      </w:r>
    </w:p>
    <w:p>
      <w:pPr>
        <w:pStyle w:val="Heading2"/>
        <w:spacing w:after="160" w:before="320" w:line="320"/>
      </w:pPr>
      <w:r>
        <w:rPr>
          <w:rFonts w:ascii="Helvetica" w:cs="Helvetica" w:eastAsia="Helvetica" w:hAnsi="Helvetica"/>
          <w:b/>
          <w:bCs/>
          <w:color w:val="1A1A1A"/>
          <w:sz w:val="26"/>
          <w:szCs w:val="26"/>
        </w:rPr>
        <w:t xml:space="preserve">Day 1 Launch — 3 SKUs</w:t>
      </w:r>
    </w:p>
    <w:p>
      <w:pPr>
        <w:pStyle w:val="Heading3"/>
        <w:spacing w:after="120" w:before="240" w:line="320"/>
      </w:pPr>
      <w:r>
        <w:rPr>
          <w:rFonts w:ascii="Helvetica" w:cs="Helvetica" w:eastAsia="Helvetica" w:hAnsi="Helvetica"/>
          <w:b/>
          <w:bCs/>
          <w:color w:val="1A1A1A"/>
          <w:sz w:val="22"/>
          <w:szCs w:val="22"/>
        </w:rPr>
        <w:t xml:space="preserve">1. Edit For Two (the hero SKU)</w:t>
      </w:r>
    </w:p>
    <w:p>
      <w:pPr>
        <w:spacing w:after="120" w:line="320"/>
        <w:jc w:val="left"/>
      </w:pPr>
      <w:r>
        <w:rPr>
          <w:rFonts w:ascii="Helvetica" w:cs="Helvetica" w:eastAsia="Helvetica" w:hAnsi="Helvetica"/>
          <w:b w:val="false"/>
          <w:bCs w:val="false"/>
          <w:i w:val="false"/>
          <w:iCs w:val="false"/>
          <w:color w:val="1A1A1A"/>
          <w:sz w:val="22"/>
          <w:szCs w:val="22"/>
        </w:rPr>
        <w:t xml:space="preserve">Sold as one box containing two bottles. One product — for two people.</w:t>
      </w:r>
    </w:p>
    <w:p>
      <w:pPr>
        <w:pStyle w:val="ListParagraph"/>
        <w:numPr>
          <w:ilvl w:val="0"/>
          <w:numId w:val="3"/>
        </w:numPr>
        <w:spacing w:after="80" w:line="320"/>
      </w:pPr>
      <w:r>
        <w:rPr>
          <w:rFonts w:ascii="Helvetica" w:cs="Helvetica" w:eastAsia="Helvetica" w:hAnsi="Helvetica"/>
          <w:b/>
          <w:bCs/>
          <w:i w:val="false"/>
          <w:iCs w:val="false"/>
          <w:color w:val="1A1A1A"/>
          <w:sz w:val="22"/>
          <w:szCs w:val="22"/>
        </w:rPr>
        <w:t xml:space="preserve">For Her: </w:t>
      </w:r>
      <w:r>
        <w:rPr>
          <w:rFonts w:ascii="Helvetica" w:cs="Helvetica" w:eastAsia="Helvetica" w:hAnsi="Helvetica"/>
          <w:b w:val="false"/>
          <w:bCs w:val="false"/>
          <w:i w:val="false"/>
          <w:iCs w:val="false"/>
          <w:color w:val="1A1A1A"/>
          <w:sz w:val="22"/>
          <w:szCs w:val="22"/>
        </w:rPr>
        <w:t xml:space="preserve">egg quality, fertility support, methylfolate, CoQ10, myo-inositol, DHA. FSDU regulatory pathway.</w:t>
      </w:r>
    </w:p>
    <w:p>
      <w:pPr>
        <w:pStyle w:val="ListParagraph"/>
        <w:numPr>
          <w:ilvl w:val="0"/>
          <w:numId w:val="3"/>
        </w:numPr>
        <w:spacing w:after="80" w:line="320"/>
      </w:pPr>
      <w:r>
        <w:rPr>
          <w:rFonts w:ascii="Helvetica" w:cs="Helvetica" w:eastAsia="Helvetica" w:hAnsi="Helvetica"/>
          <w:b/>
          <w:bCs/>
          <w:i w:val="false"/>
          <w:iCs w:val="false"/>
          <w:color w:val="1A1A1A"/>
          <w:sz w:val="22"/>
          <w:szCs w:val="22"/>
        </w:rPr>
        <w:t xml:space="preserve">For Him: </w:t>
      </w:r>
      <w:r>
        <w:rPr>
          <w:rFonts w:ascii="Helvetica" w:cs="Helvetica" w:eastAsia="Helvetica" w:hAnsi="Helvetica"/>
          <w:b w:val="false"/>
          <w:bCs w:val="false"/>
          <w:i w:val="false"/>
          <w:iCs w:val="false"/>
          <w:color w:val="1A1A1A"/>
          <w:sz w:val="22"/>
          <w:szCs w:val="22"/>
        </w:rPr>
        <w:t xml:space="preserve">sperm quality, motility, antioxidants, CoQ10, L-carnitine, zinc, selenium, ashwagandha (KSM-66). Health Supplement regulatory pathway.</w:t>
      </w:r>
    </w:p>
    <w:p>
      <w:pPr>
        <w:pStyle w:val="Heading3"/>
        <w:spacing w:after="120" w:before="240" w:line="320"/>
      </w:pPr>
      <w:r>
        <w:rPr>
          <w:rFonts w:ascii="Helvetica" w:cs="Helvetica" w:eastAsia="Helvetica" w:hAnsi="Helvetica"/>
          <w:b/>
          <w:bCs/>
          <w:color w:val="1A1A1A"/>
          <w:sz w:val="22"/>
          <w:szCs w:val="22"/>
        </w:rPr>
        <w:t xml:space="preserve">2. Edit Prenatal</w:t>
      </w:r>
    </w:p>
    <w:p>
      <w:pPr>
        <w:spacing w:after="120" w:line="320"/>
        <w:jc w:val="left"/>
      </w:pPr>
      <w:r>
        <w:rPr>
          <w:rFonts w:ascii="Helvetica" w:cs="Helvetica" w:eastAsia="Helvetica" w:hAnsi="Helvetica"/>
          <w:b w:val="false"/>
          <w:bCs w:val="false"/>
          <w:i w:val="false"/>
          <w:iCs w:val="false"/>
          <w:color w:val="1A1A1A"/>
          <w:sz w:val="22"/>
          <w:szCs w:val="22"/>
        </w:rPr>
        <w:t xml:space="preserve">Comprehensive 18–25 ingredient prenatal supplement with branded traceable ingredients (Quatrefolic, life’sDHA, Albion chelated minerals). All within ICMR RDA. FSDU regulatory pathway.</w:t>
      </w:r>
    </w:p>
    <w:p>
      <w:pPr>
        <w:pStyle w:val="Heading2"/>
        <w:spacing w:after="160" w:before="320" w:line="320"/>
      </w:pPr>
      <w:r>
        <w:rPr>
          <w:rFonts w:ascii="Helvetica" w:cs="Helvetica" w:eastAsia="Helvetica" w:hAnsi="Helvetica"/>
          <w:b/>
          <w:bCs/>
          <w:color w:val="1A1A1A"/>
          <w:sz w:val="26"/>
          <w:szCs w:val="26"/>
        </w:rPr>
        <w:t xml:space="preserve">Year 1 Expansion</w:t>
      </w:r>
    </w:p>
    <w:p>
      <w:pPr>
        <w:pStyle w:val="Heading3"/>
        <w:spacing w:after="120" w:before="240" w:line="320"/>
      </w:pPr>
      <w:r>
        <w:rPr>
          <w:rFonts w:ascii="Helvetica" w:cs="Helvetica" w:eastAsia="Helvetica" w:hAnsi="Helvetica"/>
          <w:b/>
          <w:bCs/>
          <w:color w:val="1A1A1A"/>
          <w:sz w:val="22"/>
          <w:szCs w:val="22"/>
        </w:rPr>
        <w:t xml:space="preserve">3. Edit Postnatal (Month 9–12 post-launch)</w:t>
      </w:r>
    </w:p>
    <w:p>
      <w:pPr>
        <w:spacing w:after="120" w:line="320"/>
        <w:jc w:val="left"/>
      </w:pPr>
      <w:r>
        <w:rPr>
          <w:rFonts w:ascii="Helvetica" w:cs="Helvetica" w:eastAsia="Helvetica" w:hAnsi="Helvetica"/>
          <w:b w:val="false"/>
          <w:bCs w:val="false"/>
          <w:i w:val="false"/>
          <w:iCs w:val="false"/>
          <w:color w:val="1A1A1A"/>
          <w:sz w:val="22"/>
          <w:szCs w:val="22"/>
        </w:rPr>
        <w:t xml:space="preserve">Postpartum and lactation support, formulated for the mother’s recovery and the breastfeeding period.</w:t>
      </w:r>
    </w:p>
    <w:p>
      <w:pPr>
        <w:pBdr>
          <w:bottom w:val="single" w:color="B0B0B0" w:sz="6" w:space="1"/>
        </w:pBdr>
        <w:spacing w:after="200" w:before="200"/>
      </w:pPr>
      <w:r>
        <w:t xml:space="preserve"/>
      </w:r>
    </w:p>
    <w:p>
      <w:pPr>
        <w:pStyle w:val="Heading1"/>
        <w:spacing w:after="200" w:before="480" w:line="320"/>
      </w:pPr>
      <w:r>
        <w:rPr>
          <w:rFonts w:ascii="Helvetica" w:cs="Helvetica" w:eastAsia="Helvetica" w:hAnsi="Helvetica"/>
          <w:b/>
          <w:bCs/>
          <w:color w:val="1A1A1A"/>
          <w:sz w:val="36"/>
          <w:szCs w:val="36"/>
        </w:rPr>
        <w:t xml:space="preserve">Why Launch Edit For Two + Prenatal at Day 1 (NOT All Three Together)</w:t>
      </w:r>
    </w:p>
    <w:p>
      <w:pPr>
        <w:spacing w:after="120" w:line="320"/>
        <w:jc w:val="left"/>
      </w:pPr>
      <w:r>
        <w:rPr>
          <w:rFonts w:ascii="Helvetica" w:cs="Helvetica" w:eastAsia="Helvetica" w:hAnsi="Helvetica"/>
          <w:b w:val="false"/>
          <w:bCs w:val="false"/>
          <w:i w:val="false"/>
          <w:iCs w:val="false"/>
          <w:color w:val="1A1A1A"/>
          <w:sz w:val="22"/>
          <w:szCs w:val="22"/>
        </w:rPr>
        <w:t xml:space="preserve">Three options were considered:</w:t>
      </w:r>
    </w:p>
    <w:p>
      <w:pPr>
        <w:pStyle w:val="Heading3"/>
        <w:spacing w:after="120" w:before="240" w:line="320"/>
      </w:pPr>
      <w:r>
        <w:rPr>
          <w:rFonts w:ascii="Helvetica" w:cs="Helvetica" w:eastAsia="Helvetica" w:hAnsi="Helvetica"/>
          <w:b/>
          <w:bCs/>
          <w:color w:val="1A1A1A"/>
          <w:sz w:val="22"/>
          <w:szCs w:val="22"/>
        </w:rPr>
        <w:t xml:space="preserve">Option A — Launch all 3 SKUs simultaneously</w:t>
      </w:r>
    </w:p>
    <w:p>
      <w:pPr>
        <w:spacing w:after="120" w:line="320"/>
        <w:jc w:val="left"/>
      </w:pPr>
      <w:r>
        <w:rPr>
          <w:rFonts w:ascii="Helvetica" w:cs="Helvetica" w:eastAsia="Helvetica" w:hAnsi="Helvetica"/>
          <w:b/>
          <w:bCs/>
          <w:i w:val="false"/>
          <w:iCs w:val="false"/>
          <w:color w:val="1A1A1A"/>
          <w:sz w:val="22"/>
          <w:szCs w:val="22"/>
        </w:rPr>
        <w:t xml:space="preserve">Rejected. </w:t>
      </w:r>
      <w:r>
        <w:rPr>
          <w:rFonts w:ascii="Helvetica" w:cs="Helvetica" w:eastAsia="Helvetica" w:hAnsi="Helvetica"/>
          <w:b w:val="false"/>
          <w:bCs w:val="false"/>
          <w:i w:val="false"/>
          <w:iCs w:val="false"/>
          <w:color w:val="1A1A1A"/>
          <w:sz w:val="22"/>
          <w:szCs w:val="22"/>
        </w:rPr>
        <w:t xml:space="preserve">Postnatal has no Day 1 customer demand. The natural Postnatal customer is your own Prenatal customer who just gave birth — and that cohort doesn’t exist until Month 9–12 after launch. Manufacturing Postnatal at Day 1 means inventory sits in the warehouse for nearly a year before customers materialize, locking up capital and burning shelf life.</w:t>
      </w:r>
    </w:p>
    <w:p>
      <w:pPr>
        <w:pStyle w:val="Heading3"/>
        <w:spacing w:after="120" w:before="240" w:line="320"/>
      </w:pPr>
      <w:r>
        <w:rPr>
          <w:rFonts w:ascii="Helvetica" w:cs="Helvetica" w:eastAsia="Helvetica" w:hAnsi="Helvetica"/>
          <w:b/>
          <w:bCs/>
          <w:color w:val="1A1A1A"/>
          <w:sz w:val="22"/>
          <w:szCs w:val="22"/>
        </w:rPr>
        <w:t xml:space="preserve">Option B — Launch Prenatal only</w:t>
      </w:r>
    </w:p>
    <w:p>
      <w:pPr>
        <w:spacing w:after="120" w:line="320"/>
        <w:jc w:val="left"/>
      </w:pPr>
      <w:r>
        <w:rPr>
          <w:rFonts w:ascii="Helvetica" w:cs="Helvetica" w:eastAsia="Helvetica" w:hAnsi="Helvetica"/>
          <w:b/>
          <w:bCs/>
          <w:i w:val="false"/>
          <w:iCs w:val="false"/>
          <w:color w:val="1A1A1A"/>
          <w:sz w:val="22"/>
          <w:szCs w:val="22"/>
        </w:rPr>
        <w:t xml:space="preserve">Rejected. </w:t>
      </w:r>
      <w:r>
        <w:rPr>
          <w:rFonts w:ascii="Helvetica" w:cs="Helvetica" w:eastAsia="Helvetica" w:hAnsi="Helvetica"/>
          <w:b w:val="false"/>
          <w:bCs w:val="false"/>
          <w:i w:val="false"/>
          <w:iCs w:val="false"/>
          <w:color w:val="1A1A1A"/>
          <w:sz w:val="22"/>
          <w:szCs w:val="22"/>
        </w:rPr>
        <w:t xml:space="preserve">Misses the whole “together” positioning. Pregnant women are already pregnant — they are past the moment of preparing as a couple. Prenatal-only makes The Edit a maternity brand, not a family-journey brand.</w:t>
      </w:r>
    </w:p>
    <w:p>
      <w:pPr>
        <w:pStyle w:val="Heading3"/>
        <w:spacing w:after="120" w:before="240" w:line="320"/>
      </w:pPr>
      <w:r>
        <w:rPr>
          <w:rFonts w:ascii="Helvetica" w:cs="Helvetica" w:eastAsia="Helvetica" w:hAnsi="Helvetica"/>
          <w:b/>
          <w:bCs/>
          <w:color w:val="1A1A1A"/>
          <w:sz w:val="22"/>
          <w:szCs w:val="22"/>
        </w:rPr>
        <w:t xml:space="preserve">Option C — Launch Edit For Two + Prenatal at Day 1, add Postnatal at Month 9–12</w:t>
      </w:r>
    </w:p>
    <w:p>
      <w:pPr>
        <w:spacing w:after="120" w:line="320"/>
        <w:jc w:val="left"/>
      </w:pPr>
      <w:r>
        <w:rPr>
          <w:rFonts w:ascii="Helvetica" w:cs="Helvetica" w:eastAsia="Helvetica" w:hAnsi="Helvetica"/>
          <w:b/>
          <w:bCs/>
          <w:i w:val="false"/>
          <w:iCs w:val="false"/>
          <w:color w:val="1A1A1A"/>
          <w:sz w:val="22"/>
          <w:szCs w:val="22"/>
        </w:rPr>
        <w:t xml:space="preserve">Selected. </w:t>
      </w:r>
      <w:r>
        <w:rPr>
          <w:rFonts w:ascii="Helvetica" w:cs="Helvetica" w:eastAsia="Helvetica" w:hAnsi="Helvetica"/>
          <w:b w:val="false"/>
          <w:bCs w:val="false"/>
          <w:i w:val="false"/>
          <w:iCs w:val="false"/>
          <w:color w:val="1A1A1A"/>
          <w:sz w:val="22"/>
          <w:szCs w:val="22"/>
        </w:rPr>
        <w:t xml:space="preserve">Four reasons:</w:t>
      </w:r>
    </w:p>
    <w:p>
      <w:pPr>
        <w:pStyle w:val="ListParagraph"/>
        <w:numPr>
          <w:ilvl w:val="0"/>
          <w:numId w:val="2"/>
        </w:numPr>
        <w:spacing w:after="100" w:line="320"/>
      </w:pPr>
      <w:r>
        <w:rPr>
          <w:rFonts w:ascii="Helvetica" w:cs="Helvetica" w:eastAsia="Helvetica" w:hAnsi="Helvetica"/>
          <w:b/>
          <w:bCs/>
          <w:i w:val="false"/>
          <w:iCs w:val="false"/>
          <w:color w:val="1A1A1A"/>
          <w:sz w:val="22"/>
          <w:szCs w:val="22"/>
        </w:rPr>
        <w:t xml:space="preserve">The “together” positioning is visible from Day 1. </w:t>
      </w:r>
      <w:r>
        <w:rPr>
          <w:rFonts w:ascii="Helvetica" w:cs="Helvetica" w:eastAsia="Helvetica" w:hAnsi="Helvetica"/>
          <w:b w:val="false"/>
          <w:bCs w:val="false"/>
          <w:i w:val="false"/>
          <w:iCs w:val="false"/>
          <w:color w:val="1A1A1A"/>
          <w:sz w:val="22"/>
          <w:szCs w:val="22"/>
        </w:rPr>
        <w:t xml:space="preserve">The couples bundle is the hero. Prenatal is the natural progression. The brand’s values are lived at launch, not deferred.</w:t>
      </w:r>
    </w:p>
    <w:p>
      <w:pPr>
        <w:pStyle w:val="ListParagraph"/>
        <w:numPr>
          <w:ilvl w:val="0"/>
          <w:numId w:val="2"/>
        </w:numPr>
        <w:spacing w:after="100" w:line="320"/>
      </w:pPr>
      <w:r>
        <w:rPr>
          <w:rFonts w:ascii="Helvetica" w:cs="Helvetica" w:eastAsia="Helvetica" w:hAnsi="Helvetica"/>
          <w:b/>
          <w:bCs/>
          <w:i w:val="false"/>
          <w:iCs w:val="false"/>
          <w:color w:val="1A1A1A"/>
          <w:sz w:val="22"/>
          <w:szCs w:val="22"/>
        </w:rPr>
        <w:t xml:space="preserve">Full female customer journey captured. </w:t>
      </w:r>
      <w:r>
        <w:rPr>
          <w:rFonts w:ascii="Helvetica" w:cs="Helvetica" w:eastAsia="Helvetica" w:hAnsi="Helvetica"/>
          <w:b w:val="false"/>
          <w:bCs w:val="false"/>
          <w:i w:val="false"/>
          <w:iCs w:val="false"/>
          <w:color w:val="1A1A1A"/>
          <w:sz w:val="22"/>
          <w:szCs w:val="22"/>
        </w:rPr>
        <w:t xml:space="preserve">A woman who buys Edit For Two while planning her pregnancy transitions naturally to Edit Prenatal when she conceives.</w:t>
      </w:r>
    </w:p>
    <w:p>
      <w:pPr>
        <w:pStyle w:val="ListParagraph"/>
        <w:numPr>
          <w:ilvl w:val="0"/>
          <w:numId w:val="2"/>
        </w:numPr>
        <w:spacing w:after="100" w:line="320"/>
      </w:pPr>
      <w:r>
        <w:rPr>
          <w:rFonts w:ascii="Helvetica" w:cs="Helvetica" w:eastAsia="Helvetica" w:hAnsi="Helvetica"/>
          <w:b/>
          <w:bCs/>
          <w:i w:val="false"/>
          <w:iCs w:val="false"/>
          <w:color w:val="1A1A1A"/>
          <w:sz w:val="22"/>
          <w:szCs w:val="22"/>
        </w:rPr>
        <w:t xml:space="preserve">Postnatal launches at peak demand. </w:t>
      </w:r>
      <w:r>
        <w:rPr>
          <w:rFonts w:ascii="Helvetica" w:cs="Helvetica" w:eastAsia="Helvetica" w:hAnsi="Helvetica"/>
          <w:b w:val="false"/>
          <w:bCs w:val="false"/>
          <w:i w:val="false"/>
          <w:iCs w:val="false"/>
          <w:color w:val="1A1A1A"/>
          <w:sz w:val="22"/>
          <w:szCs w:val="22"/>
        </w:rPr>
        <w:t xml:space="preserve">First Prenatal cohort gives birth at Month 9–12. Postnatal ships exactly when they need it.</w:t>
      </w:r>
    </w:p>
    <w:p>
      <w:pPr>
        <w:pStyle w:val="ListParagraph"/>
        <w:numPr>
          <w:ilvl w:val="0"/>
          <w:numId w:val="2"/>
        </w:numPr>
        <w:spacing w:after="100" w:line="320"/>
      </w:pPr>
      <w:r>
        <w:rPr>
          <w:rFonts w:ascii="Helvetica" w:cs="Helvetica" w:eastAsia="Helvetica" w:hAnsi="Helvetica"/>
          <w:b/>
          <w:bCs/>
          <w:i w:val="false"/>
          <w:iCs w:val="false"/>
          <w:color w:val="1A1A1A"/>
          <w:sz w:val="22"/>
          <w:szCs w:val="22"/>
        </w:rPr>
        <w:t xml:space="preserve">Two PR moments instead of one. </w:t>
      </w:r>
      <w:r>
        <w:rPr>
          <w:rFonts w:ascii="Helvetica" w:cs="Helvetica" w:eastAsia="Helvetica" w:hAnsi="Helvetica"/>
          <w:b w:val="false"/>
          <w:bCs w:val="false"/>
          <w:i w:val="false"/>
          <w:iCs w:val="false"/>
          <w:color w:val="1A1A1A"/>
          <w:sz w:val="22"/>
          <w:szCs w:val="22"/>
        </w:rPr>
        <w:t xml:space="preserve">Day 1 launch is the brand’s opening statement. Month 9–12 Postnatal launch is a second wave of media attention.</w:t>
      </w:r>
    </w:p>
    <w:p>
      <w:pPr>
        <w:pStyle w:val="Heading2"/>
        <w:spacing w:after="160" w:before="320" w:line="320"/>
      </w:pPr>
      <w:r>
        <w:rPr>
          <w:rFonts w:ascii="Helvetica" w:cs="Helvetica" w:eastAsia="Helvetica" w:hAnsi="Helvetica"/>
          <w:b/>
          <w:bCs/>
          <w:color w:val="1A1A1A"/>
          <w:sz w:val="26"/>
          <w:szCs w:val="26"/>
        </w:rPr>
        <w:t xml:space="preserve">The Math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2700"/>
        <w:gridCol w:w="1860"/>
      </w:tblGrid>
      <w:tr>
        <w:trPr>
          <w:tblHeader/>
        </w:trPr>
        <w:tc>
          <w:tcPr>
            <w:tcW w:type="dxa" w:w="2900"/>
            <w:tcBorders>
              <w:top w:val="single" w:color="D0D0D0" w:sz="4"/>
              <w:left w:val="single" w:color="D0D0D0" w:sz="4"/>
              <w:bottom w:val="single" w:color="D0D0D0" w:sz="4"/>
              <w:right w:val="single" w:color="D0D0D0" w:sz="4"/>
            </w:tcBorders>
            <w:shd w:fill="F2F2F2" w:val="clear"/>
            <w:tcMar>
              <w:top w:type="dxa" w:w="100"/>
              <w:left w:type="dxa" w:w="140"/>
              <w:bottom w:type="dxa" w:w="100"/>
              <w:right w:type="dxa" w:w="140"/>
            </w:tcMar>
            <w:vAlign w:val="center"/>
          </w:tcPr>
          <w:p>
            <w:pPr>
              <w:spacing w:after="0" w:line="280"/>
            </w:pPr>
            <w:r>
              <w:rPr>
                <w:rFonts w:ascii="Helvetica" w:cs="Helvetica" w:eastAsia="Helvetica" w:hAnsi="Helvetica"/>
                <w:b/>
                <w:bCs/>
                <w:color w:val="1A1A1A"/>
                <w:sz w:val="20"/>
                <w:szCs w:val="20"/>
              </w:rPr>
              <w:t xml:space="preserve"/>
            </w:r>
          </w:p>
        </w:tc>
        <w:tc>
          <w:tcPr>
            <w:tcW w:type="dxa" w:w="1900"/>
            <w:tcBorders>
              <w:top w:val="single" w:color="D0D0D0" w:sz="4"/>
              <w:left w:val="single" w:color="D0D0D0" w:sz="4"/>
              <w:bottom w:val="single" w:color="D0D0D0" w:sz="4"/>
              <w:right w:val="single" w:color="D0D0D0" w:sz="4"/>
            </w:tcBorders>
            <w:shd w:fill="F2F2F2" w:val="clear"/>
            <w:tcMar>
              <w:top w:type="dxa" w:w="100"/>
              <w:left w:type="dxa" w:w="140"/>
              <w:bottom w:type="dxa" w:w="100"/>
              <w:right w:type="dxa" w:w="140"/>
            </w:tcMar>
            <w:vAlign w:val="center"/>
          </w:tcPr>
          <w:p>
            <w:pPr>
              <w:spacing w:after="0" w:line="280"/>
            </w:pPr>
            <w:r>
              <w:rPr>
                <w:rFonts w:ascii="Helvetica" w:cs="Helvetica" w:eastAsia="Helvetica" w:hAnsi="Helvetica"/>
                <w:b/>
                <w:bCs/>
                <w:color w:val="1A1A1A"/>
                <w:sz w:val="20"/>
                <w:szCs w:val="20"/>
              </w:rPr>
              <w:t xml:space="preserve">All 3 Day 1</w:t>
            </w:r>
          </w:p>
        </w:tc>
        <w:tc>
          <w:tcPr>
            <w:tcW w:type="dxa" w:w="2700"/>
            <w:tcBorders>
              <w:top w:val="single" w:color="D0D0D0" w:sz="4"/>
              <w:left w:val="single" w:color="D0D0D0" w:sz="4"/>
              <w:bottom w:val="single" w:color="D0D0D0" w:sz="4"/>
              <w:right w:val="single" w:color="D0D0D0" w:sz="4"/>
            </w:tcBorders>
            <w:shd w:fill="F2F2F2" w:val="clear"/>
            <w:tcMar>
              <w:top w:type="dxa" w:w="100"/>
              <w:left w:type="dxa" w:w="140"/>
              <w:bottom w:type="dxa" w:w="100"/>
              <w:right w:type="dxa" w:w="140"/>
            </w:tcMar>
            <w:vAlign w:val="center"/>
          </w:tcPr>
          <w:p>
            <w:pPr>
              <w:spacing w:after="0" w:line="280"/>
            </w:pPr>
            <w:r>
              <w:rPr>
                <w:rFonts w:ascii="Helvetica" w:cs="Helvetica" w:eastAsia="Helvetica" w:hAnsi="Helvetica"/>
                <w:b/>
                <w:bCs/>
                <w:color w:val="1A1A1A"/>
                <w:sz w:val="20"/>
                <w:szCs w:val="20"/>
              </w:rPr>
              <w:t xml:space="preserve">Edit For Two + Prenatal Day 1</w:t>
            </w:r>
          </w:p>
        </w:tc>
        <w:tc>
          <w:tcPr>
            <w:tcW w:type="dxa" w:w="1860"/>
            <w:tcBorders>
              <w:top w:val="single" w:color="D0D0D0" w:sz="4"/>
              <w:left w:val="single" w:color="D0D0D0" w:sz="4"/>
              <w:bottom w:val="single" w:color="D0D0D0" w:sz="4"/>
              <w:right w:val="single" w:color="D0D0D0" w:sz="4"/>
            </w:tcBorders>
            <w:shd w:fill="F2F2F2" w:val="clear"/>
            <w:tcMar>
              <w:top w:type="dxa" w:w="100"/>
              <w:left w:type="dxa" w:w="140"/>
              <w:bottom w:type="dxa" w:w="100"/>
              <w:right w:type="dxa" w:w="140"/>
            </w:tcMar>
            <w:vAlign w:val="center"/>
          </w:tcPr>
          <w:p>
            <w:pPr>
              <w:spacing w:after="0" w:line="280"/>
            </w:pPr>
            <w:r>
              <w:rPr>
                <w:rFonts w:ascii="Helvetica" w:cs="Helvetica" w:eastAsia="Helvetica" w:hAnsi="Helvetica"/>
                <w:b/>
                <w:bCs/>
                <w:color w:val="1A1A1A"/>
                <w:sz w:val="20"/>
                <w:szCs w:val="20"/>
              </w:rPr>
              <w:t xml:space="preserve">Prenatal Only</w:t>
            </w:r>
          </w:p>
        </w:tc>
      </w:tr>
      <w:tr>
        <w:trPr>
          <w:tblHeader w:val="false"/>
        </w:trPr>
        <w:tc>
          <w:tcPr>
            <w:tcW w:type="dxa" w:w="29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Day 1 SKUs</w:t>
            </w:r>
          </w:p>
        </w:tc>
        <w:tc>
          <w:tcPr>
            <w:tcW w:type="dxa" w:w="19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3</w:t>
            </w:r>
          </w:p>
        </w:tc>
        <w:tc>
          <w:tcPr>
            <w:tcW w:type="dxa" w:w="27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3</w:t>
            </w:r>
          </w:p>
        </w:tc>
        <w:tc>
          <w:tcPr>
            <w:tcW w:type="dxa" w:w="186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1</w:t>
            </w:r>
          </w:p>
        </w:tc>
      </w:tr>
      <w:tr>
        <w:trPr>
          <w:tblHeader w:val="false"/>
        </w:trPr>
        <w:tc>
          <w:tcPr>
            <w:tcW w:type="dxa" w:w="29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Capital required at launch</w:t>
            </w:r>
          </w:p>
        </w:tc>
        <w:tc>
          <w:tcPr>
            <w:tcW w:type="dxa" w:w="19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Rs.25–30L</w:t>
            </w:r>
          </w:p>
        </w:tc>
        <w:tc>
          <w:tcPr>
            <w:tcW w:type="dxa" w:w="27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Rs.20–25L</w:t>
            </w:r>
          </w:p>
        </w:tc>
        <w:tc>
          <w:tcPr>
            <w:tcW w:type="dxa" w:w="186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Rs.10–12L</w:t>
            </w:r>
          </w:p>
        </w:tc>
      </w:tr>
      <w:tr>
        <w:trPr>
          <w:tblHeader w:val="false"/>
        </w:trPr>
        <w:tc>
          <w:tcPr>
            <w:tcW w:type="dxa" w:w="29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Build timeline</w:t>
            </w:r>
          </w:p>
        </w:tc>
        <w:tc>
          <w:tcPr>
            <w:tcW w:type="dxa" w:w="19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18–24 months</w:t>
            </w:r>
          </w:p>
        </w:tc>
        <w:tc>
          <w:tcPr>
            <w:tcW w:type="dxa" w:w="27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16–18 months</w:t>
            </w:r>
          </w:p>
        </w:tc>
        <w:tc>
          <w:tcPr>
            <w:tcW w:type="dxa" w:w="186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12 months</w:t>
            </w:r>
          </w:p>
        </w:tc>
      </w:tr>
      <w:tr>
        <w:trPr>
          <w:tblHeader w:val="false"/>
        </w:trPr>
        <w:tc>
          <w:tcPr>
            <w:tcW w:type="dxa" w:w="29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Postnatal capital efficiency</w:t>
            </w:r>
          </w:p>
        </w:tc>
        <w:tc>
          <w:tcPr>
            <w:tcW w:type="dxa" w:w="19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Bad</w:t>
            </w:r>
          </w:p>
        </w:tc>
        <w:tc>
          <w:tcPr>
            <w:tcW w:type="dxa" w:w="27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Good</w:t>
            </w:r>
          </w:p>
        </w:tc>
        <w:tc>
          <w:tcPr>
            <w:tcW w:type="dxa" w:w="186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N/A</w:t>
            </w:r>
          </w:p>
        </w:tc>
      </w:tr>
      <w:tr>
        <w:trPr>
          <w:tblHeader w:val="false"/>
        </w:trPr>
        <w:tc>
          <w:tcPr>
            <w:tcW w:type="dxa" w:w="29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“Together” positioning at launch?</w:t>
            </w:r>
          </w:p>
        </w:tc>
        <w:tc>
          <w:tcPr>
            <w:tcW w:type="dxa" w:w="19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Yes</w:t>
            </w:r>
          </w:p>
        </w:tc>
        <w:tc>
          <w:tcPr>
            <w:tcW w:type="dxa" w:w="27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Yes</w:t>
            </w:r>
          </w:p>
        </w:tc>
        <w:tc>
          <w:tcPr>
            <w:tcW w:type="dxa" w:w="186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No</w:t>
            </w:r>
          </w:p>
        </w:tc>
      </w:tr>
      <w:tr>
        <w:trPr>
          <w:tblHeader w:val="false"/>
        </w:trPr>
        <w:tc>
          <w:tcPr>
            <w:tcW w:type="dxa" w:w="29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Customer journey coverage</w:t>
            </w:r>
          </w:p>
        </w:tc>
        <w:tc>
          <w:tcPr>
            <w:tcW w:type="dxa" w:w="19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Full</w:t>
            </w:r>
          </w:p>
        </w:tc>
        <w:tc>
          <w:tcPr>
            <w:tcW w:type="dxa" w:w="27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Preconception → Pregnancy</w:t>
            </w:r>
          </w:p>
        </w:tc>
        <w:tc>
          <w:tcPr>
            <w:tcW w:type="dxa" w:w="186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Pregnancy only</w:t>
            </w:r>
          </w:p>
        </w:tc>
      </w:tr>
      <w:tr>
        <w:trPr>
          <w:tblHeader w:val="false"/>
        </w:trPr>
        <w:tc>
          <w:tcPr>
            <w:tcW w:type="dxa" w:w="29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Execution risk for small team</w:t>
            </w:r>
          </w:p>
        </w:tc>
        <w:tc>
          <w:tcPr>
            <w:tcW w:type="dxa" w:w="19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Very high</w:t>
            </w:r>
          </w:p>
        </w:tc>
        <w:tc>
          <w:tcPr>
            <w:tcW w:type="dxa" w:w="27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Medium</w:t>
            </w:r>
          </w:p>
        </w:tc>
        <w:tc>
          <w:tcPr>
            <w:tcW w:type="dxa" w:w="186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Low</w:t>
            </w:r>
          </w:p>
        </w:tc>
      </w:tr>
    </w:tbl>
    <w:p>
      <w:pPr>
        <w:spacing w:after="100" w:line="320"/>
        <w:jc w:val="left"/>
      </w:pPr>
      <w:r>
        <w:rPr>
          <w:rFonts w:ascii="Helvetica" w:cs="Helvetica" w:eastAsia="Helvetica" w:hAnsi="Helvetica"/>
          <w:b w:val="false"/>
          <w:bCs w:val="false"/>
          <w:i w:val="false"/>
          <w:iCs w:val="false"/>
          <w:color w:val="1A1A1A"/>
          <w:sz w:val="22"/>
          <w:szCs w:val="22"/>
        </w:rPr>
        <w:t xml:space="preserve"/>
      </w:r>
    </w:p>
    <w:p>
      <w:pPr>
        <w:spacing w:after="120" w:line="320"/>
        <w:jc w:val="left"/>
      </w:pPr>
      <w:r>
        <w:rPr>
          <w:rFonts w:ascii="Helvetica" w:cs="Helvetica" w:eastAsia="Helvetica" w:hAnsi="Helvetica"/>
          <w:b w:val="false"/>
          <w:bCs w:val="false"/>
          <w:i w:val="false"/>
          <w:iCs w:val="false"/>
          <w:color w:val="1A1A1A"/>
          <w:sz w:val="22"/>
          <w:szCs w:val="22"/>
        </w:rPr>
        <w:t xml:space="preserve">The Edit For Two + Prenatal launch captures 100% of the brand vision with significantly less capital, lower execution risk, and better inventory economics than launching all three together.</w:t>
      </w:r>
    </w:p>
    <w:p>
      <w:pPr>
        <w:pBdr>
          <w:bottom w:val="single" w:color="B0B0B0" w:sz="6" w:space="1"/>
        </w:pBdr>
        <w:spacing w:after="200" w:before="200"/>
      </w:pPr>
      <w:r>
        <w:t xml:space="preserve"/>
      </w:r>
    </w:p>
    <w:p>
      <w:pPr>
        <w:pStyle w:val="Heading1"/>
        <w:spacing w:after="200" w:before="480" w:line="320"/>
      </w:pPr>
      <w:r>
        <w:rPr>
          <w:rFonts w:ascii="Helvetica" w:cs="Helvetica" w:eastAsia="Helvetica" w:hAnsi="Helvetica"/>
          <w:b/>
          <w:bCs/>
          <w:color w:val="1A1A1A"/>
          <w:sz w:val="36"/>
          <w:szCs w:val="36"/>
        </w:rPr>
        <w:t xml:space="preserve">Why This Beats Every Existing Competitor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tcBorders>
              <w:top w:val="single" w:color="D0D0D0" w:sz="4"/>
              <w:left w:val="single" w:color="D0D0D0" w:sz="4"/>
              <w:bottom w:val="single" w:color="D0D0D0" w:sz="4"/>
              <w:right w:val="single" w:color="D0D0D0" w:sz="4"/>
            </w:tcBorders>
            <w:shd w:fill="F2F2F2" w:val="clear"/>
            <w:tcMar>
              <w:top w:type="dxa" w:w="100"/>
              <w:left w:type="dxa" w:w="140"/>
              <w:bottom w:type="dxa" w:w="100"/>
              <w:right w:type="dxa" w:w="140"/>
            </w:tcMar>
            <w:vAlign w:val="center"/>
          </w:tcPr>
          <w:p>
            <w:pPr>
              <w:spacing w:after="0" w:line="280"/>
            </w:pPr>
            <w:r>
              <w:rPr>
                <w:rFonts w:ascii="Helvetica" w:cs="Helvetica" w:eastAsia="Helvetica" w:hAnsi="Helvetica"/>
                <w:b/>
                <w:bCs/>
                <w:color w:val="1A1A1A"/>
                <w:sz w:val="20"/>
                <w:szCs w:val="20"/>
              </w:rPr>
              <w:t xml:space="preserve">Competitor</w:t>
            </w:r>
          </w:p>
        </w:tc>
        <w:tc>
          <w:tcPr>
            <w:tcW w:type="dxa" w:w="3300"/>
            <w:tcBorders>
              <w:top w:val="single" w:color="D0D0D0" w:sz="4"/>
              <w:left w:val="single" w:color="D0D0D0" w:sz="4"/>
              <w:bottom w:val="single" w:color="D0D0D0" w:sz="4"/>
              <w:right w:val="single" w:color="D0D0D0" w:sz="4"/>
            </w:tcBorders>
            <w:shd w:fill="F2F2F2" w:val="clear"/>
            <w:tcMar>
              <w:top w:type="dxa" w:w="100"/>
              <w:left w:type="dxa" w:w="140"/>
              <w:bottom w:type="dxa" w:w="100"/>
              <w:right w:type="dxa" w:w="140"/>
            </w:tcMar>
            <w:vAlign w:val="center"/>
          </w:tcPr>
          <w:p>
            <w:pPr>
              <w:spacing w:after="0" w:line="280"/>
            </w:pPr>
            <w:r>
              <w:rPr>
                <w:rFonts w:ascii="Helvetica" w:cs="Helvetica" w:eastAsia="Helvetica" w:hAnsi="Helvetica"/>
                <w:b/>
                <w:bCs/>
                <w:color w:val="1A1A1A"/>
                <w:sz w:val="20"/>
                <w:szCs w:val="20"/>
              </w:rPr>
              <w:t xml:space="preserve">What they do</w:t>
            </w:r>
          </w:p>
        </w:tc>
        <w:tc>
          <w:tcPr>
            <w:tcW w:type="dxa" w:w="3660"/>
            <w:tcBorders>
              <w:top w:val="single" w:color="D0D0D0" w:sz="4"/>
              <w:left w:val="single" w:color="D0D0D0" w:sz="4"/>
              <w:bottom w:val="single" w:color="D0D0D0" w:sz="4"/>
              <w:right w:val="single" w:color="D0D0D0" w:sz="4"/>
            </w:tcBorders>
            <w:shd w:fill="F2F2F2" w:val="clear"/>
            <w:tcMar>
              <w:top w:type="dxa" w:w="100"/>
              <w:left w:type="dxa" w:w="140"/>
              <w:bottom w:type="dxa" w:w="100"/>
              <w:right w:type="dxa" w:w="140"/>
            </w:tcMar>
            <w:vAlign w:val="center"/>
          </w:tcPr>
          <w:p>
            <w:pPr>
              <w:spacing w:after="0" w:line="280"/>
            </w:pPr>
            <w:r>
              <w:rPr>
                <w:rFonts w:ascii="Helvetica" w:cs="Helvetica" w:eastAsia="Helvetica" w:hAnsi="Helvetica"/>
                <w:b/>
                <w:bCs/>
                <w:color w:val="1A1A1A"/>
                <w:sz w:val="20"/>
                <w:szCs w:val="20"/>
              </w:rPr>
              <w:t xml:space="preserve">Why The Edit wins</w:t>
            </w:r>
          </w:p>
        </w:tc>
      </w:tr>
      <w:tr>
        <w:trPr>
          <w:tblHeader w:val="false"/>
        </w:trPr>
        <w:tc>
          <w:tcPr>
            <w:tcW w:type="dxa" w:w="24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Trimacare</w:t>
            </w:r>
          </w:p>
        </w:tc>
        <w:tc>
          <w:tcPr>
            <w:tcW w:type="dxa" w:w="33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Doctor-prescribed prenatal MMN, woman-only, pharma-coded</w:t>
            </w:r>
          </w:p>
        </w:tc>
        <w:tc>
          <w:tcPr>
            <w:tcW w:type="dxa" w:w="366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Cannot adopt a couples / family-journey positioning without contradicting their entire DNA</w:t>
            </w:r>
          </w:p>
        </w:tc>
      </w:tr>
      <w:tr>
        <w:trPr>
          <w:tblHeader w:val="false"/>
        </w:trPr>
        <w:tc>
          <w:tcPr>
            <w:tcW w:type="dxa" w:w="24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Ritual (US, imported)</w:t>
            </w:r>
          </w:p>
        </w:tc>
        <w:tc>
          <w:tcPr>
            <w:tcW w:type="dxa" w:w="33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Premium prenatal, transparency-led, separate Him/Her products</w:t>
            </w:r>
          </w:p>
        </w:tc>
        <w:tc>
          <w:tcPr>
            <w:tcW w:type="dxa" w:w="366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Imported = expensive + slow; no India context; doesn’t speak to the Indian family register</w:t>
            </w:r>
          </w:p>
        </w:tc>
      </w:tr>
      <w:tr>
        <w:trPr>
          <w:tblHeader w:val="false"/>
        </w:trPr>
        <w:tc>
          <w:tcPr>
            <w:tcW w:type="dxa" w:w="24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Garden of Life / Pink Stork</w:t>
            </w:r>
          </w:p>
        </w:tc>
        <w:tc>
          <w:tcPr>
            <w:tcW w:type="dxa" w:w="33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Premium prenatal, lifestyle</w:t>
            </w:r>
          </w:p>
        </w:tc>
        <w:tc>
          <w:tcPr>
            <w:tcW w:type="dxa" w:w="366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Same issues as Ritual + no men’s product</w:t>
            </w:r>
          </w:p>
        </w:tc>
      </w:tr>
      <w:tr>
        <w:trPr>
          <w:tblHeader w:val="false"/>
        </w:trPr>
        <w:tc>
          <w:tcPr>
            <w:tcW w:type="dxa" w:w="24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Himalaya / Patanjali</w:t>
            </w:r>
          </w:p>
        </w:tc>
        <w:tc>
          <w:tcPr>
            <w:tcW w:type="dxa" w:w="33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Ayurvedic supplements, pharma-coded</w:t>
            </w:r>
          </w:p>
        </w:tc>
        <w:tc>
          <w:tcPr>
            <w:tcW w:type="dxa" w:w="366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No transparency, no traceability, no modern identity; cannot be a couples brand</w:t>
            </w:r>
          </w:p>
        </w:tc>
      </w:tr>
      <w:tr>
        <w:trPr>
          <w:tblHeader w:val="false"/>
        </w:trPr>
        <w:tc>
          <w:tcPr>
            <w:tcW w:type="dxa" w:w="24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Wellbeing Nutrition</w:t>
            </w:r>
          </w:p>
        </w:tc>
        <w:tc>
          <w:tcPr>
            <w:tcW w:type="dxa" w:w="33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Modern DTC supplements, broad portfolio</w:t>
            </w:r>
          </w:p>
        </w:tc>
        <w:tc>
          <w:tcPr>
            <w:tcW w:type="dxa" w:w="366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No prenatal/preconception focus; no couples positioning</w:t>
            </w:r>
          </w:p>
        </w:tc>
      </w:tr>
    </w:tbl>
    <w:p>
      <w:pPr>
        <w:spacing w:after="100" w:line="320"/>
        <w:jc w:val="left"/>
      </w:pPr>
      <w:r>
        <w:rPr>
          <w:rFonts w:ascii="Helvetica" w:cs="Helvetica" w:eastAsia="Helvetica" w:hAnsi="Helvetica"/>
          <w:b w:val="false"/>
          <w:bCs w:val="false"/>
          <w:i w:val="false"/>
          <w:iCs w:val="false"/>
          <w:color w:val="1A1A1A"/>
          <w:sz w:val="22"/>
          <w:szCs w:val="22"/>
        </w:rPr>
        <w:t xml:space="preserve"/>
      </w:r>
    </w:p>
    <w:p>
      <w:pPr>
        <w:spacing w:after="120" w:line="320"/>
        <w:jc w:val="left"/>
      </w:pPr>
      <w:r>
        <w:rPr>
          <w:rFonts w:ascii="Helvetica" w:cs="Helvetica" w:eastAsia="Helvetica" w:hAnsi="Helvetica"/>
          <w:b/>
          <w:bCs/>
          <w:i w:val="false"/>
          <w:iCs w:val="false"/>
          <w:color w:val="1A1A1A"/>
          <w:sz w:val="22"/>
          <w:szCs w:val="22"/>
        </w:rPr>
        <w:t xml:space="preserve">No existing Indian brand combines all of: </w:t>
      </w:r>
      <w:r>
        <w:rPr>
          <w:rFonts w:ascii="Helvetica" w:cs="Helvetica" w:eastAsia="Helvetica" w:hAnsi="Helvetica"/>
          <w:b w:val="false"/>
          <w:bCs w:val="false"/>
          <w:i w:val="false"/>
          <w:iCs w:val="false"/>
          <w:color w:val="1A1A1A"/>
          <w:sz w:val="22"/>
          <w:szCs w:val="22"/>
        </w:rPr>
        <w:t xml:space="preserve">couples-first positioning, premium DTC subscription, traceable branded ingredients, gynecologist co-formulation, made-in-India for both partners, modern wellness aesthetic, and a tone that resonates with the Indian family. This is the white space.</w:t>
      </w:r>
    </w:p>
    <w:p>
      <w:pPr>
        <w:pBdr>
          <w:bottom w:val="single" w:color="B0B0B0" w:sz="6" w:space="1"/>
        </w:pBdr>
        <w:spacing w:after="200" w:before="200"/>
      </w:pPr>
      <w:r>
        <w:t xml:space="preserve"/>
      </w:r>
    </w:p>
    <w:p>
      <w:pPr>
        <w:pStyle w:val="Heading1"/>
        <w:spacing w:after="200" w:before="480" w:line="320"/>
      </w:pPr>
      <w:r>
        <w:rPr>
          <w:rFonts w:ascii="Helvetica" w:cs="Helvetica" w:eastAsia="Helvetica" w:hAnsi="Helvetica"/>
          <w:b/>
          <w:bCs/>
          <w:color w:val="1A1A1A"/>
          <w:sz w:val="36"/>
          <w:szCs w:val="36"/>
        </w:rPr>
        <w:t xml:space="preserve">Regulatory + Operational Foundation</w:t>
      </w:r>
    </w:p>
    <w:p>
      <w:pPr>
        <w:spacing w:after="120" w:line="320"/>
        <w:jc w:val="left"/>
      </w:pPr>
      <w:r>
        <w:rPr>
          <w:rFonts w:ascii="Helvetica" w:cs="Helvetica" w:eastAsia="Helvetica" w:hAnsi="Helvetica"/>
          <w:b/>
          <w:bCs/>
          <w:i w:val="false"/>
          <w:iCs w:val="false"/>
          <w:color w:val="1A1A1A"/>
          <w:sz w:val="22"/>
          <w:szCs w:val="22"/>
        </w:rPr>
        <w:t xml:space="preserve">Operating entity: </w:t>
      </w:r>
      <w:r>
        <w:rPr>
          <w:rFonts w:ascii="Helvetica" w:cs="Helvetica" w:eastAsia="Helvetica" w:hAnsi="Helvetica"/>
          <w:b w:val="false"/>
          <w:bCs w:val="false"/>
          <w:i w:val="false"/>
          <w:iCs w:val="false"/>
          <w:color w:val="1A1A1A"/>
          <w:sz w:val="22"/>
          <w:szCs w:val="22"/>
        </w:rPr>
        <w:t xml:space="preserve">Lumen Marketing Company (LMC) umbrella — saves Rs.30K + 4 weeks vs separate incorporation.</w:t>
      </w:r>
    </w:p>
    <w:p>
      <w:pPr>
        <w:spacing w:after="120" w:line="320"/>
        <w:jc w:val="left"/>
      </w:pPr>
      <w:r>
        <w:rPr>
          <w:rFonts w:ascii="Helvetica" w:cs="Helvetica" w:eastAsia="Helvetica" w:hAnsi="Helvetica"/>
          <w:b w:val="false"/>
          <w:bCs w:val="false"/>
          <w:i w:val="false"/>
          <w:iCs w:val="false"/>
          <w:color w:val="1A1A1A"/>
          <w:sz w:val="22"/>
          <w:szCs w:val="22"/>
        </w:rPr>
        <w:t xml:space="preserve">Regulatory pathways:</w:t>
      </w:r>
    </w:p>
    <w:p>
      <w:pPr>
        <w:pStyle w:val="ListParagraph"/>
        <w:numPr>
          <w:ilvl w:val="0"/>
          <w:numId w:val="3"/>
        </w:numPr>
        <w:spacing w:after="80" w:line="320"/>
      </w:pPr>
      <w:r>
        <w:rPr>
          <w:rFonts w:ascii="Helvetica" w:cs="Helvetica" w:eastAsia="Helvetica" w:hAnsi="Helvetica"/>
          <w:b/>
          <w:bCs/>
          <w:i w:val="false"/>
          <w:iCs w:val="false"/>
          <w:color w:val="1A1A1A"/>
          <w:sz w:val="22"/>
          <w:szCs w:val="22"/>
        </w:rPr>
        <w:t xml:space="preserve">FSDU </w:t>
      </w:r>
      <w:r>
        <w:rPr>
          <w:rFonts w:ascii="Helvetica" w:cs="Helvetica" w:eastAsia="Helvetica" w:hAnsi="Helvetica"/>
          <w:b w:val="false"/>
          <w:bCs w:val="false"/>
          <w:i w:val="false"/>
          <w:iCs w:val="false"/>
          <w:color w:val="1A1A1A"/>
          <w:sz w:val="22"/>
          <w:szCs w:val="22"/>
        </w:rPr>
        <w:t xml:space="preserve">(Foods for Special Dietary Use) — for Preconception Her + Prenatal + Postnatal</w:t>
      </w:r>
    </w:p>
    <w:p>
      <w:pPr>
        <w:pStyle w:val="ListParagraph"/>
        <w:numPr>
          <w:ilvl w:val="0"/>
          <w:numId w:val="3"/>
        </w:numPr>
        <w:spacing w:after="80" w:line="320"/>
      </w:pPr>
      <w:r>
        <w:rPr>
          <w:rFonts w:ascii="Helvetica" w:cs="Helvetica" w:eastAsia="Helvetica" w:hAnsi="Helvetica"/>
          <w:b/>
          <w:bCs/>
          <w:i w:val="false"/>
          <w:iCs w:val="false"/>
          <w:color w:val="1A1A1A"/>
          <w:sz w:val="22"/>
          <w:szCs w:val="22"/>
        </w:rPr>
        <w:t xml:space="preserve">Health Supplement </w:t>
      </w:r>
      <w:r>
        <w:rPr>
          <w:rFonts w:ascii="Helvetica" w:cs="Helvetica" w:eastAsia="Helvetica" w:hAnsi="Helvetica"/>
          <w:b w:val="false"/>
          <w:bCs w:val="false"/>
          <w:i w:val="false"/>
          <w:iCs w:val="false"/>
          <w:color w:val="1A1A1A"/>
          <w:sz w:val="22"/>
          <w:szCs w:val="22"/>
        </w:rPr>
        <w:t xml:space="preserve">— for Preconception Him</w:t>
      </w:r>
    </w:p>
    <w:p>
      <w:pPr>
        <w:spacing w:after="120" w:line="320"/>
        <w:jc w:val="left"/>
      </w:pPr>
      <w:r>
        <w:rPr>
          <w:rFonts w:ascii="Helvetica" w:cs="Helvetica" w:eastAsia="Helvetica" w:hAnsi="Helvetica"/>
          <w:b w:val="false"/>
          <w:bCs w:val="false"/>
          <w:i w:val="false"/>
          <w:iCs w:val="false"/>
          <w:color w:val="1A1A1A"/>
          <w:sz w:val="22"/>
          <w:szCs w:val="22"/>
        </w:rPr>
        <w:t xml:space="preserve">Both endorsements added to LMC’s existing FSSAI Central License.</w:t>
      </w:r>
    </w:p>
    <w:p>
      <w:pPr>
        <w:spacing w:after="120" w:line="320"/>
        <w:jc w:val="left"/>
      </w:pPr>
      <w:r>
        <w:rPr>
          <w:rFonts w:ascii="Helvetica" w:cs="Helvetica" w:eastAsia="Helvetica" w:hAnsi="Helvetica"/>
          <w:b/>
          <w:bCs/>
          <w:i w:val="false"/>
          <w:iCs w:val="false"/>
          <w:color w:val="1A1A1A"/>
          <w:sz w:val="22"/>
          <w:szCs w:val="22"/>
        </w:rPr>
        <w:t xml:space="preserve">Manufacturing: </w:t>
      </w:r>
      <w:r>
        <w:rPr>
          <w:rFonts w:ascii="Helvetica" w:cs="Helvetica" w:eastAsia="Helvetica" w:hAnsi="Helvetica"/>
          <w:b w:val="false"/>
          <w:bCs w:val="false"/>
          <w:i w:val="false"/>
          <w:iCs w:val="false"/>
          <w:color w:val="1A1A1A"/>
          <w:sz w:val="22"/>
          <w:szCs w:val="22"/>
        </w:rPr>
        <w:t xml:space="preserve">India domestic only. Rejected Thailand/overseas — contradicts the “made in India, for Indian families” foundation. Currently evaluating Tanishq Lifecare and Brukem Life Care as contract manufacturers.</w:t>
      </w:r>
    </w:p>
    <w:p>
      <w:pPr>
        <w:spacing w:after="120" w:line="320"/>
        <w:jc w:val="left"/>
      </w:pPr>
      <w:r>
        <w:rPr>
          <w:rFonts w:ascii="Helvetica" w:cs="Helvetica" w:eastAsia="Helvetica" w:hAnsi="Helvetica"/>
          <w:b/>
          <w:bCs/>
          <w:i w:val="false"/>
          <w:iCs w:val="false"/>
          <w:color w:val="1A1A1A"/>
          <w:sz w:val="22"/>
          <w:szCs w:val="22"/>
        </w:rPr>
        <w:t xml:space="preserve">Formulation philosophy: </w:t>
      </w:r>
      <w:r>
        <w:rPr>
          <w:rFonts w:ascii="Helvetica" w:cs="Helvetica" w:eastAsia="Helvetica" w:hAnsi="Helvetica"/>
          <w:b w:val="false"/>
          <w:bCs w:val="false"/>
          <w:i w:val="false"/>
          <w:iCs w:val="false"/>
          <w:color w:val="1A1A1A"/>
          <w:sz w:val="22"/>
          <w:szCs w:val="22"/>
        </w:rPr>
        <w:t xml:space="preserve">All nutrients within ICMR RDA. Branded traceable ingredients (Quatrefolic, life’sDHA, Albion, KSM-66). No fillers. Nothing without published evidence. Premium ingredients, essentialist formula.</w:t>
      </w:r>
    </w:p>
    <w:p>
      <w:pPr>
        <w:pBdr>
          <w:bottom w:val="single" w:color="B0B0B0" w:sz="6" w:space="1"/>
        </w:pBdr>
        <w:spacing w:after="200" w:before="200"/>
      </w:pPr>
      <w:r>
        <w:t xml:space="preserve"/>
      </w:r>
    </w:p>
    <w:p>
      <w:pPr>
        <w:pStyle w:val="Heading1"/>
        <w:spacing w:after="200" w:before="480" w:line="320"/>
      </w:pPr>
      <w:r>
        <w:rPr>
          <w:rFonts w:ascii="Helvetica" w:cs="Helvetica" w:eastAsia="Helvetica" w:hAnsi="Helvetica"/>
          <w:b/>
          <w:bCs/>
          <w:color w:val="1A1A1A"/>
          <w:sz w:val="36"/>
          <w:szCs w:val="36"/>
        </w:rPr>
        <w:t xml:space="preserve">Capital +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tblHeader/>
        </w:trPr>
        <w:tc>
          <w:tcPr>
            <w:tcW w:type="dxa" w:w="6500"/>
            <w:tcBorders>
              <w:top w:val="single" w:color="D0D0D0" w:sz="4"/>
              <w:left w:val="single" w:color="D0D0D0" w:sz="4"/>
              <w:bottom w:val="single" w:color="D0D0D0" w:sz="4"/>
              <w:right w:val="single" w:color="D0D0D0" w:sz="4"/>
            </w:tcBorders>
            <w:shd w:fill="F2F2F2" w:val="clear"/>
            <w:tcMar>
              <w:top w:type="dxa" w:w="100"/>
              <w:left w:type="dxa" w:w="140"/>
              <w:bottom w:type="dxa" w:w="100"/>
              <w:right w:type="dxa" w:w="140"/>
            </w:tcMar>
            <w:vAlign w:val="center"/>
          </w:tcPr>
          <w:p>
            <w:pPr>
              <w:spacing w:after="0" w:line="280"/>
            </w:pPr>
            <w:r>
              <w:rPr>
                <w:rFonts w:ascii="Helvetica" w:cs="Helvetica" w:eastAsia="Helvetica" w:hAnsi="Helvetica"/>
                <w:b/>
                <w:bCs/>
                <w:color w:val="1A1A1A"/>
                <w:sz w:val="20"/>
                <w:szCs w:val="20"/>
              </w:rPr>
              <w:t xml:space="preserve">Item</w:t>
            </w:r>
          </w:p>
        </w:tc>
        <w:tc>
          <w:tcPr>
            <w:tcW w:type="dxa" w:w="2860"/>
            <w:tcBorders>
              <w:top w:val="single" w:color="D0D0D0" w:sz="4"/>
              <w:left w:val="single" w:color="D0D0D0" w:sz="4"/>
              <w:bottom w:val="single" w:color="D0D0D0" w:sz="4"/>
              <w:right w:val="single" w:color="D0D0D0" w:sz="4"/>
            </w:tcBorders>
            <w:shd w:fill="F2F2F2" w:val="clear"/>
            <w:tcMar>
              <w:top w:type="dxa" w:w="100"/>
              <w:left w:type="dxa" w:w="140"/>
              <w:bottom w:type="dxa" w:w="100"/>
              <w:right w:type="dxa" w:w="140"/>
            </w:tcMar>
            <w:vAlign w:val="center"/>
          </w:tcPr>
          <w:p>
            <w:pPr>
              <w:spacing w:after="0" w:line="280"/>
            </w:pPr>
            <w:r>
              <w:rPr>
                <w:rFonts w:ascii="Helvetica" w:cs="Helvetica" w:eastAsia="Helvetica" w:hAnsi="Helvetica"/>
                <w:b/>
                <w:bCs/>
                <w:color w:val="1A1A1A"/>
                <w:sz w:val="20"/>
                <w:szCs w:val="20"/>
              </w:rPr>
              <w:t xml:space="preserve">Estimate</w:t>
            </w:r>
          </w:p>
        </w:tc>
      </w:tr>
      <w:tr>
        <w:trPr>
          <w:tblHeader w:val="false"/>
        </w:trPr>
        <w:tc>
          <w:tcPr>
            <w:tcW w:type="dxa" w:w="65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Day 1 inventory (3 SKUs × MOQs)</w:t>
            </w:r>
          </w:p>
        </w:tc>
        <w:tc>
          <w:tcPr>
            <w:tcW w:type="dxa" w:w="286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Rs.12–15L</w:t>
            </w:r>
          </w:p>
        </w:tc>
      </w:tr>
      <w:tr>
        <w:trPr>
          <w:tblHeader w:val="false"/>
        </w:trPr>
        <w:tc>
          <w:tcPr>
            <w:tcW w:type="dxa" w:w="65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FSSAI consultant + regulatory filings</w:t>
            </w:r>
          </w:p>
        </w:tc>
        <w:tc>
          <w:tcPr>
            <w:tcW w:type="dxa" w:w="286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Rs.2–3L</w:t>
            </w:r>
          </w:p>
        </w:tc>
      </w:tr>
      <w:tr>
        <w:trPr>
          <w:tblHeader w:val="false"/>
        </w:trPr>
        <w:tc>
          <w:tcPr>
            <w:tcW w:type="dxa" w:w="65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Brand identity, packaging design, website</w:t>
            </w:r>
          </w:p>
        </w:tc>
        <w:tc>
          <w:tcPr>
            <w:tcW w:type="dxa" w:w="286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Rs.4–6L</w:t>
            </w:r>
          </w:p>
        </w:tc>
      </w:tr>
      <w:tr>
        <w:trPr>
          <w:tblHeader w:val="false"/>
        </w:trPr>
        <w:tc>
          <w:tcPr>
            <w:tcW w:type="dxa" w:w="65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Initial marketing (3 months runway)</w:t>
            </w:r>
          </w:p>
        </w:tc>
        <w:tc>
          <w:tcPr>
            <w:tcW w:type="dxa" w:w="286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Rs.3–5L</w:t>
            </w:r>
          </w:p>
        </w:tc>
      </w:tr>
      <w:tr>
        <w:trPr>
          <w:tblHeader w:val="false"/>
        </w:trPr>
        <w:tc>
          <w:tcPr>
            <w:tcW w:type="dxa" w:w="65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Working capital + buffer</w:t>
            </w:r>
          </w:p>
        </w:tc>
        <w:tc>
          <w:tcPr>
            <w:tcW w:type="dxa" w:w="286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Rs.2–3L</w:t>
            </w:r>
          </w:p>
        </w:tc>
      </w:tr>
      <w:tr>
        <w:trPr>
          <w:tblHeader w:val="false"/>
        </w:trPr>
        <w:tc>
          <w:tcPr>
            <w:tcW w:type="dxa" w:w="65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Total launch capital</w:t>
            </w:r>
          </w:p>
        </w:tc>
        <w:tc>
          <w:tcPr>
            <w:tcW w:type="dxa" w:w="286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Rs.20–25L</w:t>
            </w:r>
          </w:p>
        </w:tc>
      </w:tr>
    </w:tbl>
    <w:p>
      <w:pPr>
        <w:spacing w:after="100" w:line="320"/>
        <w:jc w:val="left"/>
      </w:pPr>
      <w:r>
        <w:rPr>
          <w:rFonts w:ascii="Helvetica" w:cs="Helvetica" w:eastAsia="Helvetica" w:hAnsi="Helvetica"/>
          <w:b w:val="false"/>
          <w:bCs w:val="false"/>
          <w:i w:val="false"/>
          <w:iCs w:val="false"/>
          <w:color w:val="1A1A1A"/>
          <w:sz w:val="22"/>
          <w:szCs w:val="22"/>
        </w:rPr>
        <w:t xml:space="preserve"/>
      </w:r>
    </w:p>
    <w:p>
      <w:pPr>
        <w:spacing w:after="120" w:line="320"/>
        <w:jc w:val="left"/>
      </w:pPr>
      <w:r>
        <w:rPr>
          <w:rFonts w:ascii="Helvetica" w:cs="Helvetica" w:eastAsia="Helvetica" w:hAnsi="Helvetica"/>
          <w:b/>
          <w:bCs/>
          <w:i w:val="false"/>
          <w:iCs w:val="false"/>
          <w:color w:val="1A1A1A"/>
          <w:sz w:val="22"/>
          <w:szCs w:val="22"/>
        </w:rPr>
        <w:t xml:space="preserve">Build timeline: </w:t>
      </w:r>
      <w:r>
        <w:rPr>
          <w:rFonts w:ascii="Helvetica" w:cs="Helvetica" w:eastAsia="Helvetica" w:hAnsi="Helvetica"/>
          <w:b w:val="false"/>
          <w:bCs w:val="false"/>
          <w:i w:val="false"/>
          <w:iCs w:val="false"/>
          <w:color w:val="1A1A1A"/>
          <w:sz w:val="22"/>
          <w:szCs w:val="22"/>
        </w:rPr>
        <w:t xml:space="preserve">16–18 months from project start to Day 1 launch.</w:t>
      </w:r>
    </w:p>
    <w:p>
      <w:pPr>
        <w:spacing w:after="120" w:line="320"/>
        <w:jc w:val="left"/>
      </w:pPr>
      <w:r>
        <w:rPr>
          <w:rFonts w:ascii="Helvetica" w:cs="Helvetica" w:eastAsia="Helvetica" w:hAnsi="Helvetica"/>
          <w:b/>
          <w:bCs/>
          <w:i w:val="false"/>
          <w:iCs w:val="false"/>
          <w:color w:val="1A1A1A"/>
          <w:sz w:val="22"/>
          <w:szCs w:val="22"/>
        </w:rPr>
        <w:t xml:space="preserve">Year 1 post-launch: </w:t>
      </w:r>
      <w:r>
        <w:rPr>
          <w:rFonts w:ascii="Helvetica" w:cs="Helvetica" w:eastAsia="Helvetica" w:hAnsi="Helvetica"/>
          <w:b w:val="false"/>
          <w:bCs w:val="false"/>
          <w:i w:val="false"/>
          <w:iCs w:val="false"/>
          <w:color w:val="1A1A1A"/>
          <w:sz w:val="22"/>
          <w:szCs w:val="22"/>
        </w:rPr>
        <w:t xml:space="preserve">Add Edit Postnatal at Month 9–12. Add fertility add-ons at Month 12–18 if the brand is ready.</w:t>
      </w:r>
    </w:p>
    <w:p>
      <w:pPr>
        <w:pBdr>
          <w:bottom w:val="single" w:color="B0B0B0" w:sz="6" w:space="1"/>
        </w:pBdr>
        <w:spacing w:after="200" w:before="200"/>
      </w:pPr>
      <w:r>
        <w:t xml:space="preserve"/>
      </w:r>
    </w:p>
    <w:p>
      <w:pPr>
        <w:pStyle w:val="Heading1"/>
        <w:spacing w:after="200" w:before="480" w:line="320"/>
      </w:pPr>
      <w:r>
        <w:rPr>
          <w:rFonts w:ascii="Helvetica" w:cs="Helvetica" w:eastAsia="Helvetica" w:hAnsi="Helvetica"/>
          <w:b/>
          <w:bCs/>
          <w:color w:val="1A1A1A"/>
          <w:sz w:val="36"/>
          <w:szCs w:val="36"/>
        </w:rPr>
        <w:t xml:space="preserve">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0D0D0" w:sz="4"/>
              <w:left w:val="single" w:color="D0D0D0" w:sz="4"/>
              <w:bottom w:val="single" w:color="D0D0D0" w:sz="4"/>
              <w:right w:val="single" w:color="D0D0D0" w:sz="4"/>
            </w:tcBorders>
            <w:shd w:fill="F2F2F2" w:val="clear"/>
            <w:tcMar>
              <w:top w:type="dxa" w:w="100"/>
              <w:left w:type="dxa" w:w="140"/>
              <w:bottom w:type="dxa" w:w="100"/>
              <w:right w:type="dxa" w:w="140"/>
            </w:tcMar>
            <w:vAlign w:val="center"/>
          </w:tcPr>
          <w:p>
            <w:pPr>
              <w:spacing w:after="0" w:line="280"/>
            </w:pPr>
            <w:r>
              <w:rPr>
                <w:rFonts w:ascii="Helvetica" w:cs="Helvetica" w:eastAsia="Helvetica" w:hAnsi="Helvetica"/>
                <w:b/>
                <w:bCs/>
                <w:color w:val="1A1A1A"/>
                <w:sz w:val="20"/>
                <w:szCs w:val="20"/>
              </w:rPr>
              <w:t xml:space="preserve">Risk</w:t>
            </w:r>
          </w:p>
        </w:tc>
        <w:tc>
          <w:tcPr>
            <w:tcW w:type="dxa" w:w="5160"/>
            <w:tcBorders>
              <w:top w:val="single" w:color="D0D0D0" w:sz="4"/>
              <w:left w:val="single" w:color="D0D0D0" w:sz="4"/>
              <w:bottom w:val="single" w:color="D0D0D0" w:sz="4"/>
              <w:right w:val="single" w:color="D0D0D0" w:sz="4"/>
            </w:tcBorders>
            <w:shd w:fill="F2F2F2" w:val="clear"/>
            <w:tcMar>
              <w:top w:type="dxa" w:w="100"/>
              <w:left w:type="dxa" w:w="140"/>
              <w:bottom w:type="dxa" w:w="100"/>
              <w:right w:type="dxa" w:w="140"/>
            </w:tcMar>
            <w:vAlign w:val="center"/>
          </w:tcPr>
          <w:p>
            <w:pPr>
              <w:spacing w:after="0" w:line="280"/>
            </w:pPr>
            <w:r>
              <w:rPr>
                <w:rFonts w:ascii="Helvetica" w:cs="Helvetica" w:eastAsia="Helvetica" w:hAnsi="Helvetica"/>
                <w:b/>
                <w:bCs/>
                <w:color w:val="1A1A1A"/>
                <w:sz w:val="20"/>
                <w:szCs w:val="20"/>
              </w:rPr>
              <w:t xml:space="preserve">Mitigation</w:t>
            </w:r>
          </w:p>
        </w:tc>
      </w:tr>
      <w:tr>
        <w:trPr>
          <w:tblHeader w:val="false"/>
        </w:trPr>
        <w:tc>
          <w:tcPr>
            <w:tcW w:type="dxa" w:w="42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Indian men don’t proactively buy supplements</w:t>
            </w:r>
          </w:p>
        </w:tc>
        <w:tc>
          <w:tcPr>
            <w:tcW w:type="dxa" w:w="516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Couples bundle ensures the woman buys for both; packaging + copy make his daily ritual frictionless</w:t>
            </w:r>
          </w:p>
        </w:tc>
      </w:tr>
      <w:tr>
        <w:trPr>
          <w:tblHeader w:val="false"/>
        </w:trPr>
        <w:tc>
          <w:tcPr>
            <w:tcW w:type="dxa" w:w="42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Cultural conservatism around openly discussing TTC</w:t>
            </w:r>
          </w:p>
        </w:tc>
        <w:tc>
          <w:tcPr>
            <w:tcW w:type="dxa" w:w="516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Target urban metro educated 28–38 demographic first; warm family-journey framing avoids confrontational positioning</w:t>
            </w:r>
          </w:p>
        </w:tc>
      </w:tr>
      <w:tr>
        <w:trPr>
          <w:tblHeader w:val="false"/>
        </w:trPr>
        <w:tc>
          <w:tcPr>
            <w:tcW w:type="dxa" w:w="42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Trimacare patent on trimester-specific MMN</w:t>
            </w:r>
          </w:p>
        </w:tc>
        <w:tc>
          <w:tcPr>
            <w:tcW w:type="dxa" w:w="516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Single comprehensive prenatal (like Ritual) sidesteps the patent entirely</w:t>
            </w:r>
          </w:p>
        </w:tc>
      </w:tr>
      <w:tr>
        <w:trPr>
          <w:tblHeader w:val="false"/>
        </w:trPr>
        <w:tc>
          <w:tcPr>
            <w:tcW w:type="dxa" w:w="42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Manufacturer FSDU license gap</w:t>
            </w:r>
          </w:p>
        </w:tc>
        <w:tc>
          <w:tcPr>
            <w:tcW w:type="dxa" w:w="516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Verification questions sent to Tanishq + Brukem; if neither qualifies, pivot to shortlist alternatives</w:t>
            </w:r>
          </w:p>
        </w:tc>
      </w:tr>
      <w:tr>
        <w:trPr>
          <w:tblHeader w:val="false"/>
        </w:trPr>
        <w:tc>
          <w:tcPr>
            <w:tcW w:type="dxa" w:w="42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Liability mixing under LMC umbrella</w:t>
            </w:r>
          </w:p>
        </w:tc>
        <w:tc>
          <w:tcPr>
            <w:tcW w:type="dxa" w:w="516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Future spin-out into separate Pvt Ltd when investment or scale demands</w:t>
            </w:r>
          </w:p>
        </w:tc>
      </w:tr>
      <w:tr>
        <w:trPr>
          <w:tblHeader w:val="false"/>
        </w:trPr>
        <w:tc>
          <w:tcPr>
            <w:tcW w:type="dxa" w:w="42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Gynecologist co-founder search</w:t>
            </w:r>
          </w:p>
        </w:tc>
        <w:tc>
          <w:tcPr>
            <w:tcW w:type="dxa" w:w="516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line="280"/>
            </w:pPr>
            <w:r>
              <w:rPr>
                <w:rFonts w:ascii="Helvetica" w:cs="Helvetica" w:eastAsia="Helvetica" w:hAnsi="Helvetica"/>
                <w:b w:val="false"/>
                <w:bCs w:val="false"/>
                <w:color w:val="1A1A1A"/>
                <w:sz w:val="20"/>
                <w:szCs w:val="20"/>
              </w:rPr>
              <w:t xml:space="preserve">Step 0 of execution — the brand cannot launch without one</w:t>
            </w:r>
          </w:p>
        </w:tc>
      </w:tr>
    </w:tbl>
    <w:p>
      <w:pPr>
        <w:pBdr>
          <w:bottom w:val="single" w:color="B0B0B0" w:sz="6" w:space="1"/>
        </w:pBdr>
        <w:spacing w:after="200" w:before="200"/>
      </w:pPr>
      <w:r>
        <w:t xml:space="preserve"/>
      </w:r>
    </w:p>
    <w:p>
      <w:pPr>
        <w:pStyle w:val="Heading1"/>
        <w:spacing w:after="200" w:before="480" w:line="320"/>
      </w:pPr>
      <w:r>
        <w:rPr>
          <w:rFonts w:ascii="Helvetica" w:cs="Helvetica" w:eastAsia="Helvetica" w:hAnsi="Helvetica"/>
          <w:b/>
          <w:bCs/>
          <w:color w:val="1A1A1A"/>
          <w:sz w:val="36"/>
          <w:szCs w:val="36"/>
        </w:rPr>
        <w:t xml:space="preserve">Next 30 Days</w:t>
      </w:r>
    </w:p>
    <w:p>
      <w:pPr>
        <w:pStyle w:val="ListParagraph"/>
        <w:numPr>
          <w:ilvl w:val="0"/>
          <w:numId w:val="2"/>
        </w:numPr>
        <w:spacing w:after="100" w:line="320"/>
      </w:pPr>
      <w:r>
        <w:rPr>
          <w:rFonts w:ascii="Helvetica" w:cs="Helvetica" w:eastAsia="Helvetica" w:hAnsi="Helvetica"/>
          <w:color w:val="1A1A1A"/>
          <w:sz w:val="22"/>
          <w:szCs w:val="22"/>
        </w:rPr>
        <w:t xml:space="preserve">Send manufacturer discovery emails to Tanishq + Brukem (drafts ready in Gmail)</w:t>
      </w:r>
    </w:p>
    <w:p>
      <w:pPr>
        <w:pStyle w:val="ListParagraph"/>
        <w:numPr>
          <w:ilvl w:val="0"/>
          <w:numId w:val="2"/>
        </w:numPr>
        <w:spacing w:after="100" w:line="320"/>
      </w:pPr>
      <w:r>
        <w:rPr>
          <w:rFonts w:ascii="Helvetica" w:cs="Helvetica" w:eastAsia="Helvetica" w:hAnsi="Helvetica"/>
          <w:color w:val="1A1A1A"/>
          <w:sz w:val="22"/>
          <w:szCs w:val="22"/>
        </w:rPr>
        <w:t xml:space="preserve">Add FSDU + Health Supplement endorsements to LMC’s FSSAI Central License (call Thambu’s CA)</w:t>
      </w:r>
    </w:p>
    <w:p>
      <w:pPr>
        <w:pStyle w:val="ListParagraph"/>
        <w:numPr>
          <w:ilvl w:val="0"/>
          <w:numId w:val="2"/>
        </w:numPr>
        <w:spacing w:after="100" w:line="320"/>
      </w:pPr>
      <w:r>
        <w:rPr>
          <w:rFonts w:ascii="Helvetica" w:cs="Helvetica" w:eastAsia="Helvetica" w:hAnsi="Helvetica"/>
          <w:color w:val="1A1A1A"/>
          <w:sz w:val="22"/>
          <w:szCs w:val="22"/>
        </w:rPr>
        <w:t xml:space="preserve">Trademark search at IP India for “EDIT” / “THE EDIT” in Class 5 + Class 30</w:t>
      </w:r>
    </w:p>
    <w:p>
      <w:pPr>
        <w:pStyle w:val="ListParagraph"/>
        <w:numPr>
          <w:ilvl w:val="0"/>
          <w:numId w:val="2"/>
        </w:numPr>
        <w:spacing w:after="100" w:line="320"/>
      </w:pPr>
      <w:r>
        <w:rPr>
          <w:rFonts w:ascii="Helvetica" w:cs="Helvetica" w:eastAsia="Helvetica" w:hAnsi="Helvetica"/>
          <w:color w:val="1A1A1A"/>
          <w:sz w:val="22"/>
          <w:szCs w:val="22"/>
        </w:rPr>
        <w:t xml:space="preserve">Domain verification for theedit.in / theeditco.com / equivalent</w:t>
      </w:r>
    </w:p>
    <w:p>
      <w:pPr>
        <w:pStyle w:val="ListParagraph"/>
        <w:numPr>
          <w:ilvl w:val="0"/>
          <w:numId w:val="2"/>
        </w:numPr>
        <w:spacing w:after="100" w:line="320"/>
      </w:pPr>
      <w:r>
        <w:rPr>
          <w:rFonts w:ascii="Helvetica" w:cs="Helvetica" w:eastAsia="Helvetica" w:hAnsi="Helvetica"/>
          <w:color w:val="1A1A1A"/>
          <w:sz w:val="22"/>
          <w:szCs w:val="22"/>
        </w:rPr>
        <w:t xml:space="preserve">Begin gynecologist co-founder outreach — identify 5–10 candidates, start conversations</w:t>
      </w:r>
    </w:p>
    <w:p>
      <w:pPr>
        <w:pStyle w:val="ListParagraph"/>
        <w:numPr>
          <w:ilvl w:val="0"/>
          <w:numId w:val="2"/>
        </w:numPr>
        <w:spacing w:after="100" w:line="320"/>
      </w:pPr>
      <w:r>
        <w:rPr>
          <w:rFonts w:ascii="Helvetica" w:cs="Helvetica" w:eastAsia="Helvetica" w:hAnsi="Helvetica"/>
          <w:color w:val="1A1A1A"/>
          <w:sz w:val="22"/>
          <w:szCs w:val="22"/>
        </w:rPr>
        <w:t xml:space="preserve">Start customer validation interviews with 30–50 couples in target demographic</w:t>
      </w:r>
    </w:p>
    <w:p>
      <w:pPr>
        <w:pBdr>
          <w:bottom w:val="single" w:color="B0B0B0" w:sz="6" w:space="1"/>
        </w:pBdr>
        <w:spacing w:after="200" w:before="200"/>
      </w:pPr>
      <w:r>
        <w:t xml:space="preserve"/>
      </w:r>
    </w:p>
    <w:p>
      <w:pPr>
        <w:pStyle w:val="Heading1"/>
        <w:spacing w:after="200" w:before="480" w:line="320"/>
      </w:pPr>
      <w:r>
        <w:rPr>
          <w:rFonts w:ascii="Helvetica" w:cs="Helvetica" w:eastAsia="Helvetica" w:hAnsi="Helvetica"/>
          <w:b/>
          <w:bCs/>
          <w:color w:val="1A1A1A"/>
          <w:sz w:val="36"/>
          <w:szCs w:val="36"/>
        </w:rPr>
        <w:t xml:space="preserve">The Vision</w:t>
      </w:r>
    </w:p>
    <w:p>
      <w:pPr>
        <w:spacing w:after="120" w:line="320"/>
        <w:jc w:val="left"/>
      </w:pPr>
      <w:r>
        <w:rPr>
          <w:rFonts w:ascii="Helvetica" w:cs="Helvetica" w:eastAsia="Helvetica" w:hAnsi="Helvetica"/>
          <w:b w:val="false"/>
          <w:bCs w:val="false"/>
          <w:i w:val="false"/>
          <w:iCs w:val="false"/>
          <w:color w:val="1A1A1A"/>
          <w:sz w:val="22"/>
          <w:szCs w:val="22"/>
        </w:rPr>
        <w:t xml:space="preserve">The Edit is not a prenatal supplement company. It’s a brand built around a simple, deeply Indian idea: </w:t>
      </w:r>
      <w:r>
        <w:rPr>
          <w:rFonts w:ascii="Helvetica" w:cs="Helvetica" w:eastAsia="Helvetica" w:hAnsi="Helvetica"/>
          <w:b/>
          <w:bCs/>
          <w:i w:val="false"/>
          <w:iCs w:val="false"/>
          <w:color w:val="1A1A1A"/>
          <w:sz w:val="22"/>
          <w:szCs w:val="22"/>
        </w:rPr>
        <w:t xml:space="preserve">starting a family is something a family does together.</w:t>
      </w:r>
      <w:r>
        <w:rPr>
          <w:rFonts w:ascii="Helvetica" w:cs="Helvetica" w:eastAsia="Helvetica" w:hAnsi="Helvetica"/>
          <w:b w:val="false"/>
          <w:bCs w:val="false"/>
          <w:i w:val="false"/>
          <w:iCs w:val="false"/>
          <w:color w:val="1A1A1A"/>
          <w:sz w:val="22"/>
          <w:szCs w:val="22"/>
        </w:rPr>
        <w:t xml:space="preserve"> From the beginning. From the first decision.</w:t>
      </w:r>
    </w:p>
    <w:p>
      <w:pPr>
        <w:spacing w:after="120" w:line="320"/>
        <w:jc w:val="left"/>
      </w:pPr>
      <w:r>
        <w:rPr>
          <w:rFonts w:ascii="Helvetica" w:cs="Helvetica" w:eastAsia="Helvetica" w:hAnsi="Helvetica"/>
          <w:b w:val="false"/>
          <w:bCs w:val="false"/>
          <w:i w:val="false"/>
          <w:iCs w:val="false"/>
          <w:color w:val="1A1A1A"/>
          <w:sz w:val="22"/>
          <w:szCs w:val="22"/>
        </w:rPr>
        <w:t xml:space="preserve">Day 1 launches three SKUs. Year 1 covers the full preconception-to-postnatal journey. Year 3–5 expands into adjacent moments in the Indian family life — postpartum recovery, perimenopause, the menopausal transition, supplements for the next generation. The Edit becomes a brand that walks with Indian families through every major stage of their life together.</w:t>
      </w:r>
    </w:p>
    <w:p>
      <w:pPr>
        <w:spacing w:after="120" w:line="320"/>
        <w:jc w:val="left"/>
      </w:pPr>
      <w:r>
        <w:rPr>
          <w:rFonts w:ascii="Helvetica" w:cs="Helvetica" w:eastAsia="Helvetica" w:hAnsi="Helvetica"/>
          <w:b w:val="false"/>
          <w:bCs w:val="false"/>
          <w:i w:val="false"/>
          <w:iCs w:val="false"/>
          <w:color w:val="1A1A1A"/>
          <w:sz w:val="22"/>
          <w:szCs w:val="22"/>
        </w:rPr>
        <w:t xml:space="preserve">This is a Rs.500 Cr+ brand trajectory, not a Rs.50 Cr niche. The category is large. The white space is real. The brand vision is rooted in how Indian families already feel about the journey ahead — we are simply the first brand to make it easier, cleaner, and more intentional.</w:t>
      </w:r>
    </w:p>
    <w:p>
      <w:pPr>
        <w:spacing w:after="120" w:line="320"/>
        <w:jc w:val="left"/>
      </w:pPr>
      <w:r>
        <w:rPr>
          <w:rFonts w:ascii="Helvetica" w:cs="Helvetica" w:eastAsia="Helvetica" w:hAnsi="Helvetica"/>
          <w:b/>
          <w:bCs/>
          <w:i w:val="false"/>
          <w:iCs w:val="false"/>
          <w:color w:val="1A1A1A"/>
          <w:sz w:val="24"/>
          <w:szCs w:val="24"/>
        </w:rPr>
        <w:t xml:space="preserve">That’s the proposal.</w:t>
      </w:r>
    </w:p>
    <w:p>
      <w:pPr>
        <w:pBdr>
          <w:bottom w:val="single" w:color="B0B0B0" w:sz="6" w:space="1"/>
        </w:pBdr>
        <w:spacing w:after="200" w:before="200"/>
      </w:pPr>
      <w:r>
        <w:t xml:space="preserve"/>
      </w:r>
    </w:p>
    <w:p>
      <w:pPr>
        <w:spacing w:after="60" w:line="320"/>
        <w:jc w:val="left"/>
      </w:pPr>
      <w:r>
        <w:rPr>
          <w:rFonts w:ascii="Helvetica" w:cs="Helvetica" w:eastAsia="Helvetica" w:hAnsi="Helvetica"/>
          <w:b w:val="false"/>
          <w:bCs w:val="false"/>
          <w:i/>
          <w:iCs/>
          <w:color w:val="555555"/>
          <w:sz w:val="22"/>
          <w:szCs w:val="22"/>
        </w:rPr>
        <w:t xml:space="preserve">Prepared for: gynecologist co-founder candidates, founding advisors, capital partners, and the founder’s own reference.</w:t>
      </w:r>
    </w:p>
    <w:p>
      <w:pPr>
        <w:spacing w:after="120" w:line="320"/>
        <w:jc w:val="left"/>
      </w:pPr>
      <w:r>
        <w:rPr>
          <w:rFonts w:ascii="Helvetica" w:cs="Helvetica" w:eastAsia="Helvetica" w:hAnsi="Helvetica"/>
          <w:b w:val="false"/>
          <w:bCs w:val="false"/>
          <w:i/>
          <w:iCs/>
          <w:color w:val="555555"/>
          <w:sz w:val="22"/>
          <w:szCs w:val="22"/>
        </w:rPr>
        <w:t xml:space="preserve">Aishwarya Chandrasekhar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line="320"/>
      <w:outlineLvl w:val="0"/>
    </w:pPr>
    <w:rPr>
      <w:rFonts w:ascii="Helvetica" w:cs="Helvetica" w:eastAsia="Helvetica" w:hAnsi="Helvetica"/>
      <w:b/>
      <w:bCs/>
      <w:color w:val="1A1A1A"/>
      <w:sz w:val="36"/>
      <w:szCs w:val="36"/>
    </w:rPr>
  </w:style>
  <w:style w:type="paragraph" w:styleId="Heading2">
    <w:name w:val="Heading 2"/>
    <w:basedOn w:val="Normal"/>
    <w:next w:val="Normal"/>
    <w:qFormat/>
    <w:pPr>
      <w:spacing w:after="160" w:before="320" w:line="320"/>
      <w:outlineLvl w:val="1"/>
    </w:pPr>
    <w:rPr>
      <w:rFonts w:ascii="Helvetica" w:cs="Helvetica" w:eastAsia="Helvetica" w:hAnsi="Helvetica"/>
      <w:b/>
      <w:bCs/>
      <w:color w:val="1A1A1A"/>
      <w:sz w:val="26"/>
      <w:szCs w:val="26"/>
    </w:rPr>
  </w:style>
  <w:style w:type="paragraph" w:styleId="Heading3">
    <w:name w:val="Heading 3"/>
    <w:basedOn w:val="Normal"/>
    <w:next w:val="Normal"/>
    <w:qFormat/>
    <w:pPr>
      <w:spacing w:after="120" w:before="240" w:line="320"/>
      <w:outlineLvl w:val="2"/>
    </w:pPr>
    <w:rPr>
      <w:rFonts w:ascii="Helvetica" w:cs="Helvetica" w:eastAsia="Helvetica" w:hAnsi="Helvetica"/>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Edit — Proposal (India)</dc:title>
  <dc:creator>Aishwarya Chandrasekhar</dc:creator>
  <cp:lastModifiedBy>Un-named</cp:lastModifiedBy>
  <cp:revision>1</cp:revision>
  <dcterms:created xsi:type="dcterms:W3CDTF">2026-04-17T14:28:55.635Z</dcterms:created>
  <dcterms:modified xsi:type="dcterms:W3CDTF">2026-04-17T14:28:55.635Z</dcterms:modified>
</cp:coreProperties>
</file>

<file path=docProps/custom.xml><?xml version="1.0" encoding="utf-8"?>
<Properties xmlns="http://schemas.openxmlformats.org/officeDocument/2006/custom-properties" xmlns:vt="http://schemas.openxmlformats.org/officeDocument/2006/docPropsVTypes"/>
</file>