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Nearby</w:t>
      </w:r>
      <w:r>
        <w:t xml:space="preserve"> </w:t>
      </w:r>
      <w:r>
        <w:t xml:space="preserve">and</w:t>
      </w:r>
      <w:r>
        <w:t xml:space="preserve"> </w:t>
      </w:r>
      <w:r>
        <w:t xml:space="preserve">Deferred</w:t>
      </w:r>
      <w:r>
        <w:t xml:space="preserve"> </w:t>
      </w:r>
      <w:r>
        <w:t xml:space="preserve">Quotes</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bstract"/>
      </w:pPr>
      <w:r>
        <w:t xml:space="preserve">The</w:t>
      </w:r>
      <w:r>
        <w:t xml:space="preserve"> </w:t>
      </w:r>
      <w:r>
        <w:t xml:space="preserve">recent</w:t>
      </w:r>
      <w:r>
        <w:t xml:space="preserve"> </w:t>
      </w:r>
      <w:r>
        <w:t xml:space="preserve">'Financialization'</w:t>
      </w:r>
      <w:r>
        <w:t xml:space="preserve"> </w:t>
      </w:r>
      <w:r>
        <w:t xml:space="preserve">of</w:t>
      </w:r>
      <w:r>
        <w:t xml:space="preserve"> </w:t>
      </w:r>
      <w:r>
        <w:t xml:space="preserve">commodity</w:t>
      </w:r>
      <w:r>
        <w:t xml:space="preserve"> </w:t>
      </w:r>
      <w:r>
        <w:t xml:space="preserve">futures</w:t>
      </w:r>
      <w:r>
        <w:t xml:space="preserve"> </w:t>
      </w:r>
      <w:r>
        <w:t xml:space="preserve">markets,</w:t>
      </w:r>
      <w:r>
        <w:t xml:space="preserve"> </w:t>
      </w:r>
      <w:r>
        <w:t xml:space="preserve">increases</w:t>
      </w:r>
      <w:r>
        <w:t xml:space="preserve"> </w:t>
      </w:r>
      <w:r>
        <w:t xml:space="preserve">in</w:t>
      </w:r>
      <w:r>
        <w:t xml:space="preserve"> </w:t>
      </w:r>
      <w:r>
        <w:t xml:space="preserve">biofuel</w:t>
      </w:r>
      <w:r>
        <w:t xml:space="preserve"> </w:t>
      </w:r>
      <w:r>
        <w:t xml:space="preserve">production,</w:t>
      </w:r>
      <w:r>
        <w:t xml:space="preserve"> </w:t>
      </w:r>
      <w:r>
        <w:t xml:space="preserve">and</w:t>
      </w:r>
      <w:r>
        <w:t xml:space="preserve"> </w:t>
      </w:r>
      <w:r>
        <w:t xml:space="preserve">climate</w:t>
      </w:r>
      <w:r>
        <w:t xml:space="preserve"> </w:t>
      </w:r>
      <w:r>
        <w:t xml:space="preserve">change</w:t>
      </w:r>
      <w:r>
        <w:t xml:space="preserve"> </w:t>
      </w:r>
      <w:r>
        <w:t xml:space="preserve">potentially</w:t>
      </w:r>
      <w:r>
        <w:t xml:space="preserve"> </w:t>
      </w:r>
      <w:r>
        <w:t xml:space="preserve">have</w:t>
      </w:r>
      <w:r>
        <w:t xml:space="preserve"> </w:t>
      </w:r>
      <w:r>
        <w:t xml:space="preserve">imposed</w:t>
      </w:r>
      <w:r>
        <w:t xml:space="preserve"> </w:t>
      </w:r>
      <w:r>
        <w:t xml:space="preserve">profound</w:t>
      </w:r>
      <w:r>
        <w:t xml:space="preserve"> </w:t>
      </w:r>
      <w:r>
        <w:t xml:space="preserve">shifts</w:t>
      </w:r>
      <w:r>
        <w:t xml:space="preserve"> </w:t>
      </w:r>
      <w:r>
        <w:t xml:space="preserve">in</w:t>
      </w:r>
      <w:r>
        <w:t xml:space="preserve"> </w:t>
      </w:r>
      <w:r>
        <w:t xml:space="preserve">the</w:t>
      </w:r>
      <w:r>
        <w:t xml:space="preserve"> </w:t>
      </w:r>
      <w:r>
        <w:t xml:space="preserve">way</w:t>
      </w:r>
      <w:r>
        <w:t xml:space="preserve"> </w:t>
      </w:r>
      <w:r>
        <w:t xml:space="preserve">commodity</w:t>
      </w:r>
      <w:r>
        <w:t xml:space="preserve"> </w:t>
      </w:r>
      <w:r>
        <w:t xml:space="preserve">futures</w:t>
      </w:r>
      <w:r>
        <w:t xml:space="preserve"> </w:t>
      </w:r>
      <w:r>
        <w:t xml:space="preserve">markets</w:t>
      </w:r>
      <w:r>
        <w:t xml:space="preserve"> </w:t>
      </w:r>
      <w:r>
        <w:t xml:space="preserve">operate.</w:t>
      </w:r>
      <w:r>
        <w:t xml:space="preserve"> </w:t>
      </w:r>
      <w:r>
        <w:t xml:space="preserve">This</w:t>
      </w:r>
      <w:r>
        <w:t xml:space="preserve"> </w:t>
      </w:r>
      <w:r>
        <w:t xml:space="preserve">article</w:t>
      </w:r>
      <w:r>
        <w:t xml:space="preserve"> </w:t>
      </w:r>
      <w:r>
        <w:t xml:space="preserve">examines</w:t>
      </w:r>
      <w:r>
        <w:t xml:space="preserve"> </w:t>
      </w:r>
      <w:r>
        <w:t xml:space="preserve">the</w:t>
      </w:r>
      <w:r>
        <w:t xml:space="preserve"> </w:t>
      </w:r>
      <w:r>
        <w:t xml:space="preserve">corn</w:t>
      </w:r>
      <w:r>
        <w:t xml:space="preserve"> </w:t>
      </w:r>
      <w:r>
        <w:t xml:space="preserve">market</w:t>
      </w:r>
      <w:r>
        <w:t xml:space="preserve"> </w:t>
      </w:r>
      <w:r>
        <w:t xml:space="preserve">quote-by-quote</w:t>
      </w:r>
      <w:r>
        <w:t xml:space="preserve"> </w:t>
      </w:r>
      <w:r>
        <w:t xml:space="preserve">to</w:t>
      </w:r>
      <w:r>
        <w:t xml:space="preserve"> </w:t>
      </w:r>
      <w:r>
        <w:t xml:space="preserve">develop</w:t>
      </w:r>
      <w:r>
        <w:t xml:space="preserve"> </w:t>
      </w:r>
      <w:r>
        <w:t xml:space="preserve">metrics</w:t>
      </w:r>
      <w:r>
        <w:t xml:space="preserve"> </w:t>
      </w:r>
      <w:r>
        <w:t xml:space="preserve">on</w:t>
      </w:r>
      <w:r>
        <w:t xml:space="preserve"> </w:t>
      </w:r>
      <w:r>
        <w:t xml:space="preserve">liquidity</w:t>
      </w:r>
      <w:r>
        <w:t xml:space="preserve"> </w:t>
      </w:r>
      <w:r>
        <w:t xml:space="preserve">and</w:t>
      </w:r>
      <w:r>
        <w:t xml:space="preserve"> </w:t>
      </w:r>
      <w:r>
        <w:t xml:space="preserve">transmission</w:t>
      </w:r>
      <w:r>
        <w:t xml:space="preserve"> </w:t>
      </w:r>
      <w:r>
        <w:t xml:space="preserve">of</w:t>
      </w:r>
      <w:r>
        <w:t xml:space="preserve"> </w:t>
      </w:r>
      <w:r>
        <w:t xml:space="preserve">information.</w:t>
      </w:r>
      <w:r>
        <w:t xml:space="preserve"> </w:t>
      </w:r>
      <w:r>
        <w:t xml:space="preserve">The</w:t>
      </w:r>
      <w:r>
        <w:t xml:space="preserve"> </w:t>
      </w:r>
      <w:r>
        <w:t xml:space="preserve">metrics</w:t>
      </w:r>
      <w:r>
        <w:t xml:space="preserve"> </w:t>
      </w:r>
      <w:r>
        <w:t xml:space="preserve">are</w:t>
      </w:r>
      <w:r>
        <w:t xml:space="preserve"> </w:t>
      </w:r>
      <w:r>
        <w:t xml:space="preserve">based</w:t>
      </w:r>
      <w:r>
        <w:t xml:space="preserve"> </w:t>
      </w:r>
      <w:r>
        <w:t xml:space="preserve">on</w:t>
      </w:r>
      <w:r>
        <w:t xml:space="preserve"> </w:t>
      </w:r>
      <w:r>
        <w:t xml:space="preserve">insights</w:t>
      </w:r>
      <w:r>
        <w:t xml:space="preserve"> </w:t>
      </w:r>
      <w:r>
        <w:t xml:space="preserve">derived</w:t>
      </w:r>
      <w:r>
        <w:t xml:space="preserve"> </w:t>
      </w:r>
      <w:r>
        <w:t xml:space="preserve">from</w:t>
      </w:r>
      <w:r>
        <w:t xml:space="preserve"> </w:t>
      </w:r>
      <w:r>
        <w:t xml:space="preserve">sequential</w:t>
      </w:r>
      <w:r>
        <w:t xml:space="preserve"> </w:t>
      </w:r>
      <w:r>
        <w:t xml:space="preserve">trading</w:t>
      </w:r>
      <w:r>
        <w:t xml:space="preserve"> </w:t>
      </w:r>
      <w:r>
        <w:t xml:space="preserve">models</w:t>
      </w:r>
      <w:r>
        <w:t xml:space="preserve"> </w:t>
      </w:r>
      <w:r>
        <w:t xml:space="preserve">on</w:t>
      </w:r>
      <w:r>
        <w:t xml:space="preserve"> </w:t>
      </w:r>
      <w:r>
        <w:t xml:space="preserve">single</w:t>
      </w:r>
      <w:r>
        <w:t xml:space="preserve"> </w:t>
      </w:r>
      <w:r>
        <w:t xml:space="preserve">securities,</w:t>
      </w:r>
      <w:r>
        <w:t xml:space="preserve"> </w:t>
      </w:r>
      <w:r>
        <w:t xml:space="preserve">index</w:t>
      </w:r>
      <w:r>
        <w:t xml:space="preserve"> </w:t>
      </w:r>
      <w:r>
        <w:t xml:space="preserve">futures</w:t>
      </w:r>
      <w:r>
        <w:t xml:space="preserve"> </w:t>
      </w:r>
      <w:r>
        <w:t xml:space="preserve">on</w:t>
      </w:r>
      <w:r>
        <w:t xml:space="preserve"> </w:t>
      </w:r>
      <w:r>
        <w:t xml:space="preserve">a</w:t>
      </w:r>
      <w:r>
        <w:t xml:space="preserve"> </w:t>
      </w:r>
      <w:r>
        <w:t xml:space="preserve">basket</w:t>
      </w:r>
      <w:r>
        <w:t xml:space="preserve"> </w:t>
      </w:r>
      <w:r>
        <w:t xml:space="preserve">of</w:t>
      </w:r>
      <w:r>
        <w:t xml:space="preserve"> </w:t>
      </w:r>
      <w:r>
        <w:t xml:space="preserve">securities,</w:t>
      </w:r>
      <w:r>
        <w:t xml:space="preserve"> </w:t>
      </w:r>
      <w:r>
        <w:t xml:space="preserve">and</w:t>
      </w:r>
      <w:r>
        <w:t xml:space="preserve"> </w:t>
      </w:r>
      <w:r>
        <w:t xml:space="preserve">special</w:t>
      </w:r>
      <w:r>
        <w:t xml:space="preserve"> </w:t>
      </w:r>
      <w:r>
        <w:t xml:space="preserve">features</w:t>
      </w:r>
      <w:r>
        <w:t xml:space="preserve"> </w:t>
      </w:r>
      <w:r>
        <w:t xml:space="preserve">of</w:t>
      </w:r>
      <w:r>
        <w:t xml:space="preserve"> </w:t>
      </w:r>
      <w:r>
        <w:t xml:space="preserve">commodity</w:t>
      </w:r>
      <w:r>
        <w:t xml:space="preserve"> </w:t>
      </w:r>
      <w:r>
        <w:t xml:space="preserve">futures</w:t>
      </w:r>
      <w:r>
        <w:t xml:space="preserve"> </w:t>
      </w:r>
      <w:r>
        <w:t xml:space="preserve">markets.</w:t>
      </w:r>
      <w:r>
        <w:t xml:space="preserve"> </w:t>
      </w:r>
      <w:r>
        <w:t xml:space="preserve">Correlation</w:t>
      </w:r>
      <w:r>
        <w:t xml:space="preserve"> </w:t>
      </w:r>
      <w:r>
        <w:t xml:space="preserve">between</w:t>
      </w:r>
      <w:r>
        <w:t xml:space="preserve"> </w:t>
      </w:r>
      <w:r>
        <w:t xml:space="preserve">quote</w:t>
      </w:r>
      <w:r>
        <w:t xml:space="preserve"> </w:t>
      </w:r>
      <w:r>
        <w:t xml:space="preserve">revisions</w:t>
      </w:r>
      <w:r>
        <w:t xml:space="preserve"> </w:t>
      </w:r>
      <w:r>
        <w:t xml:space="preserve">in</w:t>
      </w:r>
      <w:r>
        <w:t xml:space="preserve"> </w:t>
      </w:r>
      <w:r>
        <w:t xml:space="preserve">nearby</w:t>
      </w:r>
      <w:r>
        <w:t xml:space="preserve"> </w:t>
      </w:r>
      <w:r>
        <w:t xml:space="preserve">and</w:t>
      </w:r>
      <w:r>
        <w:t xml:space="preserve"> </w:t>
      </w:r>
      <w:r>
        <w:t xml:space="preserve">deferred</w:t>
      </w:r>
      <w:r>
        <w:t xml:space="preserve"> </w:t>
      </w:r>
      <w:r>
        <w:t xml:space="preserve">contracts</w:t>
      </w:r>
      <w:r>
        <w:t xml:space="preserve"> </w:t>
      </w:r>
      <w:r>
        <w:t xml:space="preserve">measure</w:t>
      </w:r>
      <w:r>
        <w:t xml:space="preserve"> </w:t>
      </w:r>
      <w:r>
        <w:t xml:space="preserve">information-based</w:t>
      </w:r>
      <w:r>
        <w:t xml:space="preserve"> </w:t>
      </w:r>
      <w:r>
        <w:t xml:space="preserve">activity,</w:t>
      </w:r>
      <w:r>
        <w:t xml:space="preserve"> </w:t>
      </w:r>
      <w:r>
        <w:t xml:space="preserve">and</w:t>
      </w:r>
      <w:r>
        <w:t xml:space="preserve"> </w:t>
      </w:r>
      <w:r>
        <w:t xml:space="preserve">correlations</w:t>
      </w:r>
      <w:r>
        <w:t xml:space="preserve"> </w:t>
      </w:r>
      <w:r>
        <w:t xml:space="preserve">between</w:t>
      </w:r>
      <w:r>
        <w:t xml:space="preserve"> </w:t>
      </w:r>
      <w:r>
        <w:t xml:space="preserve">revisions</w:t>
      </w:r>
      <w:r>
        <w:t xml:space="preserve"> </w:t>
      </w:r>
      <w:r>
        <w:t xml:space="preserve">of</w:t>
      </w:r>
      <w:r>
        <w:t xml:space="preserve"> </w:t>
      </w:r>
      <w:r>
        <w:t xml:space="preserve">the</w:t>
      </w:r>
      <w:r>
        <w:t xml:space="preserve"> </w:t>
      </w:r>
      <w:r>
        <w:t xml:space="preserve">time</w:t>
      </w:r>
      <w:r>
        <w:t xml:space="preserve"> </w:t>
      </w:r>
      <w:r>
        <w:t xml:space="preserve">lagged</w:t>
      </w:r>
      <w:r>
        <w:t xml:space="preserve"> </w:t>
      </w:r>
      <w:r>
        <w:t xml:space="preserve">nearby</w:t>
      </w:r>
      <w:r>
        <w:t xml:space="preserve"> </w:t>
      </w:r>
      <w:r>
        <w:t xml:space="preserve">and</w:t>
      </w:r>
      <w:r>
        <w:t xml:space="preserve"> </w:t>
      </w:r>
      <w:r>
        <w:t xml:space="preserve">deferred</w:t>
      </w:r>
      <w:r>
        <w:t xml:space="preserve"> </w:t>
      </w:r>
      <w:r>
        <w:t xml:space="preserve">maturity</w:t>
      </w:r>
      <w:r>
        <w:t xml:space="preserve"> </w:t>
      </w:r>
      <w:r>
        <w:t xml:space="preserve">measure</w:t>
      </w:r>
      <w:r>
        <w:t xml:space="preserve"> </w:t>
      </w:r>
      <w:r>
        <w:t xml:space="preserve">the</w:t>
      </w:r>
      <w:r>
        <w:t xml:space="preserve"> </w:t>
      </w:r>
      <w:r>
        <w:t xml:space="preserve">speed</w:t>
      </w:r>
      <w:r>
        <w:t xml:space="preserve"> </w:t>
      </w:r>
      <w:r>
        <w:t xml:space="preserve">at</w:t>
      </w:r>
      <w:r>
        <w:t xml:space="preserve"> </w:t>
      </w:r>
      <w:r>
        <w:t xml:space="preserve">which</w:t>
      </w:r>
      <w:r>
        <w:t xml:space="preserve"> </w:t>
      </w:r>
      <w:r>
        <w:t xml:space="preserve">information</w:t>
      </w:r>
      <w:r>
        <w:t xml:space="preserve"> </w:t>
      </w:r>
      <w:r>
        <w:t xml:space="preserve">is</w:t>
      </w:r>
      <w:r>
        <w:t xml:space="preserve"> </w:t>
      </w:r>
      <w:r>
        <w:t xml:space="preserve">transmitted</w:t>
      </w:r>
      <w:r>
        <w:t xml:space="preserve"> </w:t>
      </w:r>
      <w:r>
        <w:t xml:space="preserve">among</w:t>
      </w:r>
      <w:r>
        <w:t xml:space="preserve"> </w:t>
      </w:r>
      <w:r>
        <w:t xml:space="preserve">the</w:t>
      </w:r>
      <w:r>
        <w:t xml:space="preserve"> </w:t>
      </w:r>
      <w:r>
        <w:t xml:space="preserve">different</w:t>
      </w:r>
      <w:r>
        <w:t xml:space="preserve"> </w:t>
      </w:r>
      <w:r>
        <w:t xml:space="preserve">futures</w:t>
      </w:r>
      <w:r>
        <w:t xml:space="preserve"> </w:t>
      </w:r>
      <w:r>
        <w:t xml:space="preserve">maturities.</w:t>
      </w:r>
      <w:r>
        <w:t xml:space="preserve"> </w:t>
      </w:r>
      <w:r>
        <w:t xml:space="preserve">Information-based</w:t>
      </w:r>
      <w:r>
        <w:t xml:space="preserve"> </w:t>
      </w:r>
      <w:r>
        <w:t xml:space="preserve">trading</w:t>
      </w:r>
      <w:r>
        <w:t xml:space="preserve"> </w:t>
      </w:r>
      <w:r>
        <w:t xml:space="preserve">results</w:t>
      </w:r>
      <w:r>
        <w:t xml:space="preserve"> </w:t>
      </w:r>
      <w:r>
        <w:t xml:space="preserve">in</w:t>
      </w:r>
      <w:r>
        <w:t xml:space="preserve"> </w:t>
      </w:r>
      <w:r>
        <w:t xml:space="preserve">near</w:t>
      </w:r>
      <w:r>
        <w:t xml:space="preserve"> </w:t>
      </w:r>
      <w:r>
        <w:t xml:space="preserve">perfect</w:t>
      </w:r>
      <w:r>
        <w:t xml:space="preserve"> </w:t>
      </w:r>
      <w:r>
        <w:t xml:space="preserve">correlation</w:t>
      </w:r>
      <w:r>
        <w:t xml:space="preserve"> </w:t>
      </w:r>
      <w:r>
        <w:t xml:space="preserve">between</w:t>
      </w:r>
      <w:r>
        <w:t xml:space="preserve"> </w:t>
      </w:r>
      <w:r>
        <w:t xml:space="preserve">revisions</w:t>
      </w:r>
      <w:r>
        <w:t xml:space="preserve"> </w:t>
      </w:r>
      <w:r>
        <w:t xml:space="preserve">to</w:t>
      </w:r>
      <w:r>
        <w:t xml:space="preserve"> </w:t>
      </w:r>
      <w:r>
        <w:t xml:space="preserve">bids</w:t>
      </w:r>
      <w:r>
        <w:t xml:space="preserve"> </w:t>
      </w:r>
      <w:r>
        <w:t xml:space="preserve">and</w:t>
      </w:r>
      <w:r>
        <w:t xml:space="preserve"> </w:t>
      </w:r>
      <w:r>
        <w:t xml:space="preserve">offers</w:t>
      </w:r>
      <w:r>
        <w:t xml:space="preserve"> </w:t>
      </w:r>
      <w:r>
        <w:t xml:space="preserve">in</w:t>
      </w:r>
      <w:r>
        <w:t xml:space="preserve"> </w:t>
      </w:r>
      <w:r>
        <w:t xml:space="preserve">nearby</w:t>
      </w:r>
      <w:r>
        <w:t xml:space="preserve"> </w:t>
      </w:r>
      <w:r>
        <w:t xml:space="preserve">and</w:t>
      </w:r>
      <w:r>
        <w:t xml:space="preserve"> </w:t>
      </w:r>
      <w:r>
        <w:t xml:space="preserve">deferred</w:t>
      </w:r>
      <w:r>
        <w:t xml:space="preserve"> </w:t>
      </w:r>
      <w:r>
        <w:t xml:space="preserve">contracts.</w:t>
      </w:r>
      <w:r>
        <w:t xml:space="preserve"> </w:t>
      </w:r>
      <w:r>
        <w:t xml:space="preserve">Within</w:t>
      </w:r>
      <w:r>
        <w:t xml:space="preserve"> </w:t>
      </w:r>
      <w:r>
        <w:t xml:space="preserve">one</w:t>
      </w:r>
      <w:r>
        <w:t xml:space="preserve"> </w:t>
      </w:r>
      <w:r>
        <w:t xml:space="preserve">second,</w:t>
      </w:r>
      <w:r>
        <w:t xml:space="preserve"> </w:t>
      </w:r>
      <w:r>
        <w:t xml:space="preserve">information</w:t>
      </w:r>
      <w:r>
        <w:t xml:space="preserve"> </w:t>
      </w:r>
      <w:r>
        <w:t xml:space="preserve">is</w:t>
      </w:r>
      <w:r>
        <w:t xml:space="preserve"> </w:t>
      </w:r>
      <w:r>
        <w:t xml:space="preserve">fully</w:t>
      </w:r>
      <w:r>
        <w:t xml:space="preserve"> </w:t>
      </w:r>
      <w:r>
        <w:t xml:space="preserve">transmitted</w:t>
      </w:r>
      <w:r>
        <w:t xml:space="preserve"> </w:t>
      </w:r>
      <w:r>
        <w:t xml:space="preserve">from</w:t>
      </w:r>
      <w:r>
        <w:t xml:space="preserve"> </w:t>
      </w:r>
      <w:r>
        <w:t xml:space="preserve">nearby</w:t>
      </w:r>
      <w:r>
        <w:t xml:space="preserve"> </w:t>
      </w:r>
      <w:r>
        <w:t xml:space="preserve">to</w:t>
      </w:r>
      <w:r>
        <w:t xml:space="preserve"> </w:t>
      </w:r>
      <w:r>
        <w:t xml:space="preserve">deferred</w:t>
      </w:r>
      <w:r>
        <w:t xml:space="preserve"> </w:t>
      </w:r>
      <w:r>
        <w:t xml:space="preserve">contracts.</w:t>
      </w:r>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and efficacy in the traditional roles of risk mitigation, coordinating production, and coordinating consumption through time</w:t>
      </w:r>
      <w:r>
        <w:t xml:space="preserve"> </w:t>
      </w:r>
      <w:r>
        <w:t xml:space="preserve">(S. H. Irwin and Sanders 2011; Cheng and Xiong 2013; S. H. Irwin and Sanders 2012; Henderson, Pearson, and Wang 2015)</w:t>
      </w:r>
      <w:r>
        <w:t xml:space="preserve">. Further, the recent increase in the production of biofuel from food commodities and volatile crude oil prices has changed the relationship between food and energy commodities</w:t>
      </w:r>
      <w:r>
        <w:t xml:space="preserve"> </w:t>
      </w:r>
      <w:r>
        <w:t xml:space="preserve">(Serra and Zilberman 2013; M. L.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A.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on a tick-by-tick and quote-by-quote basis needs to be considered. Since global price discovery occurs on global futures exchanges for the major food commodities, a detailed consideration of these changes on trading activity, patterns, and consequences is warranted. We use "high frequency data" (time stamped to the second), in order to capture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developed with the particular characteristics of commodity futures markets in mind. In this article, we are motivated to develop initial metrics of information-based activity in commodity markets. We anticipate this work will lead to future developments in the microstructure of commodity markets literature.</w:t>
      </w:r>
    </w:p>
    <w:p>
      <w:r>
        <w:t xml:space="preserve">Even how to develop simple metrics of information-based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liquidity-motivated trades. Each contract responds to information-based shocks because there is a cost to store the physical commodity through time</w:t>
      </w:r>
      <w:r>
        <w:t xml:space="preserve"> </w:t>
      </w:r>
      <w:r>
        <w:t xml:space="preserve">(Working 1948; Working 1949; Brennan 1958)</w:t>
      </w:r>
      <w:r>
        <w:t xml:space="preserve">. Further, each contract maturity attracts different levels of liquidity, and it is not known what impact a lack of liquidity has on information transmission up the forward curve.</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Garcia and Leuthold</w:t>
      </w:r>
      <w:r>
        <w:t xml:space="preserve"> </w:t>
      </w:r>
      <w:r>
        <w:t xml:space="preserve">(1992)</w:t>
      </w:r>
      <w:r>
        <w:t xml:space="preserve"> </w:t>
      </w:r>
      <w:r>
        <w:t xml:space="preserve">examined how USDA announcements are transmitted in nearby and deferred contracts. Using daily price observations and USDA announcement dates, they observe that deferred futures responses are similar to nearby harvest futures, but the information effect is somewhat smaller. Information appears to affect prices over a horizon of at least five days. Informatively, they call for closer examination of intra-day data to develop a more comprehensive understanding of price behavior. In contrast to the results found by Garcia and Leuthold, we find information is fully transmitted within one second, reflecting a market that is highly efficient in transmitting information up the forward curve from nearby to distant contract maturities.</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offer concluding remarks.</w:t>
      </w:r>
    </w:p>
    <w:p>
      <w:pPr>
        <w:pStyle w:val="Heading1"/>
      </w:pPr>
      <w:bookmarkStart w:id="22" w:name="literature-review"/>
      <w:bookmarkEnd w:id="22"/>
      <w:r>
        <w:t xml:space="preserve">Literature Review</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bid-ask spread (BAS) arises when asymmetric information is present even if inventory and transactions costs are assumed to be zero.</w:t>
      </w:r>
      <w:r>
        <w:t xml:space="preserve"> </w:t>
      </w:r>
      <w:r>
        <w:t xml:space="preserve">Copeland and Galai (1983)</w:t>
      </w:r>
      <w:r>
        <w:t xml:space="preserve"> </w:t>
      </w:r>
      <w:r>
        <w:t xml:space="preserve">build on Bagehot's work by assuming that a specific proportion of traders are informed. Knowing this, the market maker adjusts his quoted bids and offers to maximize expected profit. Copeland and Galai's model, however, does not account for the fact that the trades themselves can reveal information about whether or not traders are informed.</w:t>
      </w:r>
      <w:r>
        <w:t xml:space="preserve"> </w:t>
      </w:r>
      <w:r>
        <w:t xml:space="preserve">Glosten and Milgrom (1985)</w:t>
      </w:r>
      <w:r>
        <w:t xml:space="preserve"> </w:t>
      </w:r>
      <w:r>
        <w:t xml:space="preserve">formalize this concept and develop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contrasts with the pooling equilibrium where informed traders place small orders to prevent the market maker from updating his beliefs that an information event has occurred.</w:t>
      </w:r>
    </w:p>
    <w:p>
      <w:r>
        <w:t xml:space="preserve">Hasbrouck (2006)</w:t>
      </w:r>
      <w:r>
        <w:t xml:space="preserve"> </w:t>
      </w:r>
      <w:r>
        <w:t xml:space="preserve">provides an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information-based trading in this way ignores some aspects of futures markets discussed above that are not present in securities markets. For these reasons we seek an alternative to the PIN measure of information-based trading in commodity futures.</w:t>
      </w:r>
    </w:p>
    <w:p>
      <w:r>
        <w:t xml:space="preserve">To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These arbitrageurs are analogous to spread traders who trade in both nearby and deferred futures contracts hoping to profit on relative price movements.</w:t>
      </w:r>
    </w:p>
    <w:p>
      <w:r>
        <w:t xml:space="preserve">There are some important distinctions between the arbitrageurs as proposed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prices of two commodity futures contracts with different maturities depends on many more uncertain structural variables: e.g., domestic and international consumption, exchange rates, production or distribution bottlenecks, or weather. The arbitrageurs in Kumar and Seppi's model need only to wait for others in the marketplace to learn to profit. The futures market spread trader entertains much more risk in betting on relative price changes between two futures maturities.</w:t>
      </w:r>
    </w:p>
    <w:p>
      <w:r>
        <w:t xml:space="preserve">In the next section we draw insights from the sequential trading models described above to generate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versus information-based activity should affect quote revisions in a commodity futures market. Using insights from the Easley and O'Hara models, along with features of commodity futures markets, we generate empirical predictions about the correlations between revisions to quotes in the nearby and deferred maturity commodity futures contracts.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are conducted by uninformed traders demanding liquidity.</w:t>
      </w:r>
    </w:p>
    <w:p>
      <w:r>
        <w:t xml:space="preserve">Conversely, when we observe revisions to the bid or offer, we can infer that the market maker from the Easley and O'Hara models has updated beliefs about information arrival to the market based on past order flows. These revisions to the bid and offer we interpret as indicative of information arriving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actively supply liquidity to the market under a variety of motives. Since the Easley and O'Hara models consider a competitive market maker, it is irrelevant whether there is one market maker in the traditional sense or a large number of traders providing liquidity. Second, when market makers revise their beliefs that an information event has arrived to the market, they know it affects futures contracts of all maturities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 beliefs about an information event having occurred. As a practical matter, many independent traders provide liquidity to the market at any given time, so it is not clear that the Bayesian updating described in the Easley and O'Hara models will happen in all maturities simultaneously. Therefore, it is of interest to consider the relationship between revisions to quotes in the nearby contract at different time lags) and revisions to quotes in deferred maturity contracts.</w:t>
      </w:r>
    </w:p>
    <w:p>
      <w:pPr>
        <w:pStyle w:val="Heading1"/>
      </w:pPr>
      <w:bookmarkStart w:id="25" w:name="data"/>
      <w:bookmarkEnd w:id="25"/>
      <w:r>
        <w:t xml:space="preserve">Data</w:t>
      </w:r>
    </w:p>
    <w:p>
      <w:r>
        <w:t xml:space="preserve">The data used in this analysis come from the CME Group's Top of Book (BBO) database for Globex corn futures quotes and transactions from 01/14/2008-11/4/2011. The data contain the best bid, bid size, best offer, offer size, last trade price, and last trade size of the order book for each active futures contract, time-stamped to the second.</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 For each date in our sample, we consider the first to mature (nearby), one, two, and three contracts deferred. We define the nearby contract to be the next contract to expire unless the date was after the 20th of the month prior to expiration. Then we roll the nearby to the next to expire contract. We rolled the series on the 20th to avoid decreasing volume as the contract neared the delivery period. We also excluded the September futures contract from our analysis because of low trading volume.</w:t>
      </w:r>
      <w:r>
        <w:rPr>
          <w:rStyle w:val="FootnoteRef"/>
        </w:rPr>
        <w:footnoteReference w:id="26"/>
      </w:r>
    </w:p>
    <w:p>
      <w:r>
        <w:t xml:space="preserve">Figure 1 displays average transaction price per day, number of revisions to the ask, number of revisions to the bid, and number of transactions --- all in the nearby contract. The first panel demonstrates that the time period examined was characterized by volatility, uncertainty, and rapid increases in prices in the beginning and end of the sample. Note that prices increased to a peak of nearly $8.00 per bushel in 2008, a time a time that saw a broad class of commodity markets exhibiting similar rapid price increases. The prices in the last half of 2008 were in sharp decline as commodity markets were influenced by the financial meltdown that led to the Great Recession</w:t>
      </w:r>
      <w:r>
        <w:t xml:space="preserve"> </w:t>
      </w:r>
      <w:r>
        <w:t xml:space="preserve">(Caballero, Farhi, and Gourinchas 2008)</w:t>
      </w:r>
      <w:r>
        <w:t xml:space="preserve">.</w:t>
      </w:r>
    </w:p>
    <w:p>
      <w:r>
        <w:t xml:space="preserve">Then a relatively stable period from 2009 and 2010 saw prices within a relatively tight range of $3.00 to $4.50 per bushel. In the final year of the sample, uncertainty and rapid price increases reigned again as worries about a smaller than anticipated crop yield and small ending stocks drove prices to nearly $8.00 per bushel. The number of transactions per day, depicted in the bottom panel, appears to stay within a fairly stable band throughout the sample period -- with perhaps an uptrend during the price spike of 2008 and a slight upward trend toward the end of the sample.</w:t>
      </w:r>
    </w:p>
    <w:p>
      <w:r>
        <w:t xml:space="preserve">The second and third panel display the number of revisions to the best ask and best bid, respectively. The number of quote revisions is fairly stable within a band of about 25,000 to 50,000 revisions from 2008 to mid 2010. The exception being a brief period in late 2008 when the market bottomed after a dramatic fall from a high that summer of nearly $8.00 per bushel. Starting in the latter period of 2010, a notable increase in the number of quote revisions, and the volatility of the number of quote revisions can be observed. While they do not stay within a well-defined band, most days the number of quote revisions fall within a range of 30,000 to 75,000. Because this does not appear to coincide with a commensurate increase in the number of transactions (depicted in the bottom panel of figure 1), one must assume this is due to an increase in quoting strategies particularly suited to electronic markets. A noticeable decrease in the number of transactions, and especially the number of quote revisions is visible during the final weeks of 2008, 2009, and 2010, corresponding to the Christmas and New Year's holiday.</w:t>
      </w:r>
    </w:p>
    <w:p>
      <w:r>
        <w:t xml:space="preserve">While price levels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to trading infrastructure changes that may have occurred during the migration of volume to the electronic exchange. 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X. Wang 2014)</w:t>
      </w:r>
      <w:r>
        <w:t xml:space="preserve">. Since we calculate correlations between updates to the top-of-the book for several contract maturities, simulation would need to preserve the order and timing of within second updates for each respective contract. Since this is virtually impossible and would be subject to error, we aggregate to the second.</w:t>
      </w:r>
      <w:r>
        <w:rPr>
          <w:rStyle w:val="FootnoteRef"/>
        </w:rPr>
        <w:footnoteReference w:id="27"/>
      </w:r>
    </w:p>
    <w:p>
      <w:r>
        <w:t xml:space="preserve">Further, we exclude days on which there was a limit price move in any of the contracts, since when prices are locked at the limit, correlations are not meaningful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 so we dropped this day as well.</w:t>
      </w:r>
    </w:p>
    <w:p>
      <w:pPr>
        <w:pStyle w:val="Heading1"/>
      </w:pPr>
      <w:bookmarkStart w:id="28" w:name="analysis"/>
      <w:bookmarkEnd w:id="28"/>
      <w:r>
        <w:t xml:space="preserve">Analysis</w:t>
      </w:r>
    </w:p>
    <w:p>
      <w:r>
        <w:t xml:space="preserve">Our analysis considers the correlation of logged changes to quotes in the nearby contract to logged changes to quotes in the deferred (1, 2, and 3 maturities). We described, in the Conceptual Framework section, that when information arrives to the market, it should affect the entire forward curve in the same direction. In other words, information that raises the best bid (offer) in the nearby contract, should raise the best bid (offer) in the deferred contracts as well. Linkages between the nearby and deferred contracts can be measured with simple correlations in the absence of a formal model. While correlation analysis may be influenced by non-normality in high frequency price data, it provides a straightforward and robust procedure to assess the linkages across changes in contracts for the time intervals (described below) that we use to analyze our research questions.</w:t>
      </w:r>
    </w:p>
    <w:p>
      <w:r>
        <w:t xml:space="preserve">We have two primary objectives: 1) calculate the strength of correlations between the order books of the nearby and deferred contracts, and 2) measure (or bound) the time it takes for information to be transmitted from nearby to deferred contracts. To measure the first, we calculate contemporaneous (zero time lag) correlations between the log changes of quotes in the nearby and the deferred contracts. Then, to measure the second, we calculate the correlation between time lagged log changes of quotes of the nearby with log changes of quotes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capture how the speed of information transmission changes throughout the trading day, we divide the day into ten minute intervals starting at 9:30am Central Standard Time, the beginning of the daytime trading session for CBOT corn futures. We calculate the correlations described in detail below for each ten minute interval. Ten minutes was shown to be long enough for market adjustment to take place in Lehecka</w:t>
      </w:r>
      <w:r>
        <w:t xml:space="preserve"> </w:t>
      </w:r>
      <w:r>
        <w:t xml:space="preserve">(2014)</w:t>
      </w:r>
      <w:r>
        <w:t xml:space="preserve">. This allows us to detect if there are any discernible patterns to the transmission of information over the trading day. Since one correlation is calculated per day per ten minute interval, for every ten minute interval we recover a distribution of correlations.</w:t>
      </w:r>
    </w:p>
    <w:p>
      <w:pPr>
        <w:pStyle w:val="Heading2"/>
      </w:pPr>
      <w:bookmarkStart w:id="29" w:name="information-based-trading-activity-and-contemporaneous-correlations-in-the-top-of-the-book"/>
      <w:bookmarkEnd w:id="29"/>
      <w:r>
        <w:t xml:space="preserve">Information-Based Trading Activity and Contemporaneous Correlations in the Top of the Book</w:t>
      </w:r>
    </w:p>
    <w:p>
      <w:r>
        <w:t xml:space="preserve">As mentioned, it is common to have multiple revisions to the order book on the same second (and consequently receive the same time-stamp in the data). The converse is also true, however. It is also common for a number of seconds to transpire before the top of the order book is revised - particularly in the middle of the daytime trading session. This results in our variables (i.e., changes in quotes) containing many zeros. How these zeros are distributed between the contracts is related to the concepts of liquidity-based versus information-based activity discussed in the conceptual framework.</w:t>
      </w:r>
    </w:p>
    <w:p>
      <w:r>
        <w:t xml:space="preserve">To fix ideas, consider the possible outcomes when examining contemporaneous log changes in the top of the book between the nearby and the deferred contracts. There are three possibilities; on any time stamp one of the three situations may occur: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we present a case for interpreting (1) as information-based activity, (2) liquidity-based activity, and (3) liquidity-based activity.</w:t>
      </w:r>
      <w:r>
        <w:rPr>
          <w:rStyle w:val="FootnoteRef"/>
        </w:rPr>
        <w:footnoteReference w:id="30"/>
      </w:r>
    </w:p>
    <w:p>
      <w:r>
        <w:t xml:space="preserve">The intuition is that if both the nearby and deferred contracts experience a revision in the same direction, they are likely responding to the arrival of information to the marketplace, and best bids (offers) adjust accordingly. This is in contrast to the case where one of the two contracts experiences a revision to the bid (offer) and the other contract has no change. If one contract experiences a revision in the best bid (offer) and the other does not, it is likely that the revision results from a liquidity-based order in traders' efforts to exit their positions.</w:t>
      </w:r>
    </w:p>
    <w:p>
      <w:r>
        <w:t xml:space="preserve">If this intuition is correct, it is informative to consider only time-stamps for which both contracts experienced a revision - that is isolating what we are referring to as information-based activity to case (1) above.</w:t>
      </w:r>
    </w:p>
    <w:p>
      <w:r>
        <w:t xml:space="preserve">Equation</w:t>
      </w:r>
      <w:r>
        <w:t xml:space="preserve"> </w:t>
      </w:r>
      <w:r>
        <w:t xml:space="preserve"> </w:t>
      </w:r>
      <w:r>
        <w:t xml:space="preserve">indicates that we calculate the correlation between the log change of the nearby best bids,</w:t>
      </w:r>
      <w:r>
        <w:t xml:space="preserve"> </w:t>
      </w:r>
      <m:oMath>
        <m:r>
          <m:rPr>
            <m:sty m:val="p"/>
          </m:rPr>
          <m:t>b</m:t>
        </m:r>
        <m:r>
          <m:rPr>
            <m:sty m:val="p"/>
          </m:rPr>
          <m:t>i</m:t>
        </m:r>
        <m:sSubSup>
          <m:e>
            <m:r>
              <m:rPr>
                <m:sty m:val="p"/>
              </m:rPr>
              <m:t>d</m:t>
            </m:r>
          </m:e>
          <m:sub>
            <m:r>
              <m:rPr>
                <m:sty m:val="p"/>
              </m:rPr>
              <m:t>t</m:t>
            </m:r>
            <m:r>
              <m:rPr>
                <m:sty m:val="p"/>
              </m:rPr>
              <m:t>i</m:t>
            </m:r>
          </m:sub>
          <m:sup>
            <m:r>
              <m:rPr>
                <m:sty m:val="p"/>
              </m:rPr>
              <m:t>N</m:t>
            </m:r>
          </m:sup>
        </m:sSubSup>
      </m:oMath>
      <w:r>
        <w:t xml:space="preserve">, and the log change of the deferred best bids,</w:t>
      </w:r>
      <w:r>
        <w:t xml:space="preserve"> </w:t>
      </w:r>
      <m:oMath>
        <m:r>
          <m:rPr>
            <m:sty m:val="p"/>
          </m:rPr>
          <m:t>b</m:t>
        </m:r>
        <m:r>
          <m:rPr>
            <m:sty m:val="p"/>
          </m:rPr>
          <m:t>i</m:t>
        </m:r>
        <m:sSubSup>
          <m:e>
            <m:r>
              <m:rPr>
                <m:sty m:val="p"/>
              </m:rPr>
              <m:t>d</m:t>
            </m:r>
          </m:e>
          <m:sub>
            <m:r>
              <m:rPr>
                <m:sty m:val="p"/>
              </m:rPr>
              <m:t>t</m:t>
            </m:r>
            <m:r>
              <m:rPr>
                <m:sty m:val="p"/>
              </m:rPr>
              <m:t>i</m:t>
            </m:r>
          </m:sub>
          <m:sup>
            <m:r>
              <m:rPr>
                <m:sty m:val="p"/>
              </m:rPr>
              <m:t>D</m:t>
            </m:r>
          </m:sup>
        </m:sSubSup>
      </m:oMath>
      <w:r>
        <w:t xml:space="preserve">, 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nearby and the deferred best bid log changes differ from zero (</w:t>
      </w:r>
      <m:oMath>
        <m:r>
          <m:rPr>
            <m:sty m:val="p"/>
          </m:rPr>
          <m:t>b</m:t>
        </m:r>
        <m:r>
          <m:rPr>
            <m:sty m:val="p"/>
          </m:rPr>
          <m:t>i</m:t>
        </m:r>
        <m:sSubSup>
          <m:e>
            <m:r>
              <m:rPr>
                <m:sty m:val="p"/>
              </m:rPr>
              <m:t>d</m:t>
            </m:r>
          </m:e>
          <m:sub>
            <m:r>
              <m:rPr>
                <m:sty m:val="p"/>
              </m:rPr>
              <m:t>t</m:t>
            </m:r>
            <m:r>
              <m:rPr>
                <m:sty m:val="p"/>
              </m:rPr>
              <m:t>i</m:t>
            </m:r>
          </m:sub>
          <m:sup>
            <m:r>
              <m:rPr>
                <m:sty m:val="p"/>
              </m:rPr>
              <m:t>N</m:t>
            </m:r>
          </m:sup>
        </m:sSubSup>
        <m:r>
          <m:rPr>
            <m:sty m:val="p"/>
          </m:rPr>
          <m:t> </m:t>
        </m:r>
        <m:r>
          <m:rPr>
            <m:sty m:val="p"/>
          </m:rPr>
          <m:t>and</m:t>
        </m:r>
        <m:r>
          <m:rPr>
            <m:sty m:val="p"/>
          </m:rPr>
          <m:t> </m:t>
        </m:r>
        <m:r>
          <m:rPr>
            <m:sty m:val="p"/>
          </m:rPr>
          <m:t>b</m:t>
        </m:r>
        <m:r>
          <m:rPr>
            <m:sty m:val="p"/>
          </m:rPr>
          <m:t>i</m:t>
        </m:r>
        <m:sSubSup>
          <m:e>
            <m:r>
              <m:rPr>
                <m:sty m:val="p"/>
              </m:rPr>
              <m:t>d</m:t>
            </m:r>
          </m:e>
          <m:sub>
            <m:r>
              <m:rPr>
                <m:sty m:val="p"/>
              </m:rPr>
              <m:t>t</m:t>
            </m:r>
            <m:r>
              <m:rPr>
                <m:sty m:val="p"/>
              </m:rPr>
              <m:t>i</m:t>
            </m:r>
          </m:sub>
          <m:sup>
            <m:r>
              <m:rPr>
                <m:sty m:val="p"/>
              </m:rPr>
              <m:t>D</m:t>
            </m:r>
          </m:sup>
        </m:sSubSup>
        <m:r>
          <m:rPr>
            <m:sty m:val="p"/>
          </m:rPr>
          <m:t>≠</m:t>
        </m:r>
        <m:r>
          <m:rPr>
            <m:sty m:val="p"/>
          </m:rPr>
          <m:t>0</m:t>
        </m:r>
      </m:oMath>
      <w:r>
        <w:t xml:space="preserve">). A similar analysis is performed for the offers, using equation</w:t>
      </w:r>
      <w:r>
        <w:t xml:space="preserve"> </w:t>
      </w:r>
      <w:r>
        <w:t xml:space="preserve">.</w:t>
      </w:r>
    </w:p>
    <w:p>
      <w:r>
        <w:t xml:space="preserve">Equation</w:t>
      </w:r>
      <w:r>
        <w:t xml:space="preserve"> </w:t>
      </w:r>
      <w:r>
        <w:t xml:space="preserve"> </w:t>
      </w:r>
      <w:r>
        <w:t xml:space="preserve">calculates the correlation between the log change of the nearby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N</m:t>
            </m:r>
          </m:sup>
        </m:sSubSup>
      </m:oMath>
      <w:r>
        <w:t xml:space="preserve">, and the log change of the deferred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oMath>
      <w:r>
        <w:t xml:space="preserve"> </w:t>
      </w:r>
      <w:r>
        <w:t xml:space="preserve">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nearby and the deferred best offer differ from zero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N</m:t>
            </m:r>
          </m:sup>
        </m:sSubSup>
        <m:r>
          <m:rPr>
            <m:sty m:val="p"/>
          </m:rPr>
          <m:t> </m:t>
        </m:r>
        <m:r>
          <m:rPr>
            <m:sty m:val="p"/>
          </m:rPr>
          <m:t>and</m:t>
        </m:r>
        <m:r>
          <m:rPr>
            <m:sty m:val="p"/>
          </m:rPr>
          <m:t> </m:t>
        </m:r>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r>
          <m:rPr>
            <m:sty m:val="p"/>
          </m:rPr>
          <m:t>≠</m:t>
        </m:r>
        <m:r>
          <m:rPr>
            <m:sty m:val="p"/>
          </m:rPr>
          <m:t>0</m:t>
        </m:r>
      </m:oMath>
      <w:r>
        <w:t xml:space="preserve">).</w:t>
      </w:r>
    </w:p>
    <w:p>
      <w:r>
        <w:t xml:space="preserve">The correlations from equations</w:t>
      </w:r>
      <w:r>
        <w:t xml:space="preserve"> </w:t>
      </w:r>
      <w:r>
        <w:t xml:space="preserve"> </w:t>
      </w:r>
      <w:r>
        <w:t xml:space="preserve">and</w:t>
      </w:r>
      <w:r>
        <w:t xml:space="preserve"> </w:t>
      </w:r>
      <w:r>
        <w:t xml:space="preserve"> </w:t>
      </w:r>
      <w:r>
        <w:t xml:space="preserve">are calculated for the nearby and one deferred, nearby and two deferred, and nearby and three deferred contracts.</w:t>
      </w:r>
    </w:p>
    <w:p>
      <w:pPr>
        <w:pStyle w:val="Heading2"/>
      </w:pPr>
      <w:bookmarkStart w:id="31" w:name="speed-of-information-transmission-and-time-lagged-correlations-in-the-top-of-the-book"/>
      <w:bookmarkEnd w:id="31"/>
      <w:r>
        <w:t xml:space="preserve">Speed of Information Transmission and Time-Lagged Correlations in the Top of the Book</w:t>
      </w:r>
    </w:p>
    <w:p>
      <w:r>
        <w:t xml:space="preserve">To provide insights on the speed at which information is transmitted from the nearby to the deferred contracts, we lag the nearby series of log changes in the bid (offer) and calculate the correlation with the deferred bids (offers). This allows us to determine the length of time it takes for information to be fully transmitted to the deferred contracts. The assumption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Equation</w:t>
      </w:r>
      <w:r>
        <w:t xml:space="preserve"> </w:t>
      </w:r>
      <w:r>
        <w:t xml:space="preserve"> </w:t>
      </w:r>
      <w:r>
        <w:t xml:space="preserve">calculates the correlation between the lagged log change of the nearby best bid,</w:t>
      </w:r>
      <w:r>
        <w:t xml:space="preserve"> </w:t>
      </w:r>
      <m:oMath>
        <m:r>
          <m:rPr>
            <m:sty m:val="p"/>
          </m:rPr>
          <m:t>b</m:t>
        </m:r>
        <m:r>
          <m:rPr>
            <m:sty m:val="p"/>
          </m:rPr>
          <m:t>i</m:t>
        </m:r>
        <m:sSubSup>
          <m:e>
            <m:r>
              <m:rPr>
                <m:sty m:val="p"/>
              </m:rPr>
              <m:t>d</m:t>
            </m:r>
          </m:e>
          <m:sub>
            <m:r>
              <m:rPr>
                <m:sty m:val="p"/>
              </m:rPr>
              <m:t>t</m:t>
            </m:r>
            <m:r>
              <m:rPr>
                <m:sty m:val="p"/>
              </m:rPr>
              <m:t>(</m:t>
            </m:r>
            <m:r>
              <m:rPr>
                <m:sty m:val="p"/>
              </m:rPr>
              <m:t>i</m:t>
            </m:r>
            <m:r>
              <m:rPr>
                <m:sty m:val="p"/>
              </m:rPr>
              <m:t>−</m:t>
            </m:r>
            <m:r>
              <m:rPr>
                <m:sty m:val="p"/>
              </m:rPr>
              <m:t>1</m:t>
            </m:r>
            <m:r>
              <m:rPr>
                <m:sty m:val="p"/>
              </m:rPr>
              <m:t>)</m:t>
            </m:r>
          </m:sub>
          <m:sup>
            <m:r>
              <m:rPr>
                <m:sty m:val="p"/>
              </m:rPr>
              <m:t>N</m:t>
            </m:r>
          </m:sup>
        </m:sSubSup>
      </m:oMath>
      <w:r>
        <w:t xml:space="preserve">, and the log change of the deferred best bid,</w:t>
      </w:r>
      <w:r>
        <w:t xml:space="preserve"> </w:t>
      </w:r>
      <m:oMath>
        <m:r>
          <m:rPr>
            <m:sty m:val="p"/>
          </m:rPr>
          <m:t>b</m:t>
        </m:r>
        <m:r>
          <m:rPr>
            <m:sty m:val="p"/>
          </m:rPr>
          <m:t>i</m:t>
        </m:r>
        <m:sSubSup>
          <m:e>
            <m:r>
              <m:rPr>
                <m:sty m:val="p"/>
              </m:rPr>
              <m:t>d</m:t>
            </m:r>
          </m:e>
          <m:sub>
            <m:r>
              <m:rPr>
                <m:sty m:val="p"/>
              </m:rPr>
              <m:t>t</m:t>
            </m:r>
            <m:r>
              <m:rPr>
                <m:sty m:val="p"/>
              </m:rPr>
              <m:t>i</m:t>
            </m:r>
          </m:sub>
          <m:sup>
            <m:r>
              <m:rPr>
                <m:sty m:val="p"/>
              </m:rPr>
              <m:t>D</m:t>
            </m:r>
          </m:sup>
        </m:sSubSup>
      </m:oMath>
      <w:r>
        <w:t xml:space="preserve"> </w:t>
      </w:r>
      <w:r>
        <w:t xml:space="preserve">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lagged nearby and the deferred best bid differ from zero (</w:t>
      </w:r>
      <m:oMath>
        <m:r>
          <m:rPr>
            <m:sty m:val="p"/>
          </m:rPr>
          <m:t>b</m:t>
        </m:r>
        <m:r>
          <m:rPr>
            <m:sty m:val="p"/>
          </m:rPr>
          <m:t>i</m:t>
        </m:r>
        <m:sSubSup>
          <m:e>
            <m:r>
              <m:rPr>
                <m:sty m:val="p"/>
              </m:rPr>
              <m:t>d</m:t>
            </m:r>
          </m:e>
          <m:sub>
            <m:r>
              <m:rPr>
                <m:sty m:val="p"/>
              </m:rPr>
              <m:t>t</m:t>
            </m:r>
            <m:r>
              <m:rPr>
                <m:sty m:val="p"/>
              </m:rPr>
              <m:t>(</m:t>
            </m:r>
            <m:r>
              <m:rPr>
                <m:sty m:val="p"/>
              </m:rPr>
              <m:t>i</m:t>
            </m:r>
            <m:r>
              <m:rPr>
                <m:sty m:val="p"/>
              </m:rPr>
              <m:t>−</m:t>
            </m:r>
            <m:r>
              <m:rPr>
                <m:sty m:val="p"/>
              </m:rPr>
              <m:t>1</m:t>
            </m:r>
            <m:r>
              <m:rPr>
                <m:sty m:val="p"/>
              </m:rPr>
              <m:t>)</m:t>
            </m:r>
          </m:sub>
          <m:sup>
            <m:r>
              <m:rPr>
                <m:sty m:val="p"/>
              </m:rPr>
              <m:t>N</m:t>
            </m:r>
          </m:sup>
        </m:sSubSup>
        <m:r>
          <m:rPr>
            <m:sty m:val="p"/>
          </m:rPr>
          <m:t> </m:t>
        </m:r>
        <m:r>
          <m:rPr>
            <m:sty m:val="p"/>
          </m:rPr>
          <m:t>and</m:t>
        </m:r>
        <m:r>
          <m:rPr>
            <m:sty m:val="p"/>
          </m:rPr>
          <m:t> </m:t>
        </m:r>
        <m:r>
          <m:rPr>
            <m:sty m:val="p"/>
          </m:rPr>
          <m:t>b</m:t>
        </m:r>
        <m:r>
          <m:rPr>
            <m:sty m:val="p"/>
          </m:rPr>
          <m:t>i</m:t>
        </m:r>
        <m:sSubSup>
          <m:e>
            <m:r>
              <m:rPr>
                <m:sty m:val="p"/>
              </m:rPr>
              <m:t>d</m:t>
            </m:r>
          </m:e>
          <m:sub>
            <m:r>
              <m:rPr>
                <m:sty m:val="p"/>
              </m:rPr>
              <m:t>t</m:t>
            </m:r>
            <m:r>
              <m:rPr>
                <m:sty m:val="p"/>
              </m:rPr>
              <m:t>i</m:t>
            </m:r>
          </m:sub>
          <m:sup>
            <m:r>
              <m:rPr>
                <m:sty m:val="p"/>
              </m:rPr>
              <m:t>D</m:t>
            </m:r>
          </m:sup>
        </m:sSubSup>
        <m:r>
          <m:rPr>
            <m:sty m:val="p"/>
          </m:rPr>
          <m:t>≠</m:t>
        </m:r>
        <m:r>
          <m:rPr>
            <m:sty m:val="p"/>
          </m:rPr>
          <m:t>0</m:t>
        </m:r>
      </m:oMath>
      <w:r>
        <w:t xml:space="preserve">).</w:t>
      </w:r>
    </w:p>
    <w:p>
      <w:r>
        <w:t xml:space="preserve">Similarly, equation</w:t>
      </w:r>
      <w:r>
        <w:t xml:space="preserve"> </w:t>
      </w:r>
      <w:r>
        <w:t xml:space="preserve"> </w:t>
      </w:r>
      <w:r>
        <w:t xml:space="preserve">calculates the correlation between the lagged log change of the nearby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m:t>
            </m:r>
            <m:r>
              <m:rPr>
                <m:sty m:val="p"/>
              </m:rPr>
              <m:t>i</m:t>
            </m:r>
            <m:r>
              <m:rPr>
                <m:sty m:val="p"/>
              </m:rPr>
              <m:t>−</m:t>
            </m:r>
            <m:r>
              <m:rPr>
                <m:sty m:val="p"/>
              </m:rPr>
              <m:t>1</m:t>
            </m:r>
            <m:r>
              <m:rPr>
                <m:sty m:val="p"/>
              </m:rPr>
              <m:t>)</m:t>
            </m:r>
          </m:sub>
          <m:sup>
            <m:r>
              <m:rPr>
                <m:sty m:val="p"/>
              </m:rPr>
              <m:t>N</m:t>
            </m:r>
          </m:sup>
        </m:sSubSup>
      </m:oMath>
      <w:r>
        <w:t xml:space="preserve">, and the log change of the deferred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oMath>
      <w:r>
        <w:t xml:space="preserve"> </w:t>
      </w:r>
      <w:r>
        <w:t xml:space="preserve">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lagged nearby and the deferred best offer differ from zero (</w:t>
      </w:r>
      <m:oMath>
        <m:r>
          <m:rPr>
            <m:sty m:val="p"/>
          </m:rPr>
          <m:t>o</m:t>
        </m:r>
        <m:r>
          <m:rPr>
            <m:sty m:val="p"/>
          </m:rPr>
          <m:t>f</m:t>
        </m:r>
        <m:r>
          <m:rPr>
            <m:sty m:val="p"/>
          </m:rPr>
          <m:t>f</m:t>
        </m:r>
        <m:r>
          <m:rPr>
            <m:sty m:val="p"/>
          </m:rPr>
          <m:t>e</m:t>
        </m:r>
        <m:sSubSup>
          <m:e>
            <m:r>
              <m:rPr>
                <m:sty m:val="p"/>
              </m:rPr>
              <m:t>r</m:t>
            </m:r>
          </m:e>
          <m:sub>
            <m:r>
              <m:rPr>
                <m:sty m:val="p"/>
              </m:rPr>
              <m:t>t</m:t>
            </m:r>
            <m:r>
              <m:rPr>
                <m:sty m:val="p"/>
              </m:rPr>
              <m:t>(</m:t>
            </m:r>
            <m:r>
              <m:rPr>
                <m:sty m:val="p"/>
              </m:rPr>
              <m:t>i</m:t>
            </m:r>
            <m:r>
              <m:rPr>
                <m:sty m:val="p"/>
              </m:rPr>
              <m:t>−</m:t>
            </m:r>
            <m:r>
              <m:rPr>
                <m:sty m:val="p"/>
              </m:rPr>
              <m:t>1</m:t>
            </m:r>
            <m:r>
              <m:rPr>
                <m:sty m:val="p"/>
              </m:rPr>
              <m:t>)</m:t>
            </m:r>
          </m:sub>
          <m:sup>
            <m:r>
              <m:rPr>
                <m:sty m:val="p"/>
              </m:rPr>
              <m:t>N</m:t>
            </m:r>
          </m:sup>
        </m:sSubSup>
        <m:r>
          <m:rPr>
            <m:sty m:val="p"/>
          </m:rPr>
          <m:t> </m:t>
        </m:r>
        <m:r>
          <m:rPr>
            <m:sty m:val="p"/>
          </m:rPr>
          <m:t>and</m:t>
        </m:r>
        <m:r>
          <m:rPr>
            <m:sty m:val="p"/>
          </m:rPr>
          <m:t> </m:t>
        </m:r>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r>
          <m:rPr>
            <m:sty m:val="p"/>
          </m:rPr>
          <m:t>≠</m:t>
        </m:r>
        <m:r>
          <m:rPr>
            <m:sty m:val="p"/>
          </m:rPr>
          <m:t>0</m:t>
        </m:r>
      </m:oMath>
      <w:r>
        <w:t xml:space="preserve">).</w:t>
      </w:r>
    </w:p>
    <w:p>
      <w:pPr>
        <w:pStyle w:val="Heading2"/>
      </w:pPr>
      <w:bookmarkStart w:id="32" w:name="spread-trades-information-transmission-and-time-lagged-bid-to-offer-offer-to-bid-correlations"/>
      <w:bookmarkEnd w:id="32"/>
      <w:r>
        <w:t xml:space="preserve">Spread Trades, Information Transmission, and Time-Lagged Bid-to-Offer (Offer-to-Bid) Correlations</w:t>
      </w:r>
    </w:p>
    <w:p>
      <w:r>
        <w:t xml:space="preserve">Surely the spread trade is an important component that keeps nearby and deferred contracts linked in economically meaningful ways. However, a spread trade is entered as a buy (sell) in the nearby and a sell (buy) in the deferred contract. Until now, we have presented correlations between bid-to-bid and offer-to-offer in the nearby and deferred contracts. In equation 5, we measure the effect of spread traders in transmitting information up the forward curve, by calculating correlations between lagged log changes in the nearby bid and log changes in the deferred offer.</w:t>
      </w:r>
    </w:p>
    <w:p>
      <w:r>
        <w:t xml:space="preserve">More specifically, equation 5 measures the correlation between the lagged log change of the nearby best bid,</w:t>
      </w:r>
      <w:r>
        <w:t xml:space="preserve"> </w:t>
      </w:r>
      <m:oMath>
        <m:r>
          <m:rPr>
            <m:sty m:val="p"/>
          </m:rPr>
          <m:t>b</m:t>
        </m:r>
        <m:r>
          <m:rPr>
            <m:sty m:val="p"/>
          </m:rPr>
          <m:t>i</m:t>
        </m:r>
        <m:sSubSup>
          <m:e>
            <m:r>
              <m:rPr>
                <m:sty m:val="p"/>
              </m:rPr>
              <m:t>d</m:t>
            </m:r>
          </m:e>
          <m:sub>
            <m:r>
              <m:rPr>
                <m:sty m:val="p"/>
              </m:rPr>
              <m:t>t</m:t>
            </m:r>
            <m:r>
              <m:rPr>
                <m:sty m:val="p"/>
              </m:rPr>
              <m:t>(</m:t>
            </m:r>
            <m:r>
              <m:rPr>
                <m:sty m:val="p"/>
              </m:rPr>
              <m:t>i</m:t>
            </m:r>
            <m:r>
              <m:rPr>
                <m:sty m:val="p"/>
              </m:rPr>
              <m:t>−</m:t>
            </m:r>
            <m:r>
              <m:rPr>
                <m:sty m:val="p"/>
              </m:rPr>
              <m:t>1</m:t>
            </m:r>
            <m:r>
              <m:rPr>
                <m:sty m:val="p"/>
              </m:rPr>
              <m:t>)</m:t>
            </m:r>
          </m:sub>
          <m:sup>
            <m:r>
              <m:rPr>
                <m:sty m:val="p"/>
              </m:rPr>
              <m:t>N</m:t>
            </m:r>
          </m:sup>
        </m:sSubSup>
      </m:oMath>
      <w:r>
        <w:t xml:space="preserve">, and the log change of the deferred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oMath>
      <w:r>
        <w:t xml:space="preserve">, 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lagged nearby and the deferred best offer are not equal to zero, when both the lagged nearby offer and the deferred best offer are different from zero (</w:t>
      </w:r>
      <m:oMath>
        <m:r>
          <m:rPr>
            <m:sty m:val="p"/>
          </m:rPr>
          <m:t>b</m:t>
        </m:r>
        <m:r>
          <m:rPr>
            <m:sty m:val="p"/>
          </m:rPr>
          <m:t>i</m:t>
        </m:r>
        <m:sSubSup>
          <m:e>
            <m:r>
              <m:rPr>
                <m:sty m:val="p"/>
              </m:rPr>
              <m:t>d</m:t>
            </m:r>
          </m:e>
          <m:sub>
            <m:r>
              <m:rPr>
                <m:sty m:val="p"/>
              </m:rPr>
              <m:t>t</m:t>
            </m:r>
            <m:r>
              <m:rPr>
                <m:sty m:val="p"/>
              </m:rPr>
              <m:t>(</m:t>
            </m:r>
            <m:r>
              <m:rPr>
                <m:sty m:val="p"/>
              </m:rPr>
              <m:t>i</m:t>
            </m:r>
            <m:r>
              <m:rPr>
                <m:sty m:val="p"/>
              </m:rPr>
              <m:t>−</m:t>
            </m:r>
            <m:r>
              <m:rPr>
                <m:sty m:val="p"/>
              </m:rPr>
              <m:t>1</m:t>
            </m:r>
            <m:r>
              <m:rPr>
                <m:sty m:val="p"/>
              </m:rPr>
              <m:t>)</m:t>
            </m:r>
          </m:sub>
          <m:sup>
            <m:r>
              <m:rPr>
                <m:sty m:val="p"/>
              </m:rPr>
              <m:t>N</m:t>
            </m:r>
          </m:sup>
        </m:sSubSup>
        <m:r>
          <m:rPr>
            <m:sty m:val="p"/>
          </m:rPr>
          <m:t> </m:t>
        </m:r>
        <m:r>
          <m:rPr>
            <m:sty m:val="p"/>
          </m:rPr>
          <m:t>and</m:t>
        </m:r>
        <m:r>
          <m:rPr>
            <m:sty m:val="p"/>
          </m:rPr>
          <m:t> </m:t>
        </m:r>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r>
          <m:rPr>
            <m:sty m:val="p"/>
          </m:rPr>
          <m:t>≠</m:t>
        </m:r>
        <m:r>
          <m:rPr>
            <m:sty m:val="p"/>
          </m:rPr>
          <m:t>0</m:t>
        </m:r>
      </m:oMath>
      <w:r>
        <w:t xml:space="preserve">).</w:t>
      </w:r>
    </w:p>
    <w:p>
      <w:r>
        <w:t xml:space="preserve">Similarly for equation</w:t>
      </w:r>
      <w:r>
        <w:t xml:space="preserve"> </w:t>
      </w:r>
      <w:r>
        <w:t xml:space="preserve"> </w:t>
      </w:r>
      <w:r>
        <w:t xml:space="preserve">we calculate the same correlations as in equation</w:t>
      </w:r>
      <w:r>
        <w:t xml:space="preserve"> </w:t>
      </w:r>
      <w:r>
        <w:t xml:space="preserve"> </w:t>
      </w:r>
      <w:r>
        <w:t xml:space="preserve">except that we use the lagged nearby offer and the deferred bid.</w:t>
      </w:r>
    </w:p>
    <w:p>
      <w:pPr>
        <w:pStyle w:val="Heading2"/>
      </w:pPr>
      <w:bookmarkStart w:id="33" w:name="usda-announcement-days"/>
      <w:bookmarkEnd w:id="33"/>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separate out days on which major USDA reports are released and calculate the same correlations described above. The allows us to examine whether there is a detectable difference in information-based trading and the speed of information transmission on USDA report release days compared to a typical trading day. During our sample period, the USDA reports were released at 8:30 am CST, before the daytime trading session began. We separate days on which the following reports were released: WASDE, Crop Production, Prospective Planting, Planted Acres, and Grain Stocks.</w:t>
      </w:r>
    </w:p>
    <w:p>
      <w:pPr>
        <w:pStyle w:val="Heading1"/>
      </w:pPr>
      <w:bookmarkStart w:id="34" w:name="results"/>
      <w:bookmarkEnd w:id="34"/>
      <w:r>
        <w:t xml:space="preserve">Results</w:t>
      </w:r>
    </w:p>
    <w:p>
      <w:r>
        <w:t xml:space="preserve">Table 2 contains the structure of the results that are presented as figures 2, 3, and 4. Figure 2 sheds light on information-based trading and presents the strength of the link between the nearby and deferred contracts by calculating the contemporaneous correlation between log changes of nearby bids (offers) and log changes of deferred bids (offers). Figure 3 investigates the speed of information transmission by presenting the strength of the correlation of log changes of nearby bids (offers) and log changes of first deferred bids (offers) at time lags of 0, 1, and 10 seconds. Figure 4 shows spread trades information transmission through the correlation of log changes of nearby bids (offers) and log changes of first deferred offers (bids) at time lags of 0, 1, and 10 seconds. Each figure is organized in a similar way. The top two panes show correlations with the nearby bid and offer, respectively, while the bottom panels show the same information on USDA report days. The dots represent the mean of the distribution of calculated correlations and the bars represent one standard deviation of the distribution of calculated correlations.</w:t>
      </w:r>
    </w:p>
    <w:p>
      <w:pPr>
        <w:pStyle w:val="Heading2"/>
      </w:pPr>
      <w:bookmarkStart w:id="35" w:name="information-based-trading-activity-and-contemporaneous-correlations-in-the-top-of-the-book-1"/>
      <w:bookmarkEnd w:id="35"/>
      <w:r>
        <w:t xml:space="preserve">Information-Based Trading Activity and Contemporaneous Correlations in the Top of the Book</w:t>
      </w:r>
    </w:p>
    <w:p>
      <w:r>
        <w:t xml:space="preserve">In figure 2 contemporaneous correlation between the nearby and one, two, and three deferred maturity contracts are displayed. Calculations are made based on time-stamps where both the nearby and deferred maturity experience non-zero revisions to the best bid (top panel) or offer (second panel). The contemporaneous correlations between each nearby and deferred contract pairs are very close to one for both best bids (top panel) and best offers (second panel). The exception being that there is a slight dip in correlations at the first and last ten minutes of the trading day.</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a minimum of 0.25 cent increments.), the correlations are too strong to attribute it all to that. Additionally, since our data is only time-stamped to the second, we may miss nuance that would be captured with data time stamped to the millisecond. Regardless, the result is surprisingly strong and indicates that information is largely transmitted up the forward curve in less than one second. It is interesting that the distribution of correlations between the nearby and 1, 2, and 3 deferred contract bids are at such similar levels, hovering very close to one. Transmission of information to the third deferred contract seems to be as strong as transmission to the first deferred contract.</w:t>
      </w:r>
    </w:p>
    <w:p>
      <w:r>
        <w:t xml:space="preserve">The bottom two panels of figure 2 are exactly analogous to the top two except that they focus on USDA report days. We see a remarkably similar depiction compared in that the correlations hover near one throughout the trading day. If there had been a difference in the pattern of correlations on USDA report days, one would expect the first ten minutes of trading to display the largest effect. There is visibly more variation in the means of these distributions, which could also be a reflection of the smaller sample of report days versus non-report days.</w:t>
      </w:r>
    </w:p>
    <w:p>
      <w:r>
        <w:t xml:space="preserve">We suspect two primary reasons that the full sample and USDA report day results are so similar: 1) Since we removed days where the report release corresponded to limit price moves, we systematically removed report days where the most important information was conferred on the market. As a result, the remaining days corresponding to USDA reports were more easily translated to market impacts by traders, and thus created results in figure 2 that look similar to a normal trading day.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6" w:name="speed-of-information-transmission-and-time-lagged-correlations-in-the-top-of-the-book-1"/>
      <w:bookmarkEnd w:id="36"/>
      <w:r>
        <w:t xml:space="preserve">Speed of Information Transmission and Time-Lagged Correlations in the Top of the Book</w:t>
      </w:r>
    </w:p>
    <w:p>
      <w:r>
        <w:t xml:space="preserve">Figure 3 contains the correlations between log changes of the nearby and log changes of one deferred contracts at 0, 1, and 10 second time lags, when both experience non-zero changes. The graph shows the contemporaneous correlation from figure 2 as a reference. Here we expected to see a clear pattern of decreased correlation as we increased the length of the time lag in the nearby - reflecting that information is transmitted from nearby to deferred contracts over a number of seconds. However, we see that the correlation drops to zero with a lag of one second, which in this data set is the shortest time lag possible.</w:t>
      </w:r>
    </w:p>
    <w:p>
      <w:r>
        <w:t xml:space="preserve">There are three possible explanations for this. First, it is possible that there is in fact a clear and decreasing correlation between lags of the nearby and the deferreds, but it can only be observed on mili- or micro-second time stamps. Then, when aggregating to the nearest second, we observe contemporaneous correlation close to one, but zero correlation even at the shortest possible time lag (one second).</w:t>
      </w:r>
    </w:p>
    <w:p>
      <w:r>
        <w:t xml:space="preserve">Second, we explicitly assumed that price discovery happens in the nearby contract when we lagged the nearby contract instead of the deferred contract. If price discovery happens in the deferred contract, and takes time to fully to be incorporated into the nearby contract, then we would observe non-zero correlation between nearby quote revisions and lagged</w:t>
      </w:r>
      <w:r>
        <w:t xml:space="preserve"> </w:t>
      </w:r>
      <w:r>
        <w:rPr>
          <w:i/>
        </w:rPr>
        <w:t xml:space="preserve">deferred</w:t>
      </w:r>
      <w:r>
        <w:t xml:space="preserve"> </w:t>
      </w:r>
      <w:r>
        <w:t xml:space="preserve">quote revisions. When we did this, we observed a very similar result as is presented in figure 3 - zero correlation at 1 and 10 second time lags of the deferred contract; this means there is no evidence to support that price discovery happens in the deferred contracts.</w:t>
      </w:r>
      <w:r>
        <w:rPr>
          <w:rStyle w:val="FootnoteRef"/>
        </w:rPr>
        <w:footnoteReference w:id="37"/>
      </w:r>
      <w:r>
        <w:t xml:space="preserve"> </w:t>
      </w:r>
      <w:r>
        <w:t xml:space="preserve">Information seems to be fully transmitted within one second to the first deferred contract.</w:t>
      </w:r>
    </w:p>
    <w:p>
      <w:r>
        <w:t xml:space="preserve">Third, zero correlations between the deferred and time lagged nearby would also occur if linkages between the nearby and deferred contracts were immediately enforced by spread traders. This is examined in figure 4.</w:t>
      </w:r>
    </w:p>
    <w:p>
      <w:pPr>
        <w:pStyle w:val="Heading2"/>
      </w:pPr>
      <w:bookmarkStart w:id="38" w:name="spread-trades-information-transmission-and-time-lagged-bid-to-offer-offer-to-bid-correlations-1"/>
      <w:bookmarkEnd w:id="38"/>
      <w:r>
        <w:t xml:space="preserve">Spread Trades, Information Transmission, and Time-Lagged Bid-to-Offer (Offer-to-Bid) Correlations</w:t>
      </w:r>
    </w:p>
    <w:p>
      <w:r>
        <w:t xml:space="preserve">Figure 4 displays the means and error bars of the correlations between log changes of the lagged nearby bid (offer) revisions and log changes of the first deferred offer (bid) revisions. Here, as in figure 3 we see contemporaneous correlations near one. We observe that while the correlations when the nearby is lagged by both one second and ten seconds are near zero, the mean of the one second lagged correlations are clearly higher than the ten second lags and larger than zero. Despite this minor difference, it is not compelling evidence that we have observed incomplete information transmission at the one second horizon. Though positive, it is still quite close to zero.</w:t>
      </w:r>
    </w:p>
    <w:p>
      <w:r>
        <w:t xml:space="preserve">This result may be surprising because trades in the calendar spread (buying the nearby and selling the deferred, or vice versa) should induce a negative nearby bid-to-deferred offer correlation. Since our results appear very similar to the results in figures 2 and 3, we conclude that the information effect in price levels swamps any negative correlation that would have been induced by the spread trade.</w:t>
      </w:r>
    </w:p>
    <w:p>
      <w:pPr>
        <w:pStyle w:val="Heading1"/>
      </w:pPr>
      <w:bookmarkStart w:id="39" w:name="conclusions"/>
      <w:bookmarkEnd w:id="39"/>
      <w:r>
        <w:t xml:space="preserve">Conclusions</w:t>
      </w:r>
    </w:p>
    <w:p>
      <w:r>
        <w:t xml:space="preserve">Recent developments in commodity markets make it important to assess price adjustment patterns with high frequency data. We focused this paper on the corn market because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 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non-zero log changes to the best bid (offer) in the limit order book as our metric of information-based activity in the market. Our results for CBOT corn indicate that the mean contemporaneous correlation between non-zero changes to the nearby and all deferred contracts was very close to 1 throughout the trading day. When information arrives to the market, liquidity providers in contracts of all maturities revise their bids and offers in lockstep (or in less than one second) to reflect the new information.</w:t>
      </w:r>
    </w:p>
    <w:p>
      <w:r>
        <w:t xml:space="preserve">To measure the speed of information transfer from nearby to deferred maturities, we lagged the nearby by one and ten second respectively and computed correlations in revisions to the best bid (offer) with deferred contracts. We find that even at a one second lag, the shortest time lag possible with this data set, the correlation between revisions to the best bid and best offer dropped to zero.</w:t>
      </w:r>
    </w:p>
    <w:p>
      <w:r>
        <w:t xml:space="preserve">These results provide compelling evidence that traders are able to incorporate information into the electronic corn futures market very quickly. Arbitrage opportunities that arise from out-dated prices in the deferred contracts quickly evaporate with electronic and algorithmic traders</w:t>
      </w:r>
      <w:r>
        <w:t xml:space="preserve"> </w:t>
      </w:r>
      <w:r>
        <w:t xml:space="preserve">(Lehecka, Wang, and Garcia 2014)</w:t>
      </w:r>
      <w:r>
        <w:t xml:space="preserve">. Informatively, we find little difference between USDA announcement and regular days except for a wider variance, which might be attributed to the larger shocks in information.</w:t>
      </w:r>
    </w:p>
    <w:p>
      <w:r>
        <w:t xml:space="preserve">It also appears that the arrival of new information overwhelms spreading activity. Calendar spread trades should lead to a negative correlation between the nearby and deferred. However, we find that the nearby and deferred contracts have a correlation near 1 concurrent with an information event and a correlation near zero in the absence of such an event. In part, this may be influenced by spread traders who take market positions because of price differentials in contracts rather than the arrival of new information.</w:t>
      </w:r>
    </w:p>
    <w:p>
      <w:r>
        <w:t xml:space="preserve">Finally, we have shown that price discovery across electronically traded commodities can occur quickly even when the known liquidity differences in specific contracts exist</w:t>
      </w:r>
      <w:r>
        <w:t xml:space="preserve"> </w:t>
      </w:r>
      <w:r>
        <w:t xml:space="preserve">(X. Wang, Garcia, and Irwin 2014)</w:t>
      </w:r>
      <w:r>
        <w:t xml:space="preserve">; if differences occur, they likely occurs at the millisecond level.</w:t>
      </w:r>
    </w:p>
    <w:p>
      <w:pPr>
        <w:pStyle w:val="Heading1"/>
      </w:pPr>
      <w:bookmarkStart w:id="40" w:name="references"/>
      <w:bookmarkEnd w:id="40"/>
      <w:r>
        <w:t xml:space="preserve">References</w:t>
      </w:r>
    </w:p>
    <w:p>
      <w:pPr>
        <w:pStyle w:val="Bibliography"/>
      </w:pPr>
      <w:r>
        <w:t xml:space="preserve">Akerlof, George A. 1970. “The Market for‘ Lemons’: Quality Uncertainty and the Market Mechanism.”</w:t>
      </w:r>
      <w:r>
        <w:t xml:space="preserve"> </w:t>
      </w:r>
      <w:r>
        <w:rPr>
          <w:i/>
        </w:rPr>
        <w:t xml:space="preserve">The Quarterly Journal of Economics</w:t>
      </w:r>
      <w:r>
        <w:t xml:space="preserve"> </w:t>
      </w:r>
      <w:r>
        <w:t xml:space="preserve">84 (3): 488–500.</w:t>
      </w:r>
    </w:p>
    <w:p>
      <w:pPr>
        <w:pStyle w:val="Bibliography"/>
      </w:pPr>
      <w:r>
        <w:t xml:space="preserve">Avalos, Fernando. 2014. “Do Oil Prices Drive Food Prices? The Tale of a Structural Break.”</w:t>
      </w:r>
      <w:r>
        <w:t xml:space="preserve"> </w:t>
      </w:r>
      <w:r>
        <w:rPr>
          <w:i/>
        </w:rPr>
        <w:t xml:space="preserve">Journal of International Money and Finance</w:t>
      </w:r>
      <w:r>
        <w:t xml:space="preserve"> </w:t>
      </w:r>
      <w:r>
        <w:t xml:space="preserve">42 (0): 253–71.</w:t>
      </w:r>
    </w:p>
    <w:p>
      <w:pPr>
        <w:pStyle w:val="Bibliography"/>
      </w:pPr>
      <w:r>
        <w:t xml:space="preserve">Bagehot, Walter. 1971. “The Only Game in Town.”</w:t>
      </w:r>
      <w:r>
        <w:t xml:space="preserve"> </w:t>
      </w:r>
      <w:r>
        <w:rPr>
          <w:i/>
        </w:rPr>
        <w:t xml:space="preserve">Financial Analysts Journal</w:t>
      </w:r>
      <w:r>
        <w:t xml:space="preserve"> </w:t>
      </w:r>
      <w:r>
        <w:t xml:space="preserve">27 (2): 12–14.</w:t>
      </w:r>
    </w:p>
    <w:p>
      <w:pPr>
        <w:pStyle w:val="Bibliography"/>
      </w:pPr>
      <w:r>
        <w:t xml:space="preserve">Balcombe, Kevin, A Prakash, and others. 2011. “The Nature and Determinants of Volatility in Agricultural Prices: An Empirical Study.”</w:t>
      </w:r>
      <w:r>
        <w:t xml:space="preserve"> </w:t>
      </w:r>
      <w:r>
        <w:rPr>
          <w:i/>
        </w:rPr>
        <w:t xml:space="preserve">Safeguarding Food Security in Volatile Global Markets</w:t>
      </w:r>
      <w:r>
        <w:t xml:space="preserve">. Food; Agriculture Organization of the United Nations (FAO), 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 (1): 26–47.</w:t>
      </w:r>
    </w:p>
    <w:p>
      <w:pPr>
        <w:pStyle w:val="Bibliography"/>
      </w:pPr>
      <w:r>
        <w:t xml:space="preserve">Brennan, Michael J. 1958. “The Supply of Storage.”</w:t>
      </w:r>
      <w:r>
        <w:t xml:space="preserve"> </w:t>
      </w:r>
      <w:r>
        <w:rPr>
          <w:i/>
        </w:rPr>
        <w:t xml:space="preserve">The American Economic Review</w:t>
      </w:r>
      <w:r>
        <w:t xml:space="preserve"> </w:t>
      </w:r>
      <w:r>
        <w:t xml:space="preserve">48 (1): 50–72.</w:t>
      </w:r>
    </w:p>
    <w:p>
      <w:pPr>
        <w:pStyle w:val="Bibliography"/>
      </w:pPr>
      <w:r>
        <w:t xml:space="preserve">Caballero, Ricardo J, Emmanuel Farhi, and Pierre-Olivier Gourinchas. 2008. “Financial Crash, Commodity Prices, and Global Imbalances.”</w:t>
      </w:r>
      <w:r>
        <w:t xml:space="preserve"> </w:t>
      </w:r>
      <w:r>
        <w:rPr>
          <w:i/>
        </w:rPr>
        <w:t xml:space="preserve">Brookings Papers on Economic Activity</w:t>
      </w:r>
      <w:r>
        <w:t xml:space="preserve">, 1–55.</w:t>
      </w:r>
    </w:p>
    <w:p>
      <w:pPr>
        <w:pStyle w:val="Bibliography"/>
      </w:pPr>
      <w:r>
        <w:t xml:space="preserve">Cheng, Ing-Haw, and Wei Xiong. 2013.</w:t>
      </w:r>
      <w:r>
        <w:t xml:space="preserve"> </w:t>
      </w:r>
      <w:r>
        <w:rPr>
          <w:i/>
        </w:rPr>
        <w:t xml:space="preserve">The Financialization of Commodity Markets</w:t>
      </w:r>
      <w:r>
        <w:t xml:space="preserve">. Working Paper 19642. Working Paper Series. National Bureau of Economic Research.</w:t>
      </w:r>
    </w:p>
    <w:p>
      <w:pPr>
        <w:pStyle w:val="Bibliography"/>
      </w:pPr>
      <w:r>
        <w:t xml:space="preserve">Copeland, Thomas E, and Dan Galai. 1983. “Information Effects on the Bid-Ask Spread.”</w:t>
      </w:r>
      <w:r>
        <w:t xml:space="preserve"> </w:t>
      </w:r>
      <w:r>
        <w:rPr>
          <w:i/>
        </w:rPr>
        <w:t xml:space="preserve">The Journal of Finance</w:t>
      </w:r>
      <w:r>
        <w:t xml:space="preserve"> </w:t>
      </w:r>
      <w:r>
        <w:t xml:space="preserve">38 (5): 1457–69.</w:t>
      </w:r>
    </w:p>
    <w:p>
      <w:pPr>
        <w:pStyle w:val="Bibliography"/>
      </w:pPr>
      <w:r>
        <w:t xml:space="preserve">Easley, David, and Maureen O’Hara. 1987. “Price, Trade Size, and Information in Securities Markets.”</w:t>
      </w:r>
      <w:r>
        <w:t xml:space="preserve"> </w:t>
      </w:r>
      <w:r>
        <w:rPr>
          <w:i/>
        </w:rPr>
        <w:t xml:space="preserve">Journal of Financial Economics</w:t>
      </w:r>
      <w:r>
        <w:t xml:space="preserve"> </w:t>
      </w:r>
      <w:r>
        <w:t xml:space="preserve">19 (1): 69–90.</w:t>
      </w:r>
    </w:p>
    <w:p>
      <w:pPr>
        <w:pStyle w:val="Bibliography"/>
      </w:pPr>
      <w:r>
        <w:t xml:space="preserve">———. 1992. “Time and the Process of Security Price Adjustment.”</w:t>
      </w:r>
      <w:r>
        <w:t xml:space="preserve"> </w:t>
      </w:r>
      <w:r>
        <w:rPr>
          <w:i/>
        </w:rPr>
        <w:t xml:space="preserve">The Journal of Finance</w:t>
      </w:r>
      <w:r>
        <w:t xml:space="preserve"> </w:t>
      </w:r>
      <w:r>
        <w:t xml:space="preserve">47 (2): 577–605.</w:t>
      </w:r>
    </w:p>
    <w:p>
      <w:pPr>
        <w:pStyle w:val="Bibliography"/>
      </w:pPr>
      <w:r>
        <w:t xml:space="preserve">Easley, David, Soeren Hvidkjaer, and Maureen O’Hara. 2002. “Is Information Risk a Determinant of Asset Returns?”</w:t>
      </w:r>
      <w:r>
        <w:t xml:space="preserve"> </w:t>
      </w:r>
      <w:r>
        <w:rPr>
          <w:i/>
        </w:rPr>
        <w:t xml:space="preserve">The Journal of Finance</w:t>
      </w:r>
      <w:r>
        <w:t xml:space="preserve"> </w:t>
      </w:r>
      <w:r>
        <w:t xml:space="preserve">57 (5): 2185–2221.</w:t>
      </w:r>
    </w:p>
    <w:p>
      <w:pPr>
        <w:pStyle w:val="Bibliography"/>
      </w:pPr>
      <w:r>
        <w:t xml:space="preserve">Easley, David, Nicholas M Kiefer, and Maureen O’Hara. 1997. “One Day in the Life of a Very Common Stock.”</w:t>
      </w:r>
      <w:r>
        <w:t xml:space="preserve"> </w:t>
      </w:r>
      <w:r>
        <w:rPr>
          <w:i/>
        </w:rPr>
        <w:t xml:space="preserve">Review of Financial Studies</w:t>
      </w:r>
      <w:r>
        <w:t xml:space="preserve"> </w:t>
      </w:r>
      <w:r>
        <w:t xml:space="preserve">10 (3): 805–35.</w:t>
      </w:r>
    </w:p>
    <w:p>
      <w:pPr>
        <w:pStyle w:val="Bibliography"/>
      </w:pPr>
      <w:r>
        <w:t xml:space="preserve">Garcia, Philip, and Raymond M Leuthold. 1992. “The Effect of Market Information on Corn and Soybean Markets.” In</w:t>
      </w:r>
      <w:r>
        <w:t xml:space="preserve"> </w:t>
      </w:r>
      <w:r>
        <w:rPr>
          <w:i/>
        </w:rPr>
        <w:t xml:space="preserve">Proceedings of the 1992 NCR-134 Applied Commodity Price Analysis, Forecasting and Market Risk Management Conference, Chicago, IL, April</w:t>
      </w:r>
      <w:r>
        <w:t xml:space="preserve">, 59–74.</w:t>
      </w:r>
    </w:p>
    <w:p>
      <w:pPr>
        <w:pStyle w:val="Bibliography"/>
      </w:pPr>
      <w:r>
        <w:t xml:space="preserve">Gardebroek, Cornelis, and Manuel 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 (0): 119–29.</w:t>
      </w:r>
    </w:p>
    <w:p>
      <w:pPr>
        <w:pStyle w:val="Bibliography"/>
      </w:pPr>
      <w:r>
        <w:t xml:space="preserve">Gilbert, Christopher L, and C Wyn Morgan. 2010. “Food Price Volatility.”</w:t>
      </w:r>
      <w:r>
        <w:t xml:space="preserve"> </w:t>
      </w:r>
      <w:r>
        <w:rPr>
          <w:i/>
        </w:rPr>
        <w:t xml:space="preserve">Philosophical Transactions of the Royal Society of London B: Biological Sciences</w:t>
      </w:r>
      <w:r>
        <w:t xml:space="preserve"> </w:t>
      </w:r>
      <w:r>
        <w:t xml:space="preserve">365 (1554). The Royal Society: 3023–34.</w:t>
      </w:r>
    </w:p>
    <w:p>
      <w:pPr>
        <w:pStyle w:val="Bibliography"/>
      </w:pPr>
      <w:r>
        <w:t xml:space="preserve">Glosten, Lawrence R, and Paul R Milgrom. 1985. “Bid, Ask and Transaction Prices in a Specialist Market with Heterogeneously Informed Traders.”</w:t>
      </w:r>
      <w:r>
        <w:t xml:space="preserve"> </w:t>
      </w:r>
      <w:r>
        <w:rPr>
          <w:i/>
        </w:rPr>
        <w:t xml:space="preserve">Journal of Financial Economics</w:t>
      </w:r>
      <w:r>
        <w:t xml:space="preserve"> </w:t>
      </w:r>
      <w:r>
        <w:t xml:space="preserve">14 (1): 71–100.</w:t>
      </w:r>
    </w:p>
    <w:p>
      <w:pPr>
        <w:pStyle w:val="Bibliography"/>
      </w:pPr>
      <w:r>
        <w:t xml:space="preserve">Hasbrouck, Joel.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 2015.</w:t>
      </w:r>
      <w:r>
        <w:t xml:space="preserve"> </w:t>
      </w:r>
      <w:r>
        <w:rPr>
          <w:i/>
        </w:rPr>
        <w:t xml:space="preserve">High Frequency Quoting: Short-Term Volatility in Bids and Offers</w:t>
      </w:r>
      <w:r>
        <w:t xml:space="preserve">. Working Paper. New York University.</w:t>
      </w:r>
    </w:p>
    <w:p>
      <w:pPr>
        <w:pStyle w:val="Bibliography"/>
      </w:pPr>
      <w:r>
        <w:t xml:space="preserve">Henderson, Brian J., Neil D. Pearson, and Li Wang. 2015. “New Evidence on the Financialization of Commodity Markets.”</w:t>
      </w:r>
      <w:r>
        <w:t xml:space="preserve"> </w:t>
      </w:r>
      <w:r>
        <w:rPr>
          <w:i/>
        </w:rPr>
        <w:t xml:space="preserve">Review of Financial Studies</w:t>
      </w:r>
      <w:r>
        <w:t xml:space="preserve"> </w:t>
      </w:r>
      <w:r>
        <w:t xml:space="preserve">28 (5): 1285–1311.</w:t>
      </w:r>
    </w:p>
    <w:p>
      <w:pPr>
        <w:pStyle w:val="Bibliography"/>
      </w:pPr>
      <w:r>
        <w:t xml:space="preserve">Irwin, Scott H., and Dwight R. Sanders. 2011. “Index Funds, Financialization, and Commodity Futures Markets.”</w:t>
      </w:r>
      <w:r>
        <w:t xml:space="preserve"> </w:t>
      </w:r>
      <w:r>
        <w:rPr>
          <w:i/>
        </w:rPr>
        <w:t xml:space="preserve">Applied Economic Perspectives and Policy</w:t>
      </w:r>
      <w:r>
        <w:t xml:space="preserve"> </w:t>
      </w:r>
      <w:r>
        <w:t xml:space="preserve">33 (1): 1–31.</w:t>
      </w:r>
    </w:p>
    <w:p>
      <w:pPr>
        <w:pStyle w:val="Bibliography"/>
      </w:pPr>
      <w:r>
        <w:t xml:space="preserve">———. 2012. “Testing the Masters Hypothesis in Commodity Futures Markets.”</w:t>
      </w:r>
      <w:r>
        <w:t xml:space="preserve"> </w:t>
      </w:r>
      <w:r>
        <w:rPr>
          <w:i/>
        </w:rPr>
        <w:t xml:space="preserve">Energy Economics</w:t>
      </w:r>
      <w:r>
        <w:t xml:space="preserve"> </w:t>
      </w:r>
      <w:r>
        <w:t xml:space="preserve">34 (1): 256–69.</w:t>
      </w:r>
    </w:p>
    <w:p>
      <w:pPr>
        <w:pStyle w:val="Bibliography"/>
      </w:pPr>
      <w:r>
        <w:t xml:space="preserve">Kumar, Praveen, and Duane J Seppi. 1994. “Information and Index Arbitrage.”</w:t>
      </w:r>
      <w:r>
        <w:t xml:space="preserve"> </w:t>
      </w:r>
      <w:r>
        <w:rPr>
          <w:i/>
        </w:rPr>
        <w:t xml:space="preserve">Journal of Business</w:t>
      </w:r>
      <w:r>
        <w:t xml:space="preserve"> </w:t>
      </w:r>
      <w:r>
        <w:t xml:space="preserve">67 (4): 481–509.</w:t>
      </w:r>
    </w:p>
    <w:p>
      <w:pPr>
        <w:pStyle w:val="Bibliography"/>
      </w:pPr>
      <w:r>
        <w:t xml:space="preserve">Lehecka, Georg V, Xiaoyang Wang, and Philip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 (3): 504–26.</w:t>
      </w:r>
    </w:p>
    <w:p>
      <w:pPr>
        <w:pStyle w:val="Bibliography"/>
      </w:pPr>
      <w:r>
        <w:t xml:space="preserve">Mallory, Mindy L., Scott H. Irwin, and Dermot J. Hayes. 2012. “How Market Efficiency and the Theory of Storage Link Corn and Ethanol Markets.”</w:t>
      </w:r>
      <w:r>
        <w:t xml:space="preserve"> </w:t>
      </w:r>
      <w:r>
        <w:rPr>
          <w:i/>
        </w:rPr>
        <w:t xml:space="preserve">Energy Economics</w:t>
      </w:r>
      <w:r>
        <w:t xml:space="preserve"> </w:t>
      </w:r>
      <w:r>
        <w:t xml:space="preserve">34 (6): 2157–66.</w:t>
      </w:r>
    </w:p>
    <w:p>
      <w:pPr>
        <w:pStyle w:val="Bibliography"/>
      </w:pPr>
      <w:r>
        <w:t xml:space="preserve">O’Hara, Maureen. 1995.</w:t>
      </w:r>
      <w:r>
        <w:t xml:space="preserve"> </w:t>
      </w:r>
      <w:r>
        <w:rPr>
          <w:i/>
        </w:rPr>
        <w:t xml:space="preserve">Market Microstructure Theory</w:t>
      </w:r>
      <w:r>
        <w:t xml:space="preserve">. Vol. 108. Blackwell Cambridge, MA.</w:t>
      </w:r>
    </w:p>
    <w:p>
      <w:pPr>
        <w:pStyle w:val="Bibliography"/>
      </w:pPr>
      <w:r>
        <w:t xml:space="preserve">Peterson, Paul. 2015. “How Will Closing the Trading Pits Affect Market Performance.”</w:t>
      </w:r>
      <w:r>
        <w:t xml:space="preserve"> </w:t>
      </w:r>
      <w:r>
        <w:rPr>
          <w:i/>
        </w:rPr>
        <w:t xml:space="preserve">Farmdoc Daily</w:t>
      </w:r>
      <w:r>
        <w:t xml:space="preserve"> </w:t>
      </w:r>
      <w:r>
        <w:t xml:space="preserve">5 (40).</w:t>
      </w:r>
    </w:p>
    <w:p>
      <w:pPr>
        <w:pStyle w:val="Bibliography"/>
      </w:pPr>
      <w:r>
        <w:t xml:space="preserve">Prakash, Adam, Christopher L Gilbert, and others. 2011. “Rising Vulnerability in the Global Food System: Beyond Market Fundamentals.”</w:t>
      </w:r>
      <w:r>
        <w:t xml:space="preserve"> </w:t>
      </w:r>
      <w:r>
        <w:rPr>
          <w:i/>
        </w:rPr>
        <w:t xml:space="preserve">Safeguarding Food Security in Volatile Global Markets</w:t>
      </w:r>
      <w:r>
        <w:t xml:space="preserve">. Food; Agriculture Organization of the United Nations (FAO), 45–66.</w:t>
      </w:r>
    </w:p>
    <w:p>
      <w:pPr>
        <w:pStyle w:val="Bibliography"/>
      </w:pPr>
      <w:r>
        <w:t xml:space="preserve">Serra, Teresa, and David Zilberman. 2013. “Biofuel-Related Price Transmission Literature: A Review.”</w:t>
      </w:r>
      <w:r>
        <w:t xml:space="preserve"> </w:t>
      </w:r>
      <w:r>
        <w:rPr>
          <w:i/>
        </w:rPr>
        <w:t xml:space="preserve">Energy Economics</w:t>
      </w:r>
      <w:r>
        <w:t xml:space="preserve"> </w:t>
      </w:r>
      <w:r>
        <w:t xml:space="preserve">37: 141–51.</w:t>
      </w:r>
    </w:p>
    <w:p>
      <w:pPr>
        <w:pStyle w:val="Bibliography"/>
      </w:pPr>
      <w:r>
        <w:t xml:space="preserve">Trujillo-Barrera, Andres, Mindy Mallory, Philip Garcia, and others. 2012. “Volatility Spillovers in US Crude Oil, Ethanol, and Corn Futures Markets.”</w:t>
      </w:r>
      <w:r>
        <w:t xml:space="preserve"> </w:t>
      </w:r>
      <w:r>
        <w:rPr>
          <w:i/>
        </w:rPr>
        <w:t xml:space="preserve">Journal of Agricultural and Resource Economics</w:t>
      </w:r>
      <w:r>
        <w:t xml:space="preserve"> </w:t>
      </w:r>
      <w:r>
        <w:t xml:space="preserve">37 (2): 247.</w:t>
      </w:r>
    </w:p>
    <w:p>
      <w:pPr>
        <w:pStyle w:val="Bibliography"/>
      </w:pPr>
      <w:r>
        <w:t xml:space="preserve">Vacha, Lukas, Karel Janda, Ladislav Kristoufek, and David Zilberman. 2013. “Time–frequency Dynamics of Biofuel–fuel–food System.”</w:t>
      </w:r>
      <w:r>
        <w:t xml:space="preserve"> </w:t>
      </w:r>
      <w:r>
        <w:rPr>
          <w:i/>
        </w:rPr>
        <w:t xml:space="preserve">Energy Economics</w:t>
      </w:r>
      <w:r>
        <w:t xml:space="preserve"> </w:t>
      </w:r>
      <w:r>
        <w:t xml:space="preserve">40 (0): 233–41.</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 (1): 103–33.</w:t>
      </w:r>
    </w:p>
    <w:p>
      <w:pPr>
        <w:pStyle w:val="Bibliography"/>
      </w:pPr>
      <w:r>
        <w:t xml:space="preserve">Wang, Xiaoyang. 2014. “Price volatility and liquidity cost in grain futures markets.” PhD thesis, University of Illinois.</w:t>
      </w:r>
    </w:p>
    <w:p>
      <w:pPr>
        <w:pStyle w:val="Bibliography"/>
      </w:pPr>
      <w:r>
        <w:t xml:space="preserve">Wang, Xiaoyang, Philip Garcia, and Scott H Irwin. 2014. “The Behavior of Bid-Ask Spreads in the Electronically-Traded Corn Futures Market.”</w:t>
      </w:r>
      <w:r>
        <w:t xml:space="preserve"> </w:t>
      </w:r>
      <w:r>
        <w:rPr>
          <w:i/>
        </w:rPr>
        <w:t xml:space="preserve">American Journal of Agricultural Economics</w:t>
      </w:r>
      <w:r>
        <w:t xml:space="preserve"> </w:t>
      </w:r>
      <w:r>
        <w:t xml:space="preserve">96 (2): 557–77.</w:t>
      </w:r>
    </w:p>
    <w:p>
      <w:pPr>
        <w:pStyle w:val="Bibliography"/>
      </w:pPr>
      <w:r>
        <w:t xml:space="preserve">Working, Holbrook. 1948. “Theory of the Inverse Carrying Charge in Futures Markets.”</w:t>
      </w:r>
      <w:r>
        <w:t xml:space="preserve"> </w:t>
      </w:r>
      <w:r>
        <w:rPr>
          <w:i/>
        </w:rPr>
        <w:t xml:space="preserve">Journal of Farm Economics</w:t>
      </w:r>
      <w:r>
        <w:t xml:space="preserve"> </w:t>
      </w:r>
      <w:r>
        <w:t xml:space="preserve">30 (1): 1–28.</w:t>
      </w:r>
    </w:p>
    <w:p>
      <w:pPr>
        <w:pStyle w:val="Bibliography"/>
      </w:pPr>
      <w:r>
        <w:t xml:space="preserve">———. 1949. “The Theory of Price of Storage.”</w:t>
      </w:r>
      <w:r>
        <w:t xml:space="preserve"> </w:t>
      </w:r>
      <w:r>
        <w:rPr>
          <w:i/>
        </w:rPr>
        <w:t xml:space="preserve">The American Economic Review</w:t>
      </w:r>
      <w:r>
        <w:t xml:space="preserve">, 1254–62.</w:t>
      </w:r>
    </w:p>
    <w:p>
      <w:pPr>
        <w:pStyle w:val="Bibliography"/>
      </w:pPr>
      <w:r>
        <w:t xml:space="preserve">Yan, Yuxing, and Shaojun Zhang. 2012. “An Improved Estimation Method and Empirical Properties of the Probability of Informed Trading.”</w:t>
      </w:r>
      <w:r>
        <w:t xml:space="preserve"> </w:t>
      </w:r>
      <w:r>
        <w:rPr>
          <w:i/>
        </w:rPr>
        <w:t xml:space="preserve">Journal of Banking &amp; Finance</w:t>
      </w:r>
      <w:r>
        <w:t xml:space="preserve"> </w:t>
      </w:r>
      <w:r>
        <w:t xml:space="preserve">36 (2): 454–67.</w:t>
      </w:r>
    </w:p>
    <w:sectPr w:rsidR="00F77439" w:rsidRPr="00F77439">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rsidR="000E4552" w:rsidRDefault="000E455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E4552" w:rsidRDefault="000E45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6">
    <w:p>
      <w:pPr>
        <w:pStyle w:val="FootnoteText"/>
      </w:pPr>
      <w:r>
        <w:rPr>
          <w:rStyle w:val="FootnoteRef"/>
        </w:rPr>
        <w:footnoteRef/>
      </w:r>
      <w:r>
        <w:t xml:space="preserve">September experiences low trading volumes because deliveries on this contract sometimes (but not usually) can come from early new crop harvest, making its price relative to the traditional new crop contract, December, hard to predict.</w:t>
      </w:r>
    </w:p>
  </w:footnote>
  <w:footnote w:id="27">
    <w:p>
      <w:pPr>
        <w:pStyle w:val="FootnoteText"/>
      </w:pPr>
      <w:r>
        <w:rPr>
          <w:rStyle w:val="FootnoteRef"/>
        </w:rPr>
        <w:footnoteRef/>
      </w:r>
      <w:r>
        <w:t xml:space="preserve">We take the last entry on each time-stamp for the aggregation.</w:t>
      </w:r>
    </w:p>
  </w:footnote>
  <w:footnote w:id="30">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 w:id="37">
    <w:p>
      <w:pPr>
        <w:pStyle w:val="FootnoteText"/>
      </w:pPr>
      <w:r>
        <w:rPr>
          <w:rStyle w:val="FootnoteRef"/>
        </w:rPr>
        <w:footnoteRef/>
      </w:r>
      <w:r>
        <w:t xml:space="preserve">This figure is not presented in the interest of brevity.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e9df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Nearby and Deferred Quotes Tell Us about Linkages and Adjustments to Information</dc:title>
  <dc:creator/>
</cp:coreProperties>
</file>