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34.png" ContentType="image/png"/>
  <Override PartName="/word/media/rId36.png" ContentType="image/png"/>
  <Override PartName="/word/media/rId40.png" ContentType="image/png"/>
  <Override PartName="/word/media/rId38.png" ContentType="image/png"/>
  <Override PartName="/word/media/rId42.png" ContentType="image/png"/>
  <Override PartName="/word/media/rId44.png" ContentType="image/png"/>
  <Override PartName="/word/media/rId47.png" ContentType="image/png"/>
  <Override PartName="/word/media/rId35.png" ContentType="image/png"/>
  <Override PartName="/word/media/rId37.png" ContentType="image/png"/>
  <Override PartName="/word/media/rId41.png" ContentType="image/png"/>
  <Override PartName="/word/media/rId39.png" ContentType="image/png"/>
  <Override PartName="/word/media/rId4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s"/>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May</w:t>
      </w:r>
      <w:r>
        <w:t xml:space="preserve"> </w:t>
      </w:r>
      <w:r>
        <w:t xml:space="preserve">21,</w:t>
      </w:r>
      <w:r>
        <w:t xml:space="preserve"> </w:t>
      </w:r>
      <w:r>
        <w:t xml:space="preserve">2015</w:t>
      </w:r>
    </w:p>
    <w:bookmarkStart w:id="21" w:name="introduction"/>
    <w:p>
      <w:pPr>
        <w:pStyle w:val="Heading1"/>
      </w:pPr>
      <w:r>
        <w:t xml:space="preserve">Introduction</w:t>
      </w:r>
    </w:p>
    <w:bookmarkEnd w:id="21"/>
    <w:p>
      <w:r>
        <w:t xml:space="preserve">Can we make the citations and biliography work</w:t>
      </w:r>
      <w:r>
        <w:t xml:space="preserve"> </w:t>
      </w:r>
      <w:r>
        <w:t xml:space="preserve">(Hasbrouck 2006; Easley, Prado and O’Hara 2011)</w:t>
      </w:r>
      <w:r>
        <w:t xml:space="preserve">?</w:t>
      </w:r>
    </w:p>
    <w:bookmarkStart w:id="22" w:name="literature-review"/>
    <w:p>
      <w:pPr>
        <w:pStyle w:val="Heading1"/>
      </w:pPr>
      <w:r>
        <w:t xml:space="preserve">Literature Review</w:t>
      </w:r>
    </w:p>
    <w:bookmarkEnd w:id="22"/>
    <w:bookmarkStart w:id="23" w:name="data"/>
    <w:p>
      <w:pPr>
        <w:pStyle w:val="Heading1"/>
      </w:pPr>
      <w:r>
        <w:t xml:space="preserve">Data</w:t>
      </w:r>
    </w:p>
    <w:bookmarkEnd w:id="23"/>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maturities, simulation would need to preserve (at least) the order in which updates arrived to each respective contract to be useful. Since preserving the order in which updates to the top of the book is impossible, we aggregate to the second.</w:t>
      </w:r>
    </w:p>
    <w:p>
      <w:r>
        <w:t xml:space="preserve">Further, we exclude days on which there was a limit price move, since when prices are locked at the limit, calculating correlations is impossible (1/12/2010 revision to a Crop Production report, 3/31/2011 Prospective Plantings report, 6/30/2011 Planted Acres report,and 10/8/2010 and 12/9/2010). Also, we exclude 4/5/2010, because there was an unusually high numer of revisions to the best bid and best offer. We were not able to process all of the data for this day in a reasonable amount of time, we we drop this day from our sample. Additionally, 7/5/2011 was an unusually light trading day after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marturity the data is in reference to. In this case, 1003 stands for March 2010, with the first two characters representing the year and the second two characters representing the month.</w:t>
      </w:r>
    </w:p>
    <w:p>
      <w:r>
        <w:t xml:space="preserve">Every day, we define the first to mature (nearby), one deferred, two deferred, and three contracts deferred. To avoid undesirable delivery month effects, we roll these definitions at the end of the month prior to contract maturity (For example, on March 1st the May futures contract is considered the nearby, and so forth).</w:t>
      </w:r>
    </w:p>
    <w:bookmarkStart w:id="24" w:name="analysis"/>
    <w:p>
      <w:pPr>
        <w:pStyle w:val="Heading1"/>
      </w:pPr>
      <w:r>
        <w:t xml:space="preserve">Analysis</w:t>
      </w:r>
    </w:p>
    <w:bookmarkEnd w:id="24"/>
    <w:p>
      <w:r>
        <w:t xml:space="preserve">Our analysis simply considers the correlation of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(lowers the best offer) in the nearby contract, should usually raise the best bid (lower the best offer) in the deferred contracts as well. Linkages between the nearby and deferred contracts can be measured with the simple correlation statistic without making distributional assumptions that may be unfounded given the nature of this high frequency data. Also, comparing contemporaneous correlations with time lagged correlations gives a sence of how quickly information is transmitted up the forward curve.</w:t>
      </w:r>
    </w:p>
    <w:p>
      <w:r>
        <w:t xml:space="preserve">We divide the trading day into ten minute intervals and calculate correlations between the nearby and the deferred contract bids (offers) for each ten minute interval with one day's worth of data. This allows us to detect if there are any patterns to these correlations accross the trading day, and since we one correlation per day per ten minute interval, we recover a distribution of correlations for each interval.</w:t>
      </w:r>
    </w:p>
    <w:p>
      <w:r>
        <w:t xml:space="preserve">We also separate out days on which major USDA reports are released and calculate the same correlations on these days whick often confer significnat information to the markets that results in significant price moves. During our sample period, the USDA reports we include were released at 8:30 am CST, before the day trading session began.</w:t>
      </w:r>
    </w:p>
    <w:bookmarkStart w:id="25" w:name="results"/>
    <w:p>
      <w:pPr>
        <w:pStyle w:val="Heading1"/>
      </w:pPr>
      <w:r>
        <w:t xml:space="preserve">Results</w:t>
      </w:r>
    </w:p>
    <w:bookmarkEnd w:id="25"/>
    <w:bookmarkStart w:id="26" w:name="contemporaneous-correlation"/>
    <w:p>
      <w:pPr>
        <w:pStyle w:val="Heading2"/>
      </w:pPr>
      <w:r>
        <w:t xml:space="preserve">Contemporaneous Correlation</w:t>
      </w:r>
    </w:p>
    <w:bookmarkEnd w:id="26"/>
    <w:bookmarkStart w:id="27" w:name="contemporaneous-correlation-on-usda-report-days"/>
    <w:p>
      <w:pPr>
        <w:pStyle w:val="Heading2"/>
      </w:pPr>
      <w:r>
        <w:t xml:space="preserve">Contemporaneous Correlation on USDA Report Days</w:t>
      </w:r>
    </w:p>
    <w:bookmarkEnd w:id="27"/>
    <w:bookmarkStart w:id="28" w:name="contemporaneous-and-time-lagged-correlations"/>
    <w:p>
      <w:pPr>
        <w:pStyle w:val="Heading2"/>
      </w:pPr>
      <w:r>
        <w:t xml:space="preserve">Contemporaneous and Time-lagged Correlations</w:t>
      </w:r>
    </w:p>
    <w:bookmarkEnd w:id="28"/>
    <w:bookmarkStart w:id="29" w:name="contemporaneous-and-time-lagged-correlations-on-usda-report-days"/>
    <w:p>
      <w:pPr>
        <w:pStyle w:val="Heading2"/>
      </w:pPr>
      <w:r>
        <w:t xml:space="preserve">Contemporaneous and Time-lagged Correlations on USDA Report Days</w:t>
      </w:r>
    </w:p>
    <w:bookmarkEnd w:id="29"/>
    <w:bookmarkStart w:id="30" w:name="spread-traders"/>
    <w:p>
      <w:pPr>
        <w:pStyle w:val="Heading2"/>
      </w:pPr>
      <w:r>
        <w:t xml:space="preserve">Spread Traders?</w:t>
      </w:r>
    </w:p>
    <w:bookmarkEnd w:id="30"/>
    <w:bookmarkStart w:id="31" w:name="conclusions"/>
    <w:p>
      <w:pPr>
        <w:pStyle w:val="Heading1"/>
      </w:pPr>
      <w:r>
        <w:t xml:space="preserve">Conclusions</w:t>
      </w:r>
    </w:p>
    <w:bookmarkEnd w:id="31"/>
    <w:bookmarkStart w:id="32" w:name="tables"/>
    <w:p>
      <w:pPr>
        <w:pStyle w:val="Heading1"/>
      </w:pPr>
      <w:r>
        <w:t xml:space="preserve">Tables</w:t>
      </w:r>
    </w:p>
    <w:bookmarkEnd w:id="32"/>
    <w:tbl>
      <w:tblPr>
        <w:tblStyle w:val="TableNormal"/>
        <w:tblCaption w:val="Table 1: First ten entries in our data set."/>
      </w:tblPr>
      <w:tblGrid/>
      <w:tr>
        <w:tc>
          <w:tcPr>
            <w:tcBorders>
              <w:bottom w:val="single"/>
            </w:tcBorders>
            <w:vAlign w:val="bottom"/>
          </w:tc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TableCaption"/>
      </w:pPr>
      <w:r>
        <w:t xml:space="preserve">Table 1: First ten entries in our data set.</w:t>
      </w:r>
    </w:p>
    <w:bookmarkStart w:id="33" w:name="figures"/>
    <w:p>
      <w:pPr>
        <w:pStyle w:val="Heading1"/>
      </w:pPr>
      <w:r>
        <w:t xml:space="preserve">Figures</w:t>
      </w:r>
    </w:p>
    <w:bookmarkEnd w:id="33"/>
    <w:p>
      <w:r>
        <w:drawing>
          <wp:inline>
            <wp:extent cx="7327900" cy="365760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34"/>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35"/>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7327900" cy="365760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36"/>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37"/>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7327900" cy="365760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38"/>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39"/>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7327900" cy="365760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0"/>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1"/>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7327900" cy="365760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2"/>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3"/>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7327900" cy="365760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4"/>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45"/>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7327900" cy="365760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46"/>
                    <a:stretch>
                      <a:fillRect/>
                    </a:stretch>
                  </pic:blipFill>
                  <pic:spPr bwMode="auto">
                    <a:xfrm>
                      <a:off x="0" y="0"/>
                      <a:ext cx="7327900" cy="3657600"/>
                    </a:xfrm>
                    <a:prstGeom prst="rect">
                      <a:avLst/>
                    </a:prstGeom>
                    <a:noFill/>
                    <a:ln w="9525">
                      <a:noFill/>
                      <a:headEnd/>
                      <a:tailEnd/>
                    </a:ln>
                  </pic:spPr>
                </pic:pic>
              </a:graphicData>
            </a:graphic>
          </wp:inline>
        </w:drawing>
      </w:r>
    </w:p>
    <w:p>
      <w:r>
        <w:drawing>
          <wp:inline>
            <wp:extent cx="7327900" cy="365760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47"/>
                    <a:stretch>
                      <a:fillRect/>
                    </a:stretch>
                  </pic:blipFill>
                  <pic:spPr bwMode="auto">
                    <a:xfrm>
                      <a:off x="0" y="0"/>
                      <a:ext cx="7327900" cy="365760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bookmarkStart w:id="48" w:name="references"/>
    <w:p>
      <w:pPr>
        <w:pStyle w:val="Heading1"/>
      </w:pPr>
      <w:r>
        <w:t xml:space="preserve">References</w:t>
      </w:r>
    </w:p>
    <w:bookmarkEnd w:id="48"/>
    <w:p>
      <w:r>
        <w:t xml:space="preserve">Easley, D., M. Lopez de Prado, and O’HaraM.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r>
        <w:t xml:space="preserve">Hasbrouck, J. 2006.</w:t>
      </w:r>
      <w:r>
        <w:t xml:space="preserve"> </w:t>
      </w:r>
      <w:r>
        <w:rPr>
          <w:i/>
        </w:rPr>
        <w:t xml:space="preserve">Empirical market microstructure: The institutions, economics, and econometrics of securities trading</w:t>
      </w:r>
      <w:r>
        <w:t xml:space="preserve">. Oxford University Press.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1e91b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633FE"/>
    <w:rsid w:val="001303D6"/>
    <w:rsid w:val="001633FE"/>
    <w:rsid w:val="00186BE7"/>
    <w:rsid w:val="001E3B31"/>
    <w:rsid w:val="007B25B2"/>
    <w:rsid w:val="008A333A"/>
    <w:rsid w:val="009B3C59"/>
    <w:rsid w:val="00AD07DE"/>
    <w:rsid w:val="00C024D5"/>
    <w:rsid w:val="00DC5C9B"/>
    <w:rsid w:val="00F7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7F55D-59F4-4AD7-B69A-C85548F2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C59"/>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ind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ind w:firstLine="0"/>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line="240" w:lineRule="auto"/>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2015-05-21</dcterms:created>
  <dcterms:modified xsi:type="dcterms:W3CDTF">2015-05-21</dcterms:modified>
</cp:coreProperties>
</file>