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27.png" ContentType="image/png"/>
  <Override PartName="/word/media/rId29.png" ContentType="image/png"/>
  <Override PartName="/word/media/rId34.png" ContentType="image/png"/>
  <Override PartName="/word/media/rId32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28.png" ContentType="image/png"/>
  <Override PartName="/word/media/rId30.png" ContentType="image/png"/>
  <Override PartName="/word/media/rId35.png" ContentType="image/png"/>
  <Override PartName="/word/media/rId33.png" ContentType="image/png"/>
  <Override PartName="/word/media/rId38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Nearby</w:t>
      </w:r>
      <w:r>
        <w:t xml:space="preserve"> </w:t>
      </w:r>
      <w:r>
        <w:t xml:space="preserve">and</w:t>
      </w:r>
      <w:r>
        <w:t xml:space="preserve"> </w:t>
      </w:r>
      <w:r>
        <w:t xml:space="preserve">deferred</w:t>
      </w:r>
      <w:r>
        <w:t xml:space="preserve"> </w:t>
      </w:r>
      <w:r>
        <w:t xml:space="preserve">quotes:</w:t>
      </w:r>
      <w:r>
        <w:t xml:space="preserve"> </w:t>
      </w:r>
      <w:r>
        <w:t xml:space="preserve">What</w:t>
      </w:r>
      <w:r>
        <w:t xml:space="preserve"> </w:t>
      </w:r>
      <w:r>
        <w:t xml:space="preserve">they</w:t>
      </w:r>
      <w:r>
        <w:t xml:space="preserve"> </w:t>
      </w:r>
      <w:r>
        <w:t xml:space="preserve">tell</w:t>
      </w:r>
      <w:r>
        <w:t xml:space="preserve"> </w:t>
      </w:r>
      <w:r>
        <w:t xml:space="preserve">us</w:t>
      </w:r>
      <w:r>
        <w:t xml:space="preserve"> </w:t>
      </w:r>
      <w:r>
        <w:t xml:space="preserve">about</w:t>
      </w:r>
      <w:r>
        <w:t xml:space="preserve"> </w:t>
      </w:r>
      <w:r>
        <w:t xml:space="preserve">linkages</w:t>
      </w:r>
      <w:r>
        <w:t xml:space="preserve"> </w:t>
      </w:r>
      <w:r>
        <w:t xml:space="preserve">and</w:t>
      </w:r>
      <w:r>
        <w:t xml:space="preserve"> </w:t>
      </w:r>
      <w:r>
        <w:t xml:space="preserve">adjustments</w:t>
      </w:r>
      <w:r>
        <w:t xml:space="preserve"> </w:t>
      </w:r>
      <w:r>
        <w:t xml:space="preserve">to</w:t>
      </w:r>
      <w:r>
        <w:t xml:space="preserve"> </w:t>
      </w:r>
      <w:r>
        <w:t xml:space="preserve">information</w:t>
      </w:r>
    </w:p>
    <w:p>
      <w:pPr>
        <w:pStyle w:val="Authors"/>
      </w:pPr>
      <w:r>
        <w:t xml:space="preserve">Mindy</w:t>
      </w:r>
      <w:r>
        <w:t xml:space="preserve"> </w:t>
      </w:r>
      <w:r>
        <w:t xml:space="preserve">Mallory,</w:t>
      </w:r>
      <w:r>
        <w:t xml:space="preserve"> </w:t>
      </w:r>
      <w:r>
        <w:t xml:space="preserve">Phillip</w:t>
      </w:r>
      <w:r>
        <w:t xml:space="preserve"> </w:t>
      </w:r>
      <w:r>
        <w:t xml:space="preserve">Garcia,</w:t>
      </w:r>
      <w:r>
        <w:t xml:space="preserve"> </w:t>
      </w:r>
      <w:r>
        <w:t xml:space="preserve">and</w:t>
      </w:r>
      <w:r>
        <w:t xml:space="preserve"> </w:t>
      </w:r>
      <w:r>
        <w:t xml:space="preserve">Teresa</w:t>
      </w:r>
      <w:r>
        <w:t xml:space="preserve"> </w:t>
      </w:r>
      <w:r>
        <w:t xml:space="preserve">Serra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bookmarkStart w:id="21" w:name="introduction"/>
    <w:p>
      <w:pPr>
        <w:pStyle w:val="Heading1"/>
      </w:pPr>
      <w:r>
        <w:t xml:space="preserve">Introduction</w:t>
      </w:r>
    </w:p>
    <w:bookmarkEnd w:id="21"/>
    <w:p>
      <w:r>
        <w:t xml:space="preserve">Can we make the citations and biliography work</w:t>
      </w:r>
      <w:r>
        <w:t xml:space="preserve"> </w:t>
      </w:r>
      <w:r>
        <w:t xml:space="preserve">(Hasbrouck 2006; Easley, Prado and O’Hara 2011)</w:t>
      </w:r>
      <w:r>
        <w:t xml:space="preserve">?</w:t>
      </w:r>
    </w:p>
    <w:bookmarkStart w:id="22" w:name="literature-review"/>
    <w:p>
      <w:pPr>
        <w:pStyle w:val="Heading1"/>
      </w:pPr>
      <w:r>
        <w:t xml:space="preserve">Literature Review</w:t>
      </w:r>
    </w:p>
    <w:bookmarkEnd w:id="22"/>
    <w:bookmarkStart w:id="23" w:name="data"/>
    <w:p>
      <w:pPr>
        <w:pStyle w:val="Heading1"/>
      </w:pPr>
      <w:r>
        <w:t xml:space="preserve">Data</w:t>
      </w:r>
    </w:p>
    <w:bookmarkEnd w:id="23"/>
    <w:bookmarkStart w:id="24" w:name="analysis"/>
    <w:p>
      <w:pPr>
        <w:pStyle w:val="Heading1"/>
      </w:pPr>
      <w:r>
        <w:t xml:space="preserve">Analysis</w:t>
      </w:r>
    </w:p>
    <w:bookmarkEnd w:id="24"/>
    <w:bookmarkStart w:id="25" w:name="results"/>
    <w:p>
      <w:pPr>
        <w:pStyle w:val="Heading1"/>
      </w:pPr>
      <w:r>
        <w:t xml:space="preserve">Results</w:t>
      </w:r>
    </w:p>
    <w:bookmarkEnd w:id="25"/>
    <w:bookmarkStart w:id="26" w:name="contemporaneous-correlation"/>
    <w:p>
      <w:pPr>
        <w:pStyle w:val="Heading2"/>
      </w:pPr>
      <w:r>
        <w:t xml:space="preserve">Contemporaneous Correlation</w:t>
      </w:r>
    </w:p>
    <w:bookmarkEnd w:id="26"/>
    <w:p>
      <w:r>
        <w:drawing>
          <wp:inline>
            <wp:extent cx="73279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d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73279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FR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Contemporaneous Correlation with Nearby - Keep Zeros</w:t>
      </w:r>
    </w:p>
    <w:p>
      <w:r>
        <w:drawing>
          <wp:inline>
            <wp:extent cx="73279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d_plot_no0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73279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FR_plot_no0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Contemporaneous Correlation with Nearby - No Zeros</w:t>
      </w:r>
    </w:p>
    <w:bookmarkStart w:id="31" w:name="contemporaneous-correlation-on-usda-report-days"/>
    <w:p>
      <w:pPr>
        <w:pStyle w:val="Heading2"/>
      </w:pPr>
      <w:r>
        <w:t xml:space="preserve">Contemporaneous Correlation on USDA Report Days</w:t>
      </w:r>
    </w:p>
    <w:bookmarkEnd w:id="31"/>
    <w:p>
      <w:r>
        <w:drawing>
          <wp:inline>
            <wp:extent cx="73279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d_plot_re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73279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FR_plot_re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Contemporaneous Correlation with Nearby on USDA Report Days - Keep Zeros</w:t>
      </w:r>
    </w:p>
    <w:p>
      <w:r>
        <w:drawing>
          <wp:inline>
            <wp:extent cx="73279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d_plot_no0s_re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73279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FR_plot_no0s_re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 Contemporaneous Correlation with Nearby on USDA Report Days - No Zeros</w:t>
      </w:r>
    </w:p>
    <w:bookmarkStart w:id="36" w:name="contemporaneous-and-time-lagged-correlations"/>
    <w:p>
      <w:pPr>
        <w:pStyle w:val="Heading2"/>
      </w:pPr>
      <w:r>
        <w:t xml:space="preserve">Contemporaneous and Time-lagged Correlations</w:t>
      </w:r>
    </w:p>
    <w:bookmarkEnd w:id="36"/>
    <w:p>
      <w:r>
        <w:drawing>
          <wp:inline>
            <wp:extent cx="73279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d_plot_timel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73279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FR_plot_timel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5. Contemporaneous and Time-lagged Correlations between the Nearby and One-deferred Contract</w:t>
      </w:r>
    </w:p>
    <w:bookmarkStart w:id="39" w:name="contemporaneous-and-time-lagged-correlations-on-usda-report-days"/>
    <w:p>
      <w:pPr>
        <w:pStyle w:val="Heading2"/>
      </w:pPr>
      <w:r>
        <w:t xml:space="preserve">Contemporaneous and Time-lagged Correlations on USDA Report Days</w:t>
      </w:r>
    </w:p>
    <w:bookmarkEnd w:id="39"/>
    <w:p>
      <w:r>
        <w:drawing>
          <wp:inline>
            <wp:extent cx="73279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d_plot_timelag_re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73279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FR_plot_timelag_re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 Contemporaneous and Time-lagged Correlations between the Nearby and One-deferred Contract on USDA Report Days</w:t>
      </w:r>
    </w:p>
    <w:bookmarkStart w:id="42" w:name="spread-traders"/>
    <w:p>
      <w:pPr>
        <w:pStyle w:val="Heading2"/>
      </w:pPr>
      <w:r>
        <w:t xml:space="preserve">Spread Traders?</w:t>
      </w:r>
    </w:p>
    <w:bookmarkEnd w:id="42"/>
    <w:p>
      <w:r>
        <w:drawing>
          <wp:inline>
            <wp:extent cx="73279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DOFR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73279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FRBID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7. Contemporaneous Correlations with Nearby Bid-to-Ask and Ask-to-Bid - Keep Zeros</w:t>
      </w:r>
    </w:p>
    <w:bookmarkStart w:id="45" w:name="conclusions"/>
    <w:p>
      <w:pPr>
        <w:pStyle w:val="Heading1"/>
      </w:pPr>
      <w:r>
        <w:t xml:space="preserve">Conclusions</w:t>
      </w:r>
    </w:p>
    <w:bookmarkEnd w:id="45"/>
    <w:bookmarkStart w:id="46" w:name="references"/>
    <w:p>
      <w:pPr>
        <w:pStyle w:val="Heading1"/>
      </w:pPr>
      <w:r>
        <w:t xml:space="preserve">References</w:t>
      </w:r>
    </w:p>
    <w:bookmarkEnd w:id="46"/>
    <w:p>
      <w:r>
        <w:t xml:space="preserve">Easley, D., M. Lopez de Prado, and O’HaraM. 2011. “The microstructure of the ‘flash crash’: Flow toxicity, liquidity crashes and the probability of informed trading.”</w:t>
      </w:r>
      <w:r>
        <w:t xml:space="preserve"> </w:t>
      </w:r>
      <w:r>
        <w:rPr>
          <w:i/>
        </w:rPr>
        <w:t xml:space="preserve">The Journal of Portfolio Management</w:t>
      </w:r>
      <w:r>
        <w:t xml:space="preserve"> </w:t>
      </w:r>
      <w:r>
        <w:t xml:space="preserve">37(2):118–128.</w:t>
      </w:r>
    </w:p>
    <w:p>
      <w:r>
        <w:t xml:space="preserve">Hasbrouck, J. 2006.</w:t>
      </w:r>
      <w:r>
        <w:t xml:space="preserve"> </w:t>
      </w:r>
      <w:r>
        <w:rPr>
          <w:i/>
        </w:rPr>
        <w:t xml:space="preserve">Empirical market microstructure: The institutions, economics, and econometrics of securities trading</w:t>
      </w:r>
      <w:r>
        <w:t xml:space="preserve">. Oxford University Press.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f21d4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1633FE"/>
    <w:rsid w:val="001633FE"/>
    <w:rsid w:val="00186BE7"/>
    <w:rsid w:val="001E3B31"/>
    <w:rsid w:val="007B25B2"/>
    <w:rsid w:val="008A333A"/>
    <w:rsid w:val="00AD07DE"/>
    <w:rsid w:val="00DC5C9B"/>
    <w:rsid w:val="00F7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7F55D-59F4-4AD7-B69A-C85548F2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BE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C9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C9B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C9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C9B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25B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5B2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uthorDateLine">
    <w:name w:val="AuthorDate Line"/>
    <w:basedOn w:val="Normal"/>
    <w:qFormat/>
    <w:rsid w:val="007B25B2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Nearby and deferred quotes: What they tell us about linkages and adjustments to information</dc:title>
  <dc:creator>Mindy Mallory, Phillip Garcia, and Teresa Serra</dc:creator>
  <dcterms:created xsi:type="dcterms:W3CDTF">2015-05-20</dcterms:created>
  <dcterms:modified xsi:type="dcterms:W3CDTF">2015-05-20</dcterms:modified>
</cp:coreProperties>
</file>