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July</w:t>
      </w:r>
      <w:r>
        <w:t xml:space="preserve"> </w:t>
      </w:r>
      <w:r>
        <w:t xml:space="preserve">08,</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XX/XX/2008-11/4/2011.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uncertianty,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instead we aggregate to the second by taking the last recorded state of the top-of-the-book.</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anticipated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methodoligies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w:t>
      </w:r>
      <w:r>
        <w:t xml:space="preserve">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w:t>
      </w:r>
      <w:r>
        <w:t xml:space="preserve"> </w:t>
      </w:r>
      <w:r>
        <w:t xml:space="preserve">(Lehecka et al. 2014)</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thorugh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6"/>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7" w:name="conclusions"/>
      <w:bookmarkEnd w:id="37"/>
      <w:r>
        <w:t xml:space="preserve">Conclusions</w:t>
      </w:r>
    </w:p>
    <w:p>
      <w:r>
        <w:t xml:space="preserve">In this paper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deffered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incorporated in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8" w:name="tables"/>
      <w:bookmarkEnd w:id="38"/>
      <w:r>
        <w:t xml:space="preserve">Tables</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TableCaption"/>
      </w:pPr>
      <w:r>
        <w:t xml:space="preserve">Table 1: First ten entries in our data set.</w:t>
      </w:r>
    </w:p>
    <w:p>
      <w:pPr>
        <w:pStyle w:val="Heading1"/>
      </w:pPr>
      <w:bookmarkStart w:id="39" w:name="figures"/>
      <w:bookmarkEnd w:id="39"/>
      <w:r>
        <w:t xml:space="preserve">Figures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5">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7">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8">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9">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60">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1">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2">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3">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4">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5">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6">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7">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 w:id="36">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ae7a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2015-07-08</dcterms:created>
  <dcterms:modified xsi:type="dcterms:W3CDTF">2015-07-08</dcterms:modified>
</cp:coreProperties>
</file>