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39.png" ContentType="image/png"/>
  <Override PartName="/word/media/rId41.png" ContentType="image/png"/>
  <Override PartName="/word/media/rId45.png" ContentType="image/png"/>
  <Override PartName="/word/media/rId43.png" ContentType="image/png"/>
  <Override PartName="/word/media/rId47.png" ContentType="image/png"/>
  <Override PartName="/word/media/rId49.png" ContentType="image/png"/>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05,</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have impacted market efficiency (futures markets as unbiased predictors of future spot prices) and efficacy in the traditional roles of risk mitigation and coordinating production and consumption activities through time (cite). While number of academic articles have considered these issues, none addressed them from the perspective of the market microstructure literature. This is because relatively scant microstructure literature exists that was developed with the particular market characteristics of commodity futures markets in mind.</w:t>
      </w:r>
    </w:p>
    <w:p>
      <w:r>
        <w:t xml:space="preserve">For example, in commodities futures markets several contracts with different maturities trade in the marketplace, each reacting to information and liquidity based shocks. They react differently to information based shocks because there is a cost to store the physical commodity through time. Therefore, an information based shock that is most pertinent to the nearby contract may have large effect on the nearby futures contract, but a dampened effect in more distant maturing contracts.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in the case of commodities produced once per year - corn, for example, is harvested in the fall of each year and the 'new crop contract' with a December maturity will routinely attract more volume than the May or July contract even when the May or July contract expires sooner.</w:t>
      </w:r>
    </w:p>
    <w:p>
      <w:r>
        <w:t xml:space="preserve">These features have not been given a full theoretical treatment in the market microstructure literature. However, in this article we develop metrics on transmission of information and liquidity based on insights we combined from the sequential trading in single securities and index futures based on a basket of securities. Using the result that quote revisions only occur if there has been an information event,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We find within one second information has been fully transmitted from nearby to deferred contract maturities.</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about the value of the security down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 in Kumar and Seppi's model need only to wait to profit for others in the marketplace to learn the information they already know and placed a trade based upon. The futures market spread trader entertains much more risk in betting on relative price changes between to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If arbitrageurs only made perfectly offsetting orders in the cash and futures markets, this would trivially be a perfect negative correlation. What this behavior means for bids, offers, and relative transaction prices in the cash and futures market is unclear because sometimes the arbitrageurs' activities will cause the cash and futures prices to come together and sometimes it will cause them to diverge.</w:t>
      </w:r>
    </w:p>
    <w:p>
      <w:r>
        <w:t xml:space="preserve">In the next section we draw insights from the sequential trading models described above to generate some empirical predictions about the correlations between the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verses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w:t>
      </w:r>
    </w:p>
    <w:p>
      <w:r>
        <w:t xml:space="preserve">First, we begin with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 conducted by uninformed traders demanding liquidity.</w:t>
      </w:r>
    </w:p>
    <w:p>
      <w:r>
        <w:t xml:space="preserve">Conversely, when we observe revisions to the bid or offer, we can infer that the market maker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we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 instant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several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9" w:name="results"/>
      <w:bookmarkEnd w:id="29"/>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30" w:name="contemporaneous-correlation"/>
      <w:bookmarkEnd w:id="30"/>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1" w:name="contemporaneous-correlation---information-based-activity-only"/>
      <w:bookmarkEnd w:id="31"/>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2" w:name="contemporaneous-correlation-on-usda-report-days"/>
      <w:bookmarkEnd w:id="32"/>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on days of USDA report announcements.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3" w:name="contemporaneous-correlation---usda-report-days-and-information-based-activity-only"/>
      <w:bookmarkEnd w:id="33"/>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4" w:name="contemporaneous-and-time-lagged-correlations"/>
      <w:bookmarkEnd w:id="34"/>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5"/>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conclusions"/>
      <w:bookmarkEnd w:id="36"/>
      <w:r>
        <w:t xml:space="preserve">Conclusions</w:t>
      </w:r>
    </w:p>
    <w:p>
      <w:pPr>
        <w:pStyle w:val="Heading1"/>
      </w:pPr>
      <w:bookmarkStart w:id="37" w:name="tables"/>
      <w:bookmarkEnd w:id="37"/>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38" w:name="figures"/>
      <w:bookmarkEnd w:id="38"/>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3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3" w:name="references"/>
      <w:bookmarkEnd w:id="53"/>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4">
        <w:r>
          <w:rPr>
            <w:rStyle w:val="Link"/>
          </w:rPr>
          <w:t xml:space="preserve">http://www.scopus.com/inward/record.url?eid=2-s2.0-33846279422&amp;partnerID=40&amp;md5=864042ba646f1d94703dccc526ad2da8</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5">
        <w:r>
          <w:rPr>
            <w:rStyle w:val="Link"/>
          </w:rPr>
          <w:t xml:space="preserve">http://ssrn.com/abstract=2237499</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56">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57">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35">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6b5b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55" Target=" http://ssrn.com/abstract=2237499 " TargetMode="External" /><Relationship Type="http://schemas.openxmlformats.org/officeDocument/2006/relationships/hyperlink" Id="rId57" Target="http://www.sciencedirect.com/science/article/pii/S0378426611002433" TargetMode="External" /><Relationship Type="http://schemas.openxmlformats.org/officeDocument/2006/relationships/hyperlink" Id="rId56" Target="http://www.scopus.com/inward/record.url?eid=2-s2.0-33748041619&amp;partnerID=40&amp;md5=1eb71f6d3df8978c80f959991cfc4348" TargetMode="External" /><Relationship Type="http://schemas.openxmlformats.org/officeDocument/2006/relationships/hyperlink" Id="rId54"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5" Target=" http://ssrn.com/abstract=2237499 " TargetMode="External" /><Relationship Type="http://schemas.openxmlformats.org/officeDocument/2006/relationships/hyperlink" Id="rId57" Target="http://www.sciencedirect.com/science/article/pii/S0378426611002433" TargetMode="External" /><Relationship Type="http://schemas.openxmlformats.org/officeDocument/2006/relationships/hyperlink" Id="rId56" Target="http://www.scopus.com/inward/record.url?eid=2-s2.0-33748041619&amp;partnerID=40&amp;md5=1eb71f6d3df8978c80f959991cfc4348" TargetMode="External" /><Relationship Type="http://schemas.openxmlformats.org/officeDocument/2006/relationships/hyperlink" Id="rId54"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2015-06-05</dcterms:created>
  <dcterms:modified xsi:type="dcterms:W3CDTF">2015-06-05</dcterms:modified>
</cp:coreProperties>
</file>