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40.png" ContentType="image/png"/>
  <Override PartName="/word/media/rId42.png" ContentType="image/png"/>
  <Override PartName="/word/media/rId46.png" ContentType="image/png"/>
  <Override PartName="/word/media/rId44.png" ContentType="image/png"/>
  <Override PartName="/word/media/rId48.png" ContentType="image/png"/>
  <Override PartName="/word/media/rId50.png" ContentType="image/png"/>
  <Override PartName="/word/media/rId53.png" ContentType="image/png"/>
  <Override PartName="/word/media/rId41.png" ContentType="image/png"/>
  <Override PartName="/word/media/rId43.png" ContentType="image/png"/>
  <Override PartName="/word/media/rId47.png" ContentType="image/png"/>
  <Override PartName="/word/media/rId45.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May</w:t>
      </w:r>
      <w:r>
        <w:t xml:space="preserve"> </w:t>
      </w:r>
      <w:r>
        <w:t xml:space="preserve">28,</w:t>
      </w:r>
      <w:r>
        <w:t xml:space="preserve"> </w:t>
      </w:r>
      <w:r>
        <w:t xml:space="preserve">2015</w:t>
      </w:r>
    </w:p>
    <w:p>
      <w:pPr>
        <w:pStyle w:val="Heading1"/>
      </w:pPr>
      <w:bookmarkStart w:id="21" w:name="introduction"/>
      <w:bookmarkEnd w:id="21"/>
      <w:r>
        <w:t xml:space="preserve">Introduction</w:t>
      </w:r>
    </w:p>
    <w:p>
      <w:r>
        <w:t xml:space="preserve">Can we make the citations and biliography work</w:t>
      </w:r>
      <w:r>
        <w:t xml:space="preserve"> </w:t>
      </w:r>
      <w:r>
        <w:t xml:space="preserve">(Hasbrouck 2006; Easley, Lopez de Prado and O’Hara 2011)</w:t>
      </w:r>
      <w:r>
        <w:t xml:space="preserve">?</w:t>
      </w:r>
    </w:p>
    <w:p>
      <w:pPr>
        <w:pStyle w:val="Heading1"/>
      </w:pPr>
      <w:bookmarkStart w:id="22" w:name="literature-review"/>
      <w:bookmarkEnd w:id="22"/>
      <w:r>
        <w:t xml:space="preserve">Literature Review</w:t>
      </w:r>
    </w:p>
    <w:p>
      <w:pPr>
        <w:pStyle w:val="Heading1"/>
      </w:pPr>
      <w:bookmarkStart w:id="23" w:name="conceptual-framework"/>
      <w:bookmarkEnd w:id="23"/>
      <w:r>
        <w:t xml:space="preserve">Conceptual Framework</w:t>
      </w:r>
    </w:p>
    <w:p>
      <w:r>
        <w:t xml:space="preserve">The role of liquidity trades verses information based trades.</w:t>
      </w:r>
    </w:p>
    <w:p>
      <w:pPr>
        <w:pStyle w:val="Heading1"/>
      </w:pPr>
      <w:bookmarkStart w:id="24" w:name="data"/>
      <w:bookmarkEnd w:id="24"/>
      <w:r>
        <w:t xml:space="preserve">Data</w:t>
      </w:r>
    </w:p>
    <w:p>
      <w:r>
        <w:t xml:space="preserve">The data used in this analysis comes from the CME Group's Top of Book (BBO) database for corn futures contracts from 1/4/2010-11/4/2011. The data contains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(cite Wang and Easley).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 instead.</w:t>
      </w:r>
    </w:p>
    <w:p>
      <w:r>
        <w:t xml:space="preserve">Further, we exclude days on which there was a limit price move in any of the contracts, since when prices are locked at the limit, calculating correlations is impossible (Dates deleted due to limit price moves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5" w:name="analysis"/>
      <w:bookmarkEnd w:id="25"/>
      <w:r>
        <w:t xml:space="preserve">Analysis</w:t>
      </w:r>
    </w:p>
    <w:p>
      <w:r>
        <w:t xml:space="preserve">Our analysis simply considers the correlation of revisions to nearby contract bids (offers) with one, two, and three deferred contract bids (offers), respectively. The operating assumption here is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Given the high frequency and irregularly spaced nature of the data, such distributional assumptions are often problematic (cite).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with one day's worth of data. This allows us to detect if there are any discernible patterns to the correlations over the trading day. Further, since we calculate one correlation per day we also recover a whole distribution of the correlations for each time interval.</w:t>
      </w:r>
    </w:p>
    <w:p>
      <w:pPr>
        <w:pStyle w:val="Heading2"/>
      </w:pPr>
      <w:bookmarkStart w:id="26" w:name="usda-announcement-days"/>
      <w:bookmarkEnd w:id="26"/>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7" w:name="treatment-of-zero-changes"/>
      <w:bookmarkEnd w:id="27"/>
      <w:r>
        <w:t xml:space="preserve">Treatment of Zero Changes</w:t>
      </w:r>
    </w:p>
    <w:p>
      <w:r>
        <w:t xml:space="preserve">We mentioned above that it is common to have multiple revisions to the order book happen in the same second (and consequently receive the same time-stamp in the data). The converse is also true, however. There are also many instances where a number of seconds will transpire before a revision to the top of the order book arrives. This results in our variables, log changes in best bid (offer), containing many zeros. How these zeros are distributed between the contracts is related to the concepts of liquidity-based activity verses information-based activity discussed in the conceptual framework above.</w:t>
      </w:r>
    </w:p>
    <w:p>
      <w:r>
        <w:t xml:space="preserve">To fix ideas consider the case where we intend to calculate the contemporaneous correlation between the nearby and the deferred contracts. There are four possibilities for the presence of zeros. On any time stamp one of four situations may be operative: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neither liquidity based activity nor information-based activity.</w:t>
      </w:r>
    </w:p>
    <w:p>
      <w:r>
        <w:t xml:space="preserve">The intuition is that if both the nearby and deferred contracts experience a revision in the same direction, they are likely responding to the the arrival of information to the marketplace, and best bids (offers) adjusted accordingly. This in contrast to the case where one of the two contracts experienced a revision and the other contract had no change. If one contract experienced a revision in the best bid (offer) and the other did not, it is likely that the revision resulted from someone making a liquidity based order in an effort to exit their position.</w:t>
      </w:r>
    </w:p>
    <w:p>
      <w:r>
        <w:t xml:space="preserve">If this intuition is correct, it is informative to consider only time-stamps for which both contracts experienced a revision.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28" w:name="results"/>
      <w:bookmarkEnd w:id="28"/>
      <w:r>
        <w:t xml:space="preserve">Results</w:t>
      </w:r>
    </w:p>
    <w:p>
      <w:r>
        <w:t xml:space="preserve">In this section we present a series of charts that display the calculations described in the preceding section. First we present all the correlation charts calculated contemporaneously: full sample, liquidity activity only, USDA report days only. Then we present correlation charts calculated at one and ten second time lags of the nearby contract for the full sample, liquidity activity only, and USDA report days only.</w:t>
      </w:r>
    </w:p>
    <w:p>
      <w:r>
        <w:t xml:space="preserve">For each set of figures panel A is produced with bid-to-bid correlations and panel B is produced with offer-to-offer correlations of the nearby and deferred maturity contracts. Correlations are calculated over ten minute intervals starting at 9:30am Central Standard Time, the beginning of the daytime trading session for CBOT corn futures. One correlation is is calculated per day per ten minute bin, so for every ten minute bin we recover a distribution of correlations. The dots represent the mean of the distribution and the bars represent one standard deviation.</w:t>
      </w:r>
    </w:p>
    <w:p>
      <w:pPr>
        <w:pStyle w:val="Heading2"/>
      </w:pPr>
      <w:bookmarkStart w:id="29" w:name="contemporaneous-correlation"/>
      <w:bookmarkEnd w:id="29"/>
      <w:r>
        <w:t xml:space="preserve">Contemporaneous Correlation</w:t>
      </w:r>
    </w:p>
    <w:p>
      <w:r>
        <w:t xml:space="preserve">In figure 1 contemporaneous correlation between the nearby and one, two, and three deferred maturity contracts are calculated. Correlations between both the nearby bid and deferred bids in panel A and nearby offers and deferred offers in panel B seem to have fairly stable means beginning around 0.6 at the start of the trading day and falling slightly to around 0.5 as trading progresses. Both means and one standard deviation error bars seem to exhibit a fairly constant and stable relationship over the trading day; there is no trend up or downward in the mean correlations as trading progresses.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r>
        <w:t xml:space="preserve">In panel B, we see a very similar panel after calculating the correlations for offers between the nearby and deferred maturities.</w:t>
      </w:r>
    </w:p>
    <w:p>
      <w:pPr>
        <w:pStyle w:val="Heading2"/>
      </w:pPr>
      <w:bookmarkStart w:id="30" w:name="contemporaneous-correlation---information-based-activity-only"/>
      <w:bookmarkEnd w:id="30"/>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1/8th of a cent increments.), not all of it can be attributed to that. We contend that this result further supports interpreting this activity as information based.</w:t>
      </w:r>
    </w:p>
    <w:p>
      <w:pPr>
        <w:pStyle w:val="Heading2"/>
      </w:pPr>
      <w:bookmarkStart w:id="31" w:name="contemporaneous-correlation-on-usda-report-days"/>
      <w:bookmarkEnd w:id="31"/>
      <w:r>
        <w:t xml:space="preserve">Contemporaneous Correlation on USDA Report Days</w:t>
      </w:r>
    </w:p>
    <w:p>
      <w:pPr>
        <w:pStyle w:val="Heading2"/>
      </w:pPr>
      <w:bookmarkStart w:id="32" w:name="contemporaneous-and-time-lagged-correlations"/>
      <w:bookmarkEnd w:id="32"/>
      <w:r>
        <w:t xml:space="preserve">Contemporaneous and Time-lagged Correlations</w:t>
      </w:r>
    </w:p>
    <w:p>
      <w:pPr>
        <w:pStyle w:val="Heading2"/>
      </w:pPr>
      <w:bookmarkStart w:id="33" w:name="contemporaneous-and-time-lagged-correlations-on-usda-report-days"/>
      <w:bookmarkEnd w:id="33"/>
      <w:r>
        <w:t xml:space="preserve">Contemporaneous and Time-lagged Correlations on USDA Report Days</w:t>
      </w:r>
    </w:p>
    <w:p>
      <w:pPr>
        <w:pStyle w:val="Heading1"/>
      </w:pPr>
      <w:bookmarkStart w:id="34" w:name="discussion"/>
      <w:bookmarkEnd w:id="34"/>
      <w:r>
        <w:t xml:space="preserve">Discussion</w:t>
      </w:r>
    </w:p>
    <w:p>
      <w:r>
        <w:t xml:space="preserve">Spread traders? High frequency trade?</w:t>
      </w:r>
    </w:p>
    <w:p>
      <w:pPr>
        <w:pStyle w:val="Heading2"/>
      </w:pPr>
      <w:bookmarkStart w:id="35" w:name="spread-traders"/>
      <w:bookmarkEnd w:id="35"/>
      <w:r>
        <w:t xml:space="preserve">Spread Traders?</w:t>
      </w:r>
    </w:p>
    <w:p>
      <w:pPr>
        <w:pStyle w:val="Heading2"/>
      </w:pPr>
      <w:bookmarkStart w:id="36" w:name="a-measure-of-the-proportion-of-market-activity-attributable-to-information--verses-liquidity-based-activity"/>
      <w:bookmarkEnd w:id="36"/>
      <w:r>
        <w:t xml:space="preserve">A Measure of the Proportion of Market Activity Attributable to Information- verses Liquidity-Based Activity</w:t>
      </w:r>
    </w:p>
    <w:p>
      <w:pPr>
        <w:pStyle w:val="Heading1"/>
      </w:pPr>
      <w:bookmarkStart w:id="37" w:name="conclusions"/>
      <w:bookmarkEnd w:id="37"/>
      <w:r>
        <w:t xml:space="preserve">Conclusions</w:t>
      </w:r>
    </w:p>
    <w:p>
      <w:pPr>
        <w:pStyle w:val="Heading1"/>
      </w:pPr>
      <w:bookmarkStart w:id="38" w:name="tables"/>
      <w:bookmarkEnd w:id="38"/>
      <w:r>
        <w:t xml:space="preserve">Tables</w:t>
      </w:r>
    </w:p>
    <w:p>
      <w:pPr>
        <w:pStyle w:val="TableCaption"/>
      </w:pPr>
      <w:r>
        <w:t xml:space="preserve">Table 1: First ten entries in our data set.</w:t>
      </w:r>
    </w:p>
    <w:tbl>
      <w:tblPr>
        <w:tblStyle w:val="TableNormal"/>
        <w:tblW w:type="pct" w:w="0.0"/>
        <w:tblCaption w:val="Table 1: 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Heading1"/>
      </w:pPr>
      <w:bookmarkStart w:id="39" w:name="figures"/>
      <w:bookmarkEnd w:id="39"/>
      <w:r>
        <w:t xml:space="preserve">Figures</w:t>
      </w:r>
    </w:p>
    <w:p>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40"/>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3"/>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4" w:name="references"/>
      <w:bookmarkEnd w:id="54"/>
      <w:r>
        <w:t xml:space="preserve">References</w:t>
      </w:r>
    </w:p>
    <w:p>
      <w:pPr>
        <w:pStyle w:val="Bibliography"/>
      </w:pPr>
      <w:r>
        <w:t xml:space="preserve">Easley, D., M. Lopez de Prado, and M. O’Hara. 2011. “The microstructure of the ‘flash crash’: Flow toxicity, liquidity crashes and the probability of informed trading.”</w:t>
      </w:r>
      <w:r>
        <w:t xml:space="preserve"> </w:t>
      </w:r>
      <w:r>
        <w:rPr>
          <w:i/>
        </w:rPr>
        <w:t xml:space="preserve">The Journal of Portfolio Management</w:t>
      </w:r>
      <w:r>
        <w:t xml:space="preserve"> </w:t>
      </w:r>
      <w:r>
        <w:t xml:space="preserve">37(2):118–128.</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ee2e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Phillip Garcia, and Teresa Serra</dc:creator>
  <dcterms:created xsi:type="dcterms:W3CDTF">2015-05-28</dcterms:created>
  <dcterms:modified xsi:type="dcterms:W3CDTF">2015-05-28</dcterms:modified>
</cp:coreProperties>
</file>