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02,</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formalized Bagehot's model; the assumed that the proportion of informed traders in the market was</w:t>
      </w:r>
      <w:r>
        <w:t xml:space="preserve"> </w:t>
      </w:r>
      <m:oMath>
        <m:r>
          <m:rPr>
            <m:sty m:val="p"/>
          </m:rPr>
          <m:t>π</m:t>
        </m:r>
      </m:oMath>
      <w:r>
        <w:t xml:space="preserve">.</w:t>
      </w:r>
      <w:r>
        <w:t xml:space="preserve"> </w:t>
      </w:r>
      <w:r>
        <w:t xml:space="preserve">O’hara (1995)</w:t>
      </w:r>
      <w:r>
        <w:t xml:space="preserve"> </w:t>
      </w:r>
      <w:r>
        <w:t xml:space="preserve">provides an excellent summary of this evolution.</w:t>
      </w:r>
    </w:p>
    <w:p>
      <w:pPr>
        <w:pStyle w:val="Heading1"/>
      </w:pPr>
      <w:bookmarkStart w:id="23" w:name="conceptual-framework"/>
      <w:bookmarkEnd w:id="23"/>
      <w:r>
        <w:t xml:space="preserve">Conceptual Framework</w:t>
      </w:r>
    </w:p>
    <w:p>
      <w:r>
        <w:t xml:space="preserve">The role of liquidity trades verses information based trades.</w:t>
      </w:r>
    </w:p>
    <w:p>
      <w:pPr>
        <w:pStyle w:val="Heading1"/>
      </w:pPr>
      <w:bookmarkStart w:id="24" w:name="data"/>
      <w:bookmarkEnd w:id="24"/>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5" w:name="analysis"/>
      <w:bookmarkEnd w:id="25"/>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6" w:name="usda-announcement-days"/>
      <w:bookmarkEnd w:id="26"/>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7" w:name="treatment-of-zero-changes"/>
      <w:bookmarkEnd w:id="27"/>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8" w:name="results"/>
      <w:bookmarkEnd w:id="28"/>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29" w:name="contemporaneous-correlation"/>
      <w:bookmarkEnd w:id="29"/>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0" w:name="contemporaneous-correlation---information-based-activity-only"/>
      <w:bookmarkEnd w:id="30"/>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1" w:name="contemporaneous-correlation-on-usda-report-days"/>
      <w:bookmarkEnd w:id="31"/>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2" w:name="contemporaneous-correlation---usda-report-days-and-information-based-activity-only"/>
      <w:bookmarkEnd w:id="32"/>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3" w:name="contemporaneous-and-time-lagged-correlations"/>
      <w:bookmarkEnd w:id="33"/>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4"/>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5" w:name="discussion"/>
      <w:bookmarkEnd w:id="35"/>
      <w:r>
        <w:t xml:space="preserve">Discussion</w:t>
      </w:r>
    </w:p>
    <w:p>
      <w:r>
        <w:t xml:space="preserve">Spread traders? High frequency trade?</w:t>
      </w:r>
    </w:p>
    <w:p>
      <w:pPr>
        <w:pStyle w:val="Heading2"/>
      </w:pPr>
      <w:bookmarkStart w:id="36" w:name="a-measure-of-the-proportion-of-market-activity-attributable-to-information--verses-liquidity-based-activity"/>
      <w:bookmarkEnd w:id="36"/>
      <w:r>
        <w:t xml:space="preserve">A Measure of the Proportion of Market Activity Attributable to Information- verses Liquidity-Based Activity</w:t>
      </w:r>
    </w:p>
    <w:p>
      <w:pPr>
        <w:pStyle w:val="Heading1"/>
      </w:pPr>
      <w:bookmarkStart w:id="37" w:name="conclusions"/>
      <w:bookmarkEnd w:id="37"/>
      <w:r>
        <w:t xml:space="preserve">Conclusions</w:t>
      </w:r>
    </w:p>
    <w:p>
      <w:pPr>
        <w:pStyle w:val="Heading1"/>
      </w:pPr>
      <w:bookmarkStart w:id="38" w:name="tables"/>
      <w:bookmarkEnd w:id="38"/>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9" w:name="figures"/>
      <w:bookmarkEnd w:id="39"/>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O’hara, M. 1995.</w:t>
      </w:r>
      <w:r>
        <w:t xml:space="preserve"> </w:t>
      </w:r>
      <w:r>
        <w:rPr>
          <w:i/>
        </w:rPr>
        <w:t xml:space="preserve">Market microstructure theory</w:t>
      </w:r>
      <w:r>
        <w:t xml:space="preserve">. Blackwell Cambridge, MA.</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4">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35c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2015-06-02</dcterms:created>
  <dcterms:modified xsi:type="dcterms:W3CDTF">2015-06-02</dcterms:modified>
</cp:coreProperties>
</file>