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966" w:themeColor="accent4" w:themeTint="99"/>
  <w:body>
    <w:p w14:paraId="44D0FC1E" w14:textId="0CFA15B2" w:rsidR="00F31148" w:rsidRPr="00F31148" w:rsidRDefault="00F31148">
      <w:pPr>
        <w:rPr>
          <w:rFonts w:ascii="Arial Nova" w:hAnsi="Arial Nova" w:cs="Aparajita"/>
          <w:b/>
          <w:bCs/>
          <w:color w:val="385623" w:themeColor="accent6" w:themeShade="80"/>
          <w:sz w:val="52"/>
          <w:szCs w:val="52"/>
        </w:rPr>
      </w:pPr>
      <w:r w:rsidRPr="00F31148">
        <w:rPr>
          <w:rFonts w:ascii="Arial Nova" w:hAnsi="Arial Nova" w:cs="Aparajita"/>
          <w:b/>
          <w:bCs/>
          <w:color w:val="385623" w:themeColor="accent6" w:themeShade="80"/>
          <w:sz w:val="52"/>
          <w:szCs w:val="52"/>
        </w:rPr>
        <w:t>Price Analysis: A Fundamental Approach to the Study of Commodity Prices</w:t>
      </w:r>
    </w:p>
    <w:p w14:paraId="2445D893" w14:textId="77777777" w:rsidR="00F31148" w:rsidRDefault="00F31148">
      <w:pPr>
        <w:rPr>
          <w:rFonts w:ascii="Arial Nova" w:hAnsi="Arial Nova" w:cs="Aparajita"/>
          <w:color w:val="385623" w:themeColor="accent6" w:themeShade="80"/>
          <w:sz w:val="36"/>
          <w:szCs w:val="36"/>
        </w:rPr>
      </w:pPr>
    </w:p>
    <w:p w14:paraId="15140604" w14:textId="3B33BD6F" w:rsidR="00F31148" w:rsidRPr="00F31148" w:rsidRDefault="00F31148">
      <w:pPr>
        <w:rPr>
          <w:rFonts w:ascii="Arial Nova" w:hAnsi="Arial Nova" w:cs="Aparajita"/>
          <w:color w:val="385623" w:themeColor="accent6" w:themeShade="80"/>
          <w:sz w:val="36"/>
          <w:szCs w:val="36"/>
        </w:rPr>
      </w:pPr>
      <w:r w:rsidRPr="00F31148">
        <w:rPr>
          <w:rFonts w:ascii="Arial Nova" w:hAnsi="Arial Nova" w:cs="Aparajita"/>
          <w:color w:val="385623" w:themeColor="accent6" w:themeShade="80"/>
          <w:sz w:val="36"/>
          <w:szCs w:val="36"/>
        </w:rPr>
        <w:t>Mindy Lyn Mallory</w:t>
      </w:r>
    </w:p>
    <w:p w14:paraId="14AAC1D9" w14:textId="4AF710B5" w:rsidR="00F31148" w:rsidRDefault="00F31148">
      <w:pPr>
        <w:rPr>
          <w:color w:val="385623" w:themeColor="accent6" w:themeShade="80"/>
          <w:sz w:val="36"/>
          <w:szCs w:val="36"/>
        </w:rPr>
      </w:pPr>
      <w:r w:rsidRPr="00F31148">
        <w:rPr>
          <w:noProof/>
          <w:color w:val="385623" w:themeColor="accent6" w:themeShade="80"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2352FAB9" wp14:editId="434B7293">
            <wp:simplePos x="0" y="0"/>
            <wp:positionH relativeFrom="column">
              <wp:posOffset>0</wp:posOffset>
            </wp:positionH>
            <wp:positionV relativeFrom="paragraph">
              <wp:posOffset>321623</wp:posOffset>
            </wp:positionV>
            <wp:extent cx="6018530" cy="6018530"/>
            <wp:effectExtent l="0" t="0" r="1270" b="1270"/>
            <wp:wrapNone/>
            <wp:docPr id="969106668" name="Picture 1" descr="A corn and wheat in a cornfield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06668" name="Picture 1" descr="A corn and wheat in a cornfield&#10;&#10;&#10;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1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48"/>
    <w:rsid w:val="00F3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3]"/>
    </o:shapedefaults>
    <o:shapelayout v:ext="edit">
      <o:idmap v:ext="edit" data="1"/>
    </o:shapelayout>
  </w:shapeDefaults>
  <w:decimalSymbol w:val="."/>
  <w:listSeparator w:val=","/>
  <w14:docId w14:val="088C6E50"/>
  <w15:chartTrackingRefBased/>
  <w15:docId w15:val="{6C97EDDF-7762-411A-82AC-6F96A382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Mallory, Mindy Lyn</dc:creator>
  <cp:keywords/>
  <dc:description/>
  <cp:lastModifiedBy>Mallory, Mindy Lyn</cp:lastModifiedBy>
  <cp:revision>1</cp:revision>
  <dcterms:created xsi:type="dcterms:W3CDTF">2023-12-21T19:19:00Z</dcterms:created>
  <dcterms:modified xsi:type="dcterms:W3CDTF">2023-12-21T19:28:00Z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2023-12-21T19:28:11Z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e013e3f6-038c-41ee-9c2c-c02a0fed3e96</vt:lpwstr>
  </property>
  <property fmtid="{D5CDD505-2E9C-101B-9397-08002B2CF9AE}" pid="8" name="MSIP_Label_4044bd30-2ed7-4c9d-9d12-46200872a97b_ContentBits">
    <vt:lpwstr>0</vt:lpwstr>
  </property>
</Properties>
</file>