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5D2D7908" w14:textId="77777777" w:rsidR="008F4150" w:rsidRDefault="008F4150" w:rsidP="008B6524">
      <w:pPr>
        <w:pStyle w:val="Author"/>
        <w:spacing w:before="5pt" w:beforeAutospacing="1" w:after="5pt" w:afterAutospacing="1"/>
        <w:rPr>
          <w:rFonts w:eastAsia="MS Mincho"/>
          <w:kern w:val="48"/>
          <w:sz w:val="48"/>
          <w:szCs w:val="48"/>
        </w:rPr>
      </w:pPr>
      <w:r w:rsidRPr="008F4150">
        <w:rPr>
          <w:rFonts w:eastAsia="MS Mincho"/>
          <w:kern w:val="48"/>
          <w:sz w:val="48"/>
          <w:szCs w:val="48"/>
        </w:rPr>
        <w:t>Deep Reinforcement Learning Vulnerability Scanner for Modern Web Applications</w:t>
      </w:r>
    </w:p>
    <w:p w14:paraId="24DF2CD4" w14:textId="409CDF40" w:rsidR="009303D9" w:rsidRDefault="00D7522C" w:rsidP="008B6524">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252719C2" w:rsidR="00BD670B" w:rsidRDefault="009303D9" w:rsidP="00BD670B">
      <w:pPr>
        <w:pStyle w:val="Author"/>
        <w:spacing w:before="5pt"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8F4150" w:rsidRPr="008F4150">
        <w:rPr>
          <w:sz w:val="18"/>
          <w:szCs w:val="18"/>
        </w:rPr>
        <w:t>Hein Htet Zaw</w:t>
      </w:r>
      <w:r w:rsidR="001A3B3D" w:rsidRPr="00F847A6">
        <w:rPr>
          <w:sz w:val="18"/>
          <w:szCs w:val="18"/>
        </w:rPr>
        <w:br/>
        <w:t>line 2:</w:t>
      </w:r>
      <w:r w:rsidRPr="00F847A6">
        <w:rPr>
          <w:sz w:val="18"/>
          <w:szCs w:val="18"/>
        </w:rPr>
        <w:t xml:space="preserve"> </w:t>
      </w:r>
      <w:r w:rsidR="008F4150" w:rsidRPr="008F4150">
        <w:rPr>
          <w:i/>
          <w:sz w:val="18"/>
          <w:szCs w:val="18"/>
        </w:rPr>
        <w:t xml:space="preserve">Digital Innovative Technology </w:t>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008F4150" w:rsidRPr="008F4150">
        <w:rPr>
          <w:i/>
          <w:sz w:val="18"/>
          <w:szCs w:val="18"/>
        </w:rPr>
        <w:t>Rangsit University</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xml:space="preserve">: </w:t>
      </w:r>
      <w:r w:rsidR="008F4150" w:rsidRPr="008F4150">
        <w:rPr>
          <w:sz w:val="18"/>
          <w:szCs w:val="18"/>
        </w:rPr>
        <w:t>Bangkok, Pathum Thani</w:t>
      </w:r>
      <w:r w:rsidR="001A3B3D" w:rsidRPr="00F847A6">
        <w:rPr>
          <w:sz w:val="18"/>
          <w:szCs w:val="18"/>
        </w:rPr>
        <w:br/>
      </w:r>
      <w:r w:rsidRPr="00F847A6">
        <w:rPr>
          <w:sz w:val="18"/>
          <w:szCs w:val="18"/>
        </w:rPr>
        <w:t xml:space="preserve">line </w:t>
      </w:r>
      <w:r w:rsidR="001A3B3D" w:rsidRPr="00F847A6">
        <w:rPr>
          <w:sz w:val="18"/>
          <w:szCs w:val="18"/>
        </w:rPr>
        <w:t xml:space="preserve">5: </w:t>
      </w:r>
      <w:r w:rsidR="008F4150" w:rsidRPr="008F4150">
        <w:rPr>
          <w:sz w:val="18"/>
          <w:szCs w:val="18"/>
        </w:rPr>
        <w:t>devildog.kk@gmail.com</w:t>
      </w:r>
    </w:p>
    <w:p w14:paraId="1FCCE042" w14:textId="77777777" w:rsidR="001A3B3D" w:rsidRPr="00F847A6" w:rsidRDefault="00447BB9" w:rsidP="007B6DDA">
      <w:pPr>
        <w:pStyle w:val="Author"/>
        <w:spacing w:before="5pt"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1C3FF66" w14:textId="77777777" w:rsidR="001A3B3D" w:rsidRPr="00F847A6" w:rsidRDefault="00447BB9" w:rsidP="00447BB9">
      <w:pPr>
        <w:pStyle w:val="Author"/>
        <w:spacing w:before="5pt"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2729A11B" w14:textId="77777777" w:rsidR="00447BB9" w:rsidRDefault="00447BB9" w:rsidP="00447BB9">
      <w:pPr>
        <w:pStyle w:val="Author"/>
        <w:spacing w:before="5pt"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0C7FAA6E" w14:textId="77777777" w:rsidR="008F4150" w:rsidRDefault="009303D9" w:rsidP="008F4150">
      <w:pPr>
        <w:pStyle w:val="Abstract"/>
      </w:pPr>
      <w:r>
        <w:rPr>
          <w:i/>
          <w:iCs/>
        </w:rPr>
        <w:t>Abstract</w:t>
      </w:r>
      <w:r>
        <w:t>—</w:t>
      </w:r>
      <w:r w:rsidR="008F4150">
        <w:t xml:space="preserve">- Traditional vulnerability testing often relies on manual penetration testing or static heuristic scanners. While these methods are effective to a degree, they are hard to scale and can miss complex, multi-step exploit chains. To solve this, we propose a more dynamic, intelligent approach: modeling the web vulnerability discovery process as a Markov Decision Process (MDP) and training an Extended Double Dueling Deep Q-Network (Extended D3QN) to navigate it. Our configured agent incorporates five major components of the state-of-the-art Rainbow DQN algorithm. By building a custom Gymnasium environment, </w:t>
      </w:r>
      <w:proofErr w:type="spellStart"/>
      <w:r w:rsidR="008F4150">
        <w:t>WebSecurityGym</w:t>
      </w:r>
      <w:proofErr w:type="spellEnd"/>
      <w:r w:rsidR="008F4150">
        <w:t>, we train our agent against diverse mock applications containing real-world flaws like SQL Injection (SQLi) and Cross-Site Scripting (XSS). Guided by a Phase-Based Learning strategy that naturally progresses from reconnaissance to active exploitation, the agent successfully learns how to chain attacks autonomously, significantly outperforming traditional heuristic-based scanners in uncovering deeply hidden vulnerabilities while successfully minimizing false positives.</w:t>
      </w:r>
    </w:p>
    <w:p w14:paraId="2DDA9623" w14:textId="77777777" w:rsidR="008F4150" w:rsidRPr="008F4150" w:rsidRDefault="008F4150" w:rsidP="008F4150">
      <w:pPr>
        <w:spacing w:after="6pt"/>
        <w:rPr>
          <w:i/>
        </w:rPr>
      </w:pPr>
      <w:r w:rsidRPr="008F4150">
        <w:rPr>
          <w:i/>
          <w:sz w:val="18"/>
        </w:rPr>
        <w:t>Keywords- deep reinforcement learning, web vulnerability scanning, reinforcement learning, autonomous penetration testing, web application security</w:t>
      </w:r>
    </w:p>
    <w:p w14:paraId="1A521F3C"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1A0FADE4" w14:textId="77777777" w:rsidR="008F4150" w:rsidRDefault="008F4150" w:rsidP="00E7596C">
      <w:pPr>
        <w:pStyle w:val="BodyText"/>
        <w:rPr>
          <w:rFonts w:eastAsiaTheme="minorEastAsia"/>
          <w:lang w:eastAsia="ja-JP"/>
        </w:rPr>
      </w:pPr>
    </w:p>
    <w:p w14:paraId="72A2B798" w14:textId="77777777" w:rsidR="008F4150" w:rsidRDefault="008F4150" w:rsidP="008F4150">
      <w:pPr>
        <w:pStyle w:val="BodyText"/>
      </w:pPr>
      <w:r>
        <w:t>Web applications have exploded in complexity, bringing a continuously expanding attack surface. Today’s automated security tools—like Dynamic Application Security Testing (DAST)—are useful for finding the low-hanging fruit, but they often struggle when faced with complex logical flaws that require chaining multiple actions together. Real-world penetration testers excel at this because they can dynamically adapt to the target’s behavior. However, relying on human experts alone is unscalable, expensive, and sometimes inconsistent across audits. We desperately need automated systems that can mimic this human-like intuition and adaptability.</w:t>
      </w:r>
    </w:p>
    <w:p w14:paraId="676A372E" w14:textId="77777777" w:rsidR="008F4150" w:rsidRDefault="008F4150" w:rsidP="008F4150">
      <w:pPr>
        <w:pStyle w:val="BodyText"/>
      </w:pPr>
      <w:r>
        <w:t xml:space="preserve">Recently, Reinforcement Learning (RL) has proven exceptional at exactly this type of problem: sequential decision-making in complex environments. By setting up web security as an RL problem, we can train an agent to probe an </w:t>
      </w:r>
      <w:r>
        <w:t>application, parse the HTTP responses, and tweak its payloads continuously until it successfully uncovers a vulnerability.</w:t>
      </w:r>
    </w:p>
    <w:p w14:paraId="5B84FB04" w14:textId="5EB3FDDC" w:rsidR="009303D9" w:rsidRPr="005B520E" w:rsidRDefault="008F4150" w:rsidP="008F4150">
      <w:pPr>
        <w:pStyle w:val="BodyText"/>
      </w:pPr>
      <w:r>
        <w:t xml:space="preserve">In this work, we present a fully autonomous web vulnerability scanner driven by a Deep Q-Network (DQN) architecture. Our system leverages a custom environment, </w:t>
      </w:r>
      <w:proofErr w:type="spellStart"/>
      <w:r>
        <w:t>WebSecurityGym</w:t>
      </w:r>
      <w:proofErr w:type="spellEnd"/>
      <w:r>
        <w:t>, which successfully abstracts standard HTTP interactions into states and actions. The “brain” of the scanner is implemented using an Extended D3QN—a partial Rainbow DQN combining Double Q-Learning, Dueling Networks, Prioritized Experience Replay, Noisy Networks, and Multi-Step Learning—to efficiently handle a large array of different payloads. To fast-track the agent’s learning, we also introduce a Phase-Based Learning strategy that mirrors the Cyber Kill Chain, locking advanced exploits until the agent has successfully mapped the application’s surface. Through extensive evaluation on multiple vulnerable mock targets, we show that this RL-based orchestrator holds massive potential for scaling intelligent, adaptive penetration testing.</w:t>
      </w:r>
    </w:p>
    <w:p w14:paraId="2702684B" w14:textId="77777777" w:rsidR="00405C1A" w:rsidRDefault="00405C1A" w:rsidP="00405C1A">
      <w:pPr>
        <w:pStyle w:val="Heading1"/>
      </w:pPr>
      <w:r>
        <w:t>RELATED WORK</w:t>
      </w:r>
    </w:p>
    <w:p w14:paraId="2267C95C" w14:textId="77777777" w:rsidR="00405C1A" w:rsidRDefault="00405C1A" w:rsidP="00405C1A">
      <w:pPr>
        <w:pStyle w:val="FirstParagraph"/>
      </w:pPr>
      <w:r>
        <w:t>The intersection of artificial intelligence and cybersecurity has seen explosive growth, particularly in automating vulnerability analysis. This section reviews the existing literature surrounding web application security testing, the transition from manual to automated methodologies, and the emerging role of Deep Reinforcement Learning (DRL) in modern penetration testing frameworks.</w:t>
      </w:r>
    </w:p>
    <w:p w14:paraId="02A4862C" w14:textId="77777777" w:rsidR="00405C1A" w:rsidRDefault="00405C1A" w:rsidP="00405C1A">
      <w:pPr>
        <w:pStyle w:val="Heading2"/>
      </w:pPr>
      <w:bookmarkStart w:id="0" w:name="X8b4137e7aaa471a7bd5c8bfd868e73d8aa6c7b2"/>
      <w:r>
        <w:t>A. Traditional Web Application Security Testing</w:t>
      </w:r>
    </w:p>
    <w:p w14:paraId="7CBBFEDA" w14:textId="77777777" w:rsidR="00405C1A" w:rsidRDefault="00405C1A" w:rsidP="00405C1A">
      <w:pPr>
        <w:pStyle w:val="FirstParagraph"/>
      </w:pPr>
      <w:r>
        <w:t xml:space="preserve">Securing web applications has traditionally relied solely on well-established testing methodologies. Dynamic Application Security Testing (DAST) represents a highly active, real-time approach to identifying vulnerabilities by practically probing live applications through simulated attacks [1]. Unlike static source code analysis, DAST actively observes the application’s runtime behavior, making it uniquely effective for discovering deep deployment flaws, server configuration errors, and vicious runtime injection vulnerabilities [1]. In a direct showdown between manual </w:t>
      </w:r>
      <w:r>
        <w:lastRenderedPageBreak/>
        <w:t>hacking and automated scripted scanning, research proves that while scripts run flawlessly fast, only the human eye consistently catches abstract, contextual business logic flaws [12].</w:t>
      </w:r>
    </w:p>
    <w:p w14:paraId="532CEC3B" w14:textId="77777777" w:rsidR="00405C1A" w:rsidRDefault="00405C1A" w:rsidP="00405C1A">
      <w:pPr>
        <w:pStyle w:val="BodyText"/>
      </w:pPr>
      <w:r>
        <w:t xml:space="preserve">Furthermore, ethical hacking and manual penetration testing inevitably rely heavily on automated scanning tools. In fact, these tools are so prevalent that forensic researchers actively study the distinct network “tool marks” left behind by various automated offensive security toolkits [13]. For instance, comparisons of immensely popular vulnerability scanners, such as OWASP ZAP and </w:t>
      </w:r>
      <w:proofErr w:type="spellStart"/>
      <w:r>
        <w:t>Nikto</w:t>
      </w:r>
      <w:proofErr w:type="spellEnd"/>
      <w:r>
        <w:t xml:space="preserve">, repeatedly demonstrate their brute-force efficacy in identifying common weaknesses across thousands of pages [2]. While these tools provide structured vulnerability analysis, they operate predominantly on rigid predefined rules and signatures. Consequently, they often struggle massively with complex, multi-step exploits or novel attack vectors (zero-days) that require deep contextual understanding [2]. To address specific domains like intricate Service-Oriented Architectures (SOA), specialized, laser-focused penetration testing tools exactly such as WS-Attacker have been developed to automate attacks like WS-Addressing spoofing and </w:t>
      </w:r>
      <w:proofErr w:type="spellStart"/>
      <w:r>
        <w:t>SOAPAction</w:t>
      </w:r>
      <w:proofErr w:type="spellEnd"/>
      <w:r>
        <w:t xml:space="preserve"> spoofing [3]. However, as the overall complexity of modern web services exponentially increases, there is a rapidly growing need for autonomous agents that can genuinely learn and creatively adapt their strategies dynamically.</w:t>
      </w:r>
    </w:p>
    <w:p w14:paraId="7D6F67B9" w14:textId="77777777" w:rsidR="00405C1A" w:rsidRDefault="00405C1A" w:rsidP="00405C1A">
      <w:pPr>
        <w:pStyle w:val="Heading2"/>
      </w:pPr>
      <w:bookmarkStart w:id="1" w:name="X90adb92d7234c0b08f384b330e1160940423868"/>
      <w:bookmarkEnd w:id="0"/>
      <w:r>
        <w:t>B. Reinforcement Learning in Cybersecurity</w:t>
      </w:r>
    </w:p>
    <w:p w14:paraId="35EB31AC" w14:textId="77777777" w:rsidR="00405C1A" w:rsidRDefault="00405C1A" w:rsidP="00405C1A">
      <w:pPr>
        <w:pStyle w:val="FirstParagraph"/>
      </w:pPr>
      <w:r>
        <w:t>The known limitations of static, rule-based scanners have heavily driven the exploration of intelligent, learning-based agents for both cyber defense and offensive security operations. Deep Reinforcement Learning (DRL) is particularly well-suited for handling complicated, completely dynamic, and high-dimensional cyber protection problems [4]. In the realm of network intrusion detection, models based directly on Deep Q-Learning (DQL) have been proposed to detect various sorts of intrusions using an automated trial-and-error method, enabling the system to continually improve its detection skills completely autonomously [4].</w:t>
      </w:r>
    </w:p>
    <w:p w14:paraId="1ADD6AEE" w14:textId="77777777" w:rsidR="00405C1A" w:rsidRDefault="00405C1A" w:rsidP="00405C1A">
      <w:pPr>
        <w:pStyle w:val="BodyText"/>
      </w:pPr>
      <w:r>
        <w:t xml:space="preserve">The foundation for these advanced DRL applications stems straight from breakthroughs in combining reinforcement learning with deep neural networks. </w:t>
      </w:r>
      <w:proofErr w:type="spellStart"/>
      <w:r>
        <w:t>Mnih</w:t>
      </w:r>
      <w:proofErr w:type="spellEnd"/>
      <w:r>
        <w:t xml:space="preserve"> et al. famously demonstrated that a deep Q-network (DQN) could achieve literal human-level performance across a diverse set of tasks using only raw inputs and reward signals, establishing a brilliant new state-of-the-art framework for autonomous decision-making [5].</w:t>
      </w:r>
    </w:p>
    <w:bookmarkEnd w:id="1"/>
    <w:p w14:paraId="3B5BDEF7" w14:textId="77777777" w:rsidR="00405C1A" w:rsidRDefault="00405C1A" w:rsidP="00405C1A">
      <w:pPr>
        <w:pStyle w:val="Heading2"/>
      </w:pPr>
      <w:r>
        <w:t>C. Advanced DRL Architectures for Penetration Testing</w:t>
      </w:r>
    </w:p>
    <w:p w14:paraId="4E856D8A" w14:textId="77777777" w:rsidR="00405C1A" w:rsidRDefault="00405C1A" w:rsidP="00405C1A">
      <w:pPr>
        <w:pStyle w:val="FirstParagraph"/>
      </w:pPr>
      <w:r>
        <w:t>Building heavily upon the explosive success of the standard DQN model, increasingly sophisticated RL architectures have been introduced to drastically improve learning efficiency and network stability. A notable advancement in this space is the introduction of Prioritized Experience Replay (PER) by Schaul et al. [6]. PER prioritizes the replay of highly important memory transitions, allowing the agent to learn significantly more effectively from rare or critical experiences compared to standard uniform sampling [6].</w:t>
      </w:r>
    </w:p>
    <w:p w14:paraId="6FC82FBB" w14:textId="77777777" w:rsidR="00405C1A" w:rsidRDefault="00405C1A" w:rsidP="00405C1A">
      <w:pPr>
        <w:pStyle w:val="BodyText"/>
      </w:pPr>
      <w:r>
        <w:t xml:space="preserve">In the domain of automated penetration testing, researchers are increasingly leveraging these bleeding-edge DRL techniques to train intelligent agents truly capable of discovering vulnerabilities at scale. Recent studies, such as the widely recognized Intelligent Automated Penetration Testing Framework (IAPTF) by Ghanem et al., have successfully </w:t>
      </w:r>
      <w:r>
        <w:t>utilized reinforcement learning to fully automate sequential decision-making in complex security assessments. By cleverly modeling penetration testing as a Partially Observable Markov Decision Process (POMDP), IAPTF demonstrated a profound ability to discover multi-step vulnerabilities deeply embedded in complex networks, all while effortlessly integrating with established toolkits like Metasploit [7]. Combining these principles, frameworks like ASAP merge potent Deep Q-Networks with Attack Graphs to automatically plan highly complex attack chains against expansive enterprise networks [14]. Similarly, recent groundbreaking projects such as “Pentest-R1” successfully paired massive language models with reinforcement learning to dynamically enhance the “reasoning” capabilities of automated penetration testers globally [8]. The applications aren’t even strictly limited to web and software—algorithms like “Re-Pen” have successfully ported these exact DRL methods over to verify physical hardware security, searching for exploitable flaws directly embedded inside microchip architectures [9]. To maintain adaptivity without experiencing catastrophic forgetting, frameworks like SCRIPT powerfully leverage continual reinforcement learning across dynamic networks [10]. Systematic literature reviews confirm this trend, arguing that RL is rapidly becoming indispensable for tackling infinitely expanding attack surfaces [11]. Similarly, recent comparative studies have evaluated the effectiveness of various RL algorithms—such as Deep Q-Network (DQN), Deep Deterministic Policy Gradient (DDPG), and Asynchronous Episodic DDPG (AE-DDPG)—in automating penetration testing tasks by dynamically identifying critical network vulnerabilities [15]. These “Red Team” algorithms map the manual penetration testing process to a strict Markov Decision Process (MDP), where the agent learns optimal attack sequences—or a “Kill Chain”—to cleanly navigate target environments, bypass active security controls, and exploit vulnerabilities. While existing research has strongly demonstrated the potential of DRL for network-level intrusion detection and niche web service attacks, comprehensive frameworks that address the full, complex spectrum of modern web vulnerabilities (such as the OWASP Top 10) utilizing a highly Extended Double Dueling Deep Q-Network (Extended D3QN) remain an area of intense active innovation. Our work cleanly bridges this gap by directly implementing an Extended D3QN agent paired with PER and Noisy Networks, specifically architected from the ground up for autonomous web vulnerability scanning.</w:t>
      </w:r>
    </w:p>
    <w:p w14:paraId="179EA777" w14:textId="77777777" w:rsidR="009303D9" w:rsidRPr="006B6B66" w:rsidRDefault="009303D9" w:rsidP="006B6B66">
      <w:pPr>
        <w:pStyle w:val="Heading1"/>
      </w:pPr>
      <w:r w:rsidRPr="006B6B66">
        <w:t>Ease of Use</w:t>
      </w:r>
    </w:p>
    <w:p w14:paraId="3C8B3FFF" w14:textId="77777777" w:rsidR="009303D9" w:rsidRDefault="009303D9" w:rsidP="00ED0149">
      <w:pPr>
        <w:pStyle w:val="Heading2"/>
      </w:pPr>
      <w:r>
        <w:t xml:space="preserve">Selecting a </w:t>
      </w:r>
      <w:r w:rsidRPr="00F271DE">
        <w:t>Template</w:t>
      </w:r>
      <w:r>
        <w:t xml:space="preserve"> (Heading 2)</w:t>
      </w:r>
    </w:p>
    <w:p w14:paraId="4522E337" w14:textId="77777777"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66739D0E" w14:textId="77777777" w:rsidR="009303D9" w:rsidRPr="005B520E" w:rsidRDefault="009303D9" w:rsidP="00ED0149">
      <w:pPr>
        <w:pStyle w:val="Heading2"/>
      </w:pPr>
      <w:r w:rsidRPr="005B520E">
        <w:t>Maintaining the Integrity of the Specifications</w:t>
      </w:r>
    </w:p>
    <w:p w14:paraId="7C5D0763" w14:textId="77777777" w:rsidR="009303D9" w:rsidRPr="005B520E" w:rsidRDefault="009303D9" w:rsidP="00E7596C">
      <w:pPr>
        <w:pStyle w:val="BodyText"/>
      </w:pPr>
      <w:r w:rsidRPr="005B520E">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17F150FC" w14:textId="77777777" w:rsidR="009303D9" w:rsidRDefault="009303D9" w:rsidP="006B6B66">
      <w:pPr>
        <w:pStyle w:val="Heading1"/>
      </w:pPr>
      <w:r>
        <w:lastRenderedPageBreak/>
        <w:t xml:space="preserve">Prepare Your Paper </w:t>
      </w:r>
      <w:r w:rsidRPr="005B520E">
        <w:t>Before</w:t>
      </w:r>
      <w:r>
        <w:t xml:space="preserve"> Styling</w:t>
      </w:r>
    </w:p>
    <w:p w14:paraId="1FBC9C4E"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21C51E20"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2217789" w14:textId="77777777" w:rsidR="009303D9" w:rsidRDefault="009303D9" w:rsidP="00ED0149">
      <w:pPr>
        <w:pStyle w:val="Heading2"/>
      </w:pPr>
      <w:r w:rsidRPr="00ED0149">
        <w:t>Abbreviations</w:t>
      </w:r>
      <w:r>
        <w:t xml:space="preserve"> and Acronyms</w:t>
      </w:r>
    </w:p>
    <w:p w14:paraId="78F3884D" w14:textId="77777777"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dc, and rms do not have to be defined. Do not use abbreviations in the title or heads unless they are unavoidable.</w:t>
      </w:r>
    </w:p>
    <w:p w14:paraId="31C0E164" w14:textId="77777777" w:rsidR="009303D9" w:rsidRDefault="009303D9" w:rsidP="00ED0149">
      <w:pPr>
        <w:pStyle w:val="Heading2"/>
      </w:pPr>
      <w:r>
        <w:t>Units</w:t>
      </w:r>
    </w:p>
    <w:p w14:paraId="4F939710"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6C172391" w14:textId="77777777"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4EBC5AF3" w14:textId="77777777" w:rsidR="009303D9" w:rsidRPr="005B520E" w:rsidRDefault="009303D9" w:rsidP="00E7596C">
      <w:pPr>
        <w:pStyle w:val="bulletlist"/>
      </w:pPr>
      <w:r w:rsidRPr="005B520E">
        <w:t>Do not mix complete spellings and abbreviations of units: “Wb/m2”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14:paraId="2AF9FE0F" w14:textId="77777777"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14:paraId="539460DC"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7E54C8D6" w14:textId="77777777" w:rsidR="009303D9" w:rsidRPr="005B520E" w:rsidRDefault="009303D9" w:rsidP="00ED0149">
      <w:pPr>
        <w:pStyle w:val="Heading2"/>
      </w:pPr>
      <w:r w:rsidRPr="005B520E">
        <w:t>Equations</w:t>
      </w:r>
    </w:p>
    <w:p w14:paraId="15A9AFAF"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29C57C75"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18444A9B"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0EEED555" w14:textId="77777777" w:rsidR="009303D9" w:rsidRDefault="009303D9" w:rsidP="00E7596C">
      <w:pPr>
        <w:pStyle w:val="BodyText"/>
      </w:pPr>
      <w:r>
        <w:t xml:space="preserve">Note that the equation is centered using a center tab stop. Be sure that the symbols in your equation have been defined before or immediately following the equation. Use “(1)”, not </w:t>
      </w:r>
      <w:r>
        <w:t>“Eq. (1)” or “equation (1)”, except at the beginning of a sentence: “Equation (1) is . . .”</w:t>
      </w:r>
    </w:p>
    <w:p w14:paraId="7B7ADA1E" w14:textId="77777777" w:rsidR="009303D9" w:rsidRDefault="009303D9" w:rsidP="00ED0149">
      <w:pPr>
        <w:pStyle w:val="Heading2"/>
      </w:pPr>
      <w:r>
        <w:t>Some Common Mistakes</w:t>
      </w:r>
    </w:p>
    <w:p w14:paraId="330EB29A" w14:textId="77777777" w:rsidR="009303D9" w:rsidRPr="005B520E" w:rsidRDefault="009303D9" w:rsidP="00E7596C">
      <w:pPr>
        <w:pStyle w:val="bulletlist"/>
      </w:pPr>
      <w:r w:rsidRPr="005B520E">
        <w:t>The word “data” is plural, not singular.</w:t>
      </w:r>
    </w:p>
    <w:p w14:paraId="55E6819B"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706F1FA"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307DAF0E"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60B17E81" w14:textId="77777777" w:rsidR="009303D9" w:rsidRPr="005B520E" w:rsidRDefault="009303D9" w:rsidP="00E7596C">
      <w:pPr>
        <w:pStyle w:val="bulletlist"/>
      </w:pPr>
      <w:r w:rsidRPr="005B520E">
        <w:t>Do not use the word “essentially” to mean “approximately” or “effectively”.</w:t>
      </w:r>
    </w:p>
    <w:p w14:paraId="144F1393"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38AEB9C8"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2219FD28" w14:textId="77777777" w:rsidR="009303D9" w:rsidRPr="005B520E" w:rsidRDefault="009303D9" w:rsidP="00E7596C">
      <w:pPr>
        <w:pStyle w:val="bulletlist"/>
      </w:pPr>
      <w:r w:rsidRPr="005B520E">
        <w:t>Do not confuse “imply” and “infer”.</w:t>
      </w:r>
    </w:p>
    <w:p w14:paraId="5A11B6A7" w14:textId="77777777" w:rsidR="009303D9" w:rsidRPr="005B520E" w:rsidRDefault="009303D9" w:rsidP="00E7596C">
      <w:pPr>
        <w:pStyle w:val="bulletlist"/>
      </w:pPr>
      <w:r w:rsidRPr="005B520E">
        <w:t>The prefix “non” is not a word; it should be joined to the word it modifies, usually without a hyphen.</w:t>
      </w:r>
    </w:p>
    <w:p w14:paraId="74991DAD" w14:textId="77777777" w:rsidR="009303D9" w:rsidRPr="005B520E" w:rsidRDefault="009303D9" w:rsidP="00E7596C">
      <w:pPr>
        <w:pStyle w:val="bulletlist"/>
      </w:pPr>
      <w:r w:rsidRPr="005B520E">
        <w:t>There is no period after the “et” in the Latin abbreviation “et al.”.</w:t>
      </w:r>
    </w:p>
    <w:p w14:paraId="31145D1A" w14:textId="77777777" w:rsidR="009303D9" w:rsidRPr="005B520E" w:rsidRDefault="009303D9" w:rsidP="00E7596C">
      <w:pPr>
        <w:pStyle w:val="bulletlist"/>
      </w:pPr>
      <w:r w:rsidRPr="005B520E">
        <w:t>The abbreviation “i.e.” means “that is”, and the abbreviation “e.g.” means “for example”.</w:t>
      </w:r>
    </w:p>
    <w:p w14:paraId="75446D9B" w14:textId="77777777" w:rsidR="009303D9" w:rsidRPr="005B520E" w:rsidRDefault="009303D9" w:rsidP="00E7596C">
      <w:pPr>
        <w:pStyle w:val="BodyText"/>
      </w:pPr>
      <w:r w:rsidRPr="005B520E">
        <w:t>An excellent style manual for science writers is [7].</w:t>
      </w:r>
    </w:p>
    <w:p w14:paraId="5D2DD83B" w14:textId="77777777" w:rsidR="009303D9" w:rsidRDefault="009303D9" w:rsidP="006B6B66">
      <w:pPr>
        <w:pStyle w:val="Heading1"/>
      </w:pPr>
      <w:r>
        <w:t xml:space="preserve">Using the </w:t>
      </w:r>
      <w:r w:rsidRPr="005B520E">
        <w:t>Template</w:t>
      </w:r>
    </w:p>
    <w:p w14:paraId="42CD3244"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50E2495" w14:textId="77777777" w:rsidR="009303D9" w:rsidRDefault="009303D9" w:rsidP="00ED0149">
      <w:pPr>
        <w:pStyle w:val="Heading2"/>
      </w:pPr>
      <w:r w:rsidRPr="005B520E">
        <w:t>Authors</w:t>
      </w:r>
      <w:r>
        <w:t xml:space="preserve"> and Affiliations</w:t>
      </w:r>
    </w:p>
    <w:p w14:paraId="1A9E45B8"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 xml:space="preserve">Names should not be listed in columns </w:t>
      </w:r>
      <w:r w:rsidR="00D7522C">
        <w:lastRenderedPageBreak/>
        <w:t>nor group by affiliation.</w:t>
      </w:r>
      <w:r w:rsidR="002850E3">
        <w:rPr>
          <w:lang w:val="en-US"/>
        </w:rPr>
        <w:t xml:space="preserve"> </w:t>
      </w:r>
      <w:r w:rsidRPr="005B520E">
        <w:t>Please keep your affiliations as succinct as possible (for example, do not differentiate among departments of the same organization).</w:t>
      </w:r>
    </w:p>
    <w:p w14:paraId="44E5524D"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2C931F21"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231DEF96"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4E7D029E"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CDA38EC"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4AC68130" w14:textId="77777777" w:rsidR="006F6D3D" w:rsidRDefault="006F6D3D" w:rsidP="006F6D3D">
      <w:pPr>
        <w:jc w:val="start"/>
        <w:rPr>
          <w:i/>
          <w:iCs/>
          <w:noProof/>
        </w:rPr>
      </w:pPr>
    </w:p>
    <w:p w14:paraId="3C56E4E8" w14:textId="77777777" w:rsidR="009303D9" w:rsidRDefault="009303D9" w:rsidP="00ED0149">
      <w:pPr>
        <w:pStyle w:val="Heading2"/>
      </w:pPr>
      <w:r w:rsidRPr="005B520E">
        <w:t>Identify</w:t>
      </w:r>
      <w:r>
        <w:t xml:space="preserve"> the Headings</w:t>
      </w:r>
    </w:p>
    <w:p w14:paraId="6C986348"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2D25BA8B"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B7223DD"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04D6A610" w14:textId="77777777" w:rsidR="009303D9" w:rsidRDefault="009303D9" w:rsidP="00ED0149">
      <w:pPr>
        <w:pStyle w:val="Heading2"/>
      </w:pPr>
      <w:r>
        <w:t>Figures and Tables</w:t>
      </w:r>
    </w:p>
    <w:p w14:paraId="39AD5FF2"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B46A03A"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36pt" w:type="dxa"/>
            <w:vMerge w:val="restart"/>
            <w:vAlign w:val="center"/>
          </w:tcPr>
          <w:p w14:paraId="6F7DBEB0" w14:textId="77777777" w:rsidR="009303D9" w:rsidRDefault="009303D9">
            <w:pPr>
              <w:pStyle w:val="tablecolhead"/>
            </w:pPr>
            <w:r>
              <w:t>Table Head</w:t>
            </w:r>
          </w:p>
        </w:tc>
        <w:tc>
          <w:tcPr>
            <w:tcW w:w="207pt" w:type="dxa"/>
            <w:gridSpan w:val="3"/>
            <w:vAlign w:val="center"/>
          </w:tcPr>
          <w:p w14:paraId="46095C2D" w14:textId="77777777" w:rsidR="009303D9" w:rsidRDefault="009303D9">
            <w:pPr>
              <w:pStyle w:val="tablecolhead"/>
            </w:pPr>
            <w:r>
              <w:t>Table Column Head</w:t>
            </w:r>
          </w:p>
        </w:tc>
      </w:tr>
      <w:tr w:rsidR="009303D9" w14:paraId="0C0C9371" w14:textId="77777777">
        <w:trPr>
          <w:cantSplit/>
          <w:trHeight w:val="240"/>
          <w:tblHeader/>
          <w:jc w:val="center"/>
        </w:trPr>
        <w:tc>
          <w:tcPr>
            <w:tcW w:w="36pt" w:type="dxa"/>
            <w:vMerge/>
          </w:tcPr>
          <w:p w14:paraId="61EB0F6C" w14:textId="77777777" w:rsidR="009303D9" w:rsidRDefault="009303D9">
            <w:pPr>
              <w:rPr>
                <w:sz w:val="16"/>
                <w:szCs w:val="16"/>
              </w:rPr>
            </w:pPr>
          </w:p>
        </w:tc>
        <w:tc>
          <w:tcPr>
            <w:tcW w:w="117pt" w:type="dxa"/>
            <w:vAlign w:val="center"/>
          </w:tcPr>
          <w:p w14:paraId="11BB8345" w14:textId="77777777" w:rsidR="009303D9" w:rsidRDefault="009303D9">
            <w:pPr>
              <w:pStyle w:val="tablecolsubhead"/>
            </w:pPr>
            <w:r>
              <w:t>Table column subhead</w:t>
            </w:r>
          </w:p>
        </w:tc>
        <w:tc>
          <w:tcPr>
            <w:tcW w:w="45pt" w:type="dxa"/>
            <w:vAlign w:val="center"/>
          </w:tcPr>
          <w:p w14:paraId="61A7AA28" w14:textId="77777777" w:rsidR="009303D9" w:rsidRDefault="009303D9">
            <w:pPr>
              <w:pStyle w:val="tablecolsubhead"/>
            </w:pPr>
            <w:r>
              <w:t>Subhead</w:t>
            </w:r>
          </w:p>
        </w:tc>
        <w:tc>
          <w:tcPr>
            <w:tcW w:w="45pt" w:type="dxa"/>
            <w:vAlign w:val="center"/>
          </w:tcPr>
          <w:p w14:paraId="7837B44B" w14:textId="77777777" w:rsidR="009303D9" w:rsidRDefault="009303D9">
            <w:pPr>
              <w:pStyle w:val="tablecolsubhead"/>
            </w:pPr>
            <w:r>
              <w:t>Subhead</w:t>
            </w:r>
          </w:p>
        </w:tc>
      </w:tr>
      <w:tr w:rsidR="009303D9" w14:paraId="581500F7" w14:textId="77777777">
        <w:trPr>
          <w:trHeight w:val="320"/>
          <w:jc w:val="center"/>
        </w:trPr>
        <w:tc>
          <w:tcPr>
            <w:tcW w:w="36pt" w:type="dxa"/>
            <w:vAlign w:val="center"/>
          </w:tcPr>
          <w:p w14:paraId="598102A2" w14:textId="77777777" w:rsidR="009303D9" w:rsidRDefault="009303D9">
            <w:pPr>
              <w:pStyle w:val="tablecopy"/>
              <w:rPr>
                <w:sz w:val="8"/>
                <w:szCs w:val="8"/>
              </w:rPr>
            </w:pPr>
            <w:r>
              <w:t>copy</w:t>
            </w:r>
          </w:p>
        </w:tc>
        <w:tc>
          <w:tcPr>
            <w:tcW w:w="117pt" w:type="dxa"/>
            <w:vAlign w:val="center"/>
          </w:tcPr>
          <w:p w14:paraId="454EDD9D" w14:textId="77777777" w:rsidR="009303D9" w:rsidRDefault="009303D9">
            <w:pPr>
              <w:pStyle w:val="tablecopy"/>
            </w:pPr>
            <w:r>
              <w:t>More table copy</w:t>
            </w:r>
            <w:r>
              <w:rPr>
                <w:vertAlign w:val="superscript"/>
              </w:rPr>
              <w:t>a</w:t>
            </w:r>
          </w:p>
        </w:tc>
        <w:tc>
          <w:tcPr>
            <w:tcW w:w="45pt" w:type="dxa"/>
            <w:vAlign w:val="center"/>
          </w:tcPr>
          <w:p w14:paraId="7D98A4ED" w14:textId="77777777" w:rsidR="009303D9" w:rsidRDefault="009303D9">
            <w:pPr>
              <w:rPr>
                <w:sz w:val="16"/>
                <w:szCs w:val="16"/>
              </w:rPr>
            </w:pPr>
          </w:p>
        </w:tc>
        <w:tc>
          <w:tcPr>
            <w:tcW w:w="45pt" w:type="dxa"/>
            <w:vAlign w:val="center"/>
          </w:tcPr>
          <w:p w14:paraId="63FC1095" w14:textId="77777777" w:rsidR="009303D9" w:rsidRDefault="009303D9">
            <w:pPr>
              <w:rPr>
                <w:sz w:val="16"/>
                <w:szCs w:val="16"/>
              </w:rPr>
            </w:pPr>
          </w:p>
        </w:tc>
      </w:tr>
    </w:tbl>
    <w:p w14:paraId="38D2DF98"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CD89839"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6C54798D" w14:textId="77777777" w:rsidR="0080791D" w:rsidRPr="005B520E" w:rsidRDefault="009303D9" w:rsidP="00E7596C">
      <w:pPr>
        <w:pStyle w:val="BodyText"/>
      </w:pPr>
      <w:r w:rsidRPr="005B520E">
        <w:t xml:space="preserve">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t>
      </w:r>
      <w:r w:rsidRPr="005B520E">
        <w:t>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C814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39D7A7EF" w14:textId="77777777" w:rsidR="00575BCA" w:rsidRDefault="0080791D" w:rsidP="00836367">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21523B97" w14:textId="77777777" w:rsidR="009303D9" w:rsidRDefault="009303D9" w:rsidP="00A059B3">
      <w:pPr>
        <w:pStyle w:val="Heading5"/>
      </w:pPr>
      <w:r w:rsidRPr="005B520E">
        <w:t>References</w:t>
      </w:r>
    </w:p>
    <w:p w14:paraId="6AC4D96F"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CD65F67"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716B16E"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CA1BFF2"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144D91D7" w14:textId="77777777" w:rsidR="009303D9" w:rsidRPr="005B520E" w:rsidRDefault="009303D9"/>
    <w:p w14:paraId="7EE0A05F"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0A75505B" w14:textId="77777777" w:rsidR="009303D9" w:rsidRDefault="009303D9" w:rsidP="0004781E">
      <w:pPr>
        <w:pStyle w:val="references"/>
        <w:ind w:start="17.70pt" w:hanging="17.70pt"/>
      </w:pPr>
      <w:r>
        <w:t>J. Clerk Maxwell, A Treatise on Electricity and Magnetism, 3rd ed., vol. 2. Oxford: Clarendon, 1892, pp.68–73.</w:t>
      </w:r>
    </w:p>
    <w:p w14:paraId="51985FA4"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5D99F356" w14:textId="77777777" w:rsidR="009303D9" w:rsidRDefault="009303D9" w:rsidP="0004781E">
      <w:pPr>
        <w:pStyle w:val="references"/>
        <w:ind w:start="17.70pt" w:hanging="17.70pt"/>
      </w:pPr>
      <w:r>
        <w:t>K. Elissa, “Title of paper if known,” unpublished.</w:t>
      </w:r>
    </w:p>
    <w:p w14:paraId="7619257F" w14:textId="77777777" w:rsidR="009303D9" w:rsidRDefault="009303D9" w:rsidP="0004781E">
      <w:pPr>
        <w:pStyle w:val="references"/>
        <w:ind w:start="17.70pt" w:hanging="17.70pt"/>
      </w:pPr>
      <w:r>
        <w:t>R. Nicole, “Title of paper with only first word capitalized,” J. Name Stand. Abbrev., in press.</w:t>
      </w:r>
    </w:p>
    <w:p w14:paraId="3DC0719F"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1AD3BD9A" w14:textId="77777777" w:rsidR="009303D9" w:rsidRDefault="009303D9" w:rsidP="0004781E">
      <w:pPr>
        <w:pStyle w:val="references"/>
        <w:ind w:start="17.70pt" w:hanging="17.70pt"/>
      </w:pPr>
      <w:r>
        <w:t>M. Young, The Technical Writer</w:t>
      </w:r>
      <w:r w:rsidR="00E7596C">
        <w:t>’</w:t>
      </w:r>
      <w:r>
        <w:t>s Handbook. Mill Valley, CA: University Science, 1989.</w:t>
      </w:r>
    </w:p>
    <w:p w14:paraId="5A6F4A28" w14:textId="77777777" w:rsidR="008147B5" w:rsidRPr="00156B74" w:rsidRDefault="008147B5" w:rsidP="008147B5">
      <w:pPr>
        <w:pStyle w:val="references"/>
        <w:ind w:start="17.70pt" w:hanging="17.70pt"/>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9" w:history="1">
        <w:r w:rsidRPr="00156B74">
          <w:t>https://codeocean.com/capsule/4989235/tree</w:t>
        </w:r>
      </w:hyperlink>
      <w:r>
        <w:t xml:space="preserve"> </w:t>
      </w:r>
    </w:p>
    <w:p w14:paraId="7A7CB9FE" w14:textId="77777777" w:rsidR="008147B5" w:rsidRDefault="008147B5" w:rsidP="008147B5">
      <w:pPr>
        <w:pStyle w:val="references"/>
        <w:autoSpaceDE w:val="0"/>
        <w:autoSpaceDN w:val="0"/>
        <w:adjustRightInd w:val="0"/>
        <w:ind w:start="17.70pt" w:hanging="17.70pt"/>
        <w:jc w:val="star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0" w:history="1">
        <w:r w:rsidRPr="00156B74">
          <w:t>https://arxiv.org/abs/1312.6114</w:t>
        </w:r>
      </w:hyperlink>
    </w:p>
    <w:p w14:paraId="1DF840D5" w14:textId="77777777" w:rsidR="008147B5" w:rsidRDefault="008147B5" w:rsidP="008147B5">
      <w:pPr>
        <w:pStyle w:val="references"/>
        <w:autoSpaceDE w:val="0"/>
        <w:autoSpaceDN w:val="0"/>
        <w:adjustRightInd w:val="0"/>
        <w:ind w:start="17.70pt" w:hanging="17.70pt"/>
        <w:jc w:val="star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57DBF316" w14:textId="77777777" w:rsidR="008147B5" w:rsidRPr="00156B74" w:rsidRDefault="008147B5" w:rsidP="008147B5">
      <w:pPr>
        <w:pStyle w:val="references"/>
        <w:autoSpaceDE w:val="0"/>
        <w:autoSpaceDN w:val="0"/>
        <w:adjustRightInd w:val="0"/>
        <w:ind w:start="17.70pt" w:hanging="17.70pt"/>
        <w:jc w:val="star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lastRenderedPageBreak/>
        <w:t xml:space="preserve">IEEE conference templates contain guidance text for composing and formatting conference papers. Please ensure that all template text is removed from your conference paper prior to submission to the </w:t>
      </w:r>
      <w:r w:rsidRPr="00F96569">
        <w:rPr>
          <w:rFonts w:eastAsia="SimSun"/>
          <w:b/>
          <w:noProof w:val="0"/>
          <w:color w:val="FF0000"/>
          <w:spacing w:val="-1"/>
          <w:sz w:val="20"/>
          <w:szCs w:val="20"/>
          <w:lang w:val="x-none" w:eastAsia="x-none"/>
        </w:rPr>
        <w:t xml:space="preserve">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EF2B8B8" w14:textId="77777777" w:rsidR="009303D9" w:rsidRDefault="003B2B40" w:rsidP="005B520E">
      <w:r>
        <w:rPr>
          <w:noProof/>
        </w:rPr>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2B9D4691" w14:textId="77777777" w:rsidR="00176908" w:rsidRDefault="00176908" w:rsidP="001A3B3D">
      <w:r>
        <w:separator/>
      </w:r>
    </w:p>
  </w:endnote>
  <w:endnote w:type="continuationSeparator" w:id="0">
    <w:p w14:paraId="2CA76114" w14:textId="77777777" w:rsidR="00176908" w:rsidRDefault="00176908"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Yu Mincho">
    <w:altName w:val="游明朝"/>
    <w:panose1 w:val="02020400000000000000"/>
    <w:charset w:characterSet="shift_jis"/>
    <w:family w:val="roman"/>
    <w:pitch w:val="variable"/>
    <w:sig w:usb0="800002E7" w:usb1="2AC7FCFF" w:usb2="00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Yu Gothic Light">
    <w:altName w:val="游ゴシック Light"/>
    <w:panose1 w:val="020B0300000000000000"/>
    <w:charset w:characterSet="shift_jis"/>
    <w:family w:val="swiss"/>
    <w:pitch w:val="variable"/>
    <w:sig w:usb0="E00002FF" w:usb1="2AC7FDFF" w:usb2="00000016"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29D58CDF" w14:textId="77777777" w:rsidR="00176908" w:rsidRDefault="00176908" w:rsidP="001A3B3D">
      <w:r>
        <w:separator/>
      </w:r>
    </w:p>
  </w:footnote>
  <w:footnote w:type="continuationSeparator" w:id="0">
    <w:p w14:paraId="496992ED" w14:textId="77777777" w:rsidR="00176908" w:rsidRDefault="00176908"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126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76908"/>
    <w:rsid w:val="001A2EFD"/>
    <w:rsid w:val="001A3B3D"/>
    <w:rsid w:val="001B67DC"/>
    <w:rsid w:val="002254A9"/>
    <w:rsid w:val="00233D97"/>
    <w:rsid w:val="002347A2"/>
    <w:rsid w:val="002850E3"/>
    <w:rsid w:val="00354FCF"/>
    <w:rsid w:val="003A19E2"/>
    <w:rsid w:val="003B2B40"/>
    <w:rsid w:val="003B4E04"/>
    <w:rsid w:val="003F5A08"/>
    <w:rsid w:val="00405C1A"/>
    <w:rsid w:val="00420716"/>
    <w:rsid w:val="004325FB"/>
    <w:rsid w:val="004432BA"/>
    <w:rsid w:val="0044407E"/>
    <w:rsid w:val="00447BB9"/>
    <w:rsid w:val="00452FE2"/>
    <w:rsid w:val="0046031D"/>
    <w:rsid w:val="00473AC9"/>
    <w:rsid w:val="004D72B5"/>
    <w:rsid w:val="00551B7F"/>
    <w:rsid w:val="00564378"/>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4150"/>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customStyle="1" w:styleId="FirstParagraph">
    <w:name w:val="First Paragraph"/>
    <w:basedOn w:val="BodyText"/>
    <w:next w:val="BodyText"/>
    <w:qFormat/>
    <w:rsid w:val="00405C1A"/>
    <w:pPr>
      <w:tabs>
        <w:tab w:val="clear" w:pos="14.40pt"/>
      </w:tabs>
      <w:spacing w:after="0pt" w:line="12pt" w:lineRule="auto"/>
      <w:ind w:firstLine="0pt"/>
    </w:pPr>
    <w:rPr>
      <w:rFonts w:eastAsia="Times New Roman" w:cstheme="minorBidi"/>
      <w:spacing w:val="0"/>
      <w:szCs w:val="24"/>
      <w:lang w:val="en-US" w:eastAsia="zh-CN"/>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5</Pages>
  <Words>3616</Words>
  <Characters>20616</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24184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Hein Htet Zaw</cp:lastModifiedBy>
  <cp:revision>2</cp:revision>
  <dcterms:created xsi:type="dcterms:W3CDTF">2026-03-27T01:03:00Z</dcterms:created>
  <dcterms:modified xsi:type="dcterms:W3CDTF">2026-03-27T01:03:00Z</dcterms:modified>
</cp:coreProperties>
</file>