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 Double Dueling Deep Q-Network (D3QN) to navigate it.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pPr>
        <w:pStyle w:val="BodyText"/>
      </w:pPr>
      <w:r>
        <w:t xml:space="preserve">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w:t>
      </w:r>
      <w:r>
        <w:t xml:space="preserve"> </w:t>
      </w:r>
      <w:r>
        <w:t xml:space="preserve">“brain”</w:t>
      </w:r>
      <w:r>
        <w:t xml:space="preserve"> </w:t>
      </w:r>
      <w:r>
        <w:t xml:space="preserve">of the scanner is implemented using a Double Dueling Deep Q-Network (D3QN) that can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r>
        <w:pict>
          <v:rect style="width:0;height:1.5pt" o:hralign="center" o:hrstd="t" o:hr="t"/>
        </w:pict>
      </w:r>
    </w:p>
    <w:bookmarkEnd w:id="10"/>
    <w:bookmarkStart w:id="17" w:name="iii.-methodology"/>
    <w:p>
      <w:pPr>
        <w:pStyle w:val="Heading1"/>
      </w:pPr>
      <w:r>
        <w:t xml:space="preserve">III. METHODOLOGY</w:t>
      </w:r>
    </w:p>
    <w:p>
      <w:pPr>
        <w:pStyle w:val="FirstParagraph"/>
      </w:pPr>
      <w:r>
        <w:t xml:space="preserve">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translation layer. It crawls the target site, converts incoming HTTP responses into a clean numerical state vector, and translates chosen actions back into physical HTTP requests carrying various security payloads.</w:t>
      </w:r>
    </w:p>
    <w:p>
      <w:pPr>
        <w:pStyle w:val="Compact"/>
        <w:numPr>
          <w:ilvl w:val="0"/>
          <w:numId w:val="1001"/>
        </w:numPr>
      </w:pPr>
      <w:r>
        <w:rPr>
          <w:b/>
          <w:bCs/>
        </w:rPr>
        <w:t xml:space="preserve">The RL Agent (D3QN)</w:t>
      </w:r>
      <w:r>
        <w:t xml:space="preserve">: This acts as the</w:t>
      </w:r>
      <w:r>
        <w:t xml:space="preserve"> </w:t>
      </w:r>
      <w:r>
        <w:t xml:space="preserve">“brain.”</w:t>
      </w:r>
      <w:r>
        <w:t xml:space="preserve"> </w:t>
      </w:r>
      <w:r>
        <w:t xml:space="preserve">It leverages a Double Dueling Deep Q-Network structure alongside an experience replay buffer to continuously learn from past experiments.</w:t>
      </w:r>
    </w:p>
    <w:p>
      <w:pPr>
        <w:pStyle w:val="Compact"/>
        <w:numPr>
          <w:ilvl w:val="0"/>
          <w:numId w:val="1001"/>
        </w:numPr>
      </w:pPr>
      <w:r>
        <w:rPr>
          <w:b/>
          <w:bCs/>
        </w:rPr>
        <w:t xml:space="preserve">Mock Applications</w:t>
      </w:r>
      <w:r>
        <w:t xml:space="preserve">: For safe training and baseline evaluations, we built multiple deliberately vulnerable web applications (such as E-commerce, Banking, and Social Media) that respond realistically to the agent’s probes.</w:t>
      </w:r>
    </w:p>
    <w:bookmarkEnd w:id="11"/>
    <w:bookmarkStart w:id="14" w:name="b.-formulation-of-the-rl-environment"/>
    <w:p>
      <w:pPr>
        <w:pStyle w:val="Heading2"/>
      </w:pPr>
      <w:r>
        <w:t xml:space="preserve">B. Formulation of the RL Environment</w:t>
      </w:r>
    </w:p>
    <w:p>
      <w:pPr>
        <w:pStyle w:val="FirstParagraph"/>
      </w:pPr>
      <w:r>
        <w:t xml:space="preserve">To successfully apply RL to security, we model the interaction as a Markov Decision Process (MDP). This is defined by a tuple</w:t>
      </w:r>
      <w:r>
        <w:t xml:space="preserve"> </w:t>
      </w:r>
      <m:oMath>
        <m:r>
          <m:t>M</m:t>
        </m:r>
        <m:r>
          <m:rPr>
            <m:sty m:val="p"/>
          </m:rPr>
          <m:t>=</m:t>
        </m:r>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represents states,</w:t>
      </w:r>
      <w:r>
        <w:t xml:space="preserve"> </w:t>
      </w:r>
      <m:oMath>
        <m:r>
          <m:rPr>
            <m:scr m:val="script"/>
            <m:sty m:val="p"/>
          </m:rPr>
          <m:t>A</m:t>
        </m:r>
      </m:oMath>
      <w:r>
        <w:t xml:space="preserve"> </w:t>
      </w:r>
      <w:r>
        <w:t xml:space="preserve">actions,</w:t>
      </w:r>
      <w:r>
        <w:t xml:space="preserve"> </w:t>
      </w:r>
      <m:oMath>
        <m:r>
          <m:rPr>
            <m:scr m:val="script"/>
            <m:sty m:val="p"/>
          </m:rPr>
          <m:t>P</m:t>
        </m:r>
      </m:oMath>
      <w:r>
        <w:t xml:space="preserve"> </w:t>
      </w:r>
      <w:r>
        <w:t xml:space="preserve">state transition probabilities,</w:t>
      </w:r>
      <w:r>
        <w:t xml:space="preserve"> </w:t>
      </w:r>
      <m:oMath>
        <m:r>
          <m:rPr>
            <m:scr m:val="script"/>
            <m:sty m:val="p"/>
          </m:rPr>
          <m:t>R</m:t>
        </m:r>
      </m:oMath>
      <w:r>
        <w:t xml:space="preserve"> </w:t>
      </w:r>
      <w:r>
        <w:t xml:space="preserve">rewards, and</w:t>
      </w:r>
      <w:r>
        <w:t xml:space="preserve"> </w:t>
      </w:r>
      <m:oMath>
        <m:r>
          <m:t>γ</m:t>
        </m:r>
      </m:oMath>
      <w:r>
        <w:t xml:space="preserve"> </w:t>
      </w:r>
      <w:r>
        <w:t xml:space="preserve">the discount factor.</w:t>
      </w:r>
    </w:p>
    <w:bookmarkStart w:id="12" w:name="state-representation-mathcals"/>
    <w:p>
      <w:pPr>
        <w:pStyle w:val="Heading3"/>
      </w:pPr>
      <w:r>
        <w:t xml:space="preserve">1) State Representation (</w:t>
      </w:r>
      <m:oMath>
        <m:r>
          <m:rPr>
            <m:scr m:val="script"/>
            <m:sty m:val="p"/>
          </m:rPr>
          <m:t>S</m:t>
        </m:r>
      </m:oMath>
      <w:r>
        <w:t xml:space="preserve">)</w:t>
      </w:r>
    </w:p>
    <w:p>
      <w:pPr>
        <w:pStyle w:val="FirstParagraph"/>
      </w:pPr>
      <w:r>
        <w:t xml:space="preserve">The state represents the agent’s real-time understanding of the web application. To prevent the classic issue of combinatorial explosion, we condense the features into a 15-dimensional numeric vector including components like:</w:t>
      </w:r>
    </w:p>
    <w:p>
      <w:pPr>
        <w:pStyle w:val="Compact"/>
        <w:numPr>
          <w:ilvl w:val="0"/>
          <w:numId w:val="1002"/>
        </w:numPr>
      </w:pPr>
      <w:r>
        <w:rPr>
          <w:b/>
          <w:bCs/>
        </w:rPr>
        <w:t xml:space="preserve">HTTP Response Metrics</w:t>
      </w:r>
      <w:r>
        <w:t xml:space="preserve">: Standardized HTTP status codes (e.g., 200 vs 403), precise response times, and content length variations.</w:t>
      </w:r>
    </w:p>
    <w:p>
      <w:pPr>
        <w:pStyle w:val="Compact"/>
        <w:numPr>
          <w:ilvl w:val="0"/>
          <w:numId w:val="1002"/>
        </w:numPr>
      </w:pPr>
      <w:r>
        <w:rPr>
          <w:b/>
          <w:bCs/>
        </w:rPr>
        <w:t xml:space="preserve">Structural Indicators</w:t>
      </w:r>
      <w:r>
        <w:t xml:space="preserve">: Flags indicating if the DOM reflects previous inputs, or if new actionable forms were discovered.</w:t>
      </w:r>
    </w:p>
    <w:p>
      <w:pPr>
        <w:pStyle w:val="Compact"/>
        <w:numPr>
          <w:ilvl w:val="0"/>
          <w:numId w:val="1002"/>
        </w:numPr>
      </w:pPr>
      <w:r>
        <w:rPr>
          <w:b/>
          <w:bCs/>
        </w:rPr>
        <w:t xml:space="preserve">Security Context</w:t>
      </w:r>
      <w:r>
        <w:t xml:space="preserve">: Identifiers indicating the presence of a Web Application Firewall (WAF) rule being triggered, or leaked SQL syntax errors.</w:t>
      </w:r>
    </w:p>
    <w:bookmarkEnd w:id="12"/>
    <w:bookmarkStart w:id="13" w:name="action-space-mathcala"/>
    <w:p>
      <w:pPr>
        <w:pStyle w:val="Heading3"/>
      </w:pPr>
      <w:r>
        <w:t xml:space="preserve">2) Action Space (</w:t>
      </w:r>
      <m:oMath>
        <m:r>
          <m:rPr>
            <m:scr m:val="script"/>
            <m:sty m:val="p"/>
          </m:rPr>
          <m:t>A</m:t>
        </m:r>
      </m:oMath>
      <w:r>
        <w:t xml:space="preserve">)</w:t>
      </w:r>
    </w:p>
    <w:p>
      <w:pPr>
        <w:pStyle w:val="FirstParagraph"/>
      </w:pPr>
      <w:r>
        <w:t xml:space="preserve">We employ a discrete action space of 150 distinct operations mirroring human penetration testing methodologies:</w:t>
      </w:r>
    </w:p>
    <w:p>
      <w:pPr>
        <w:pStyle w:val="Compact"/>
        <w:numPr>
          <w:ilvl w:val="0"/>
          <w:numId w:val="1003"/>
        </w:numPr>
      </w:pPr>
      <w:r>
        <w:rPr>
          <w:b/>
          <w:bCs/>
        </w:rPr>
        <w:t xml:space="preserve">Reconnaissance Actions (0-29)</w:t>
      </w:r>
      <w:r>
        <w:t xml:space="preserve">: Standard directory bruteforcing and parameter enumeration.</w:t>
      </w:r>
    </w:p>
    <w:p>
      <w:pPr>
        <w:pStyle w:val="Compact"/>
        <w:numPr>
          <w:ilvl w:val="0"/>
          <w:numId w:val="1003"/>
        </w:numPr>
      </w:pPr>
      <w:r>
        <w:rPr>
          <w:b/>
          <w:bCs/>
        </w:rPr>
        <w:t xml:space="preserve">Vulnerability Assessment (30-69)</w:t>
      </w:r>
      <w:r>
        <w:t xml:space="preserve">: Dropping mild payloads (like</w:t>
      </w:r>
      <w:r>
        <w:t xml:space="preserve"> </w:t>
      </w:r>
      <w:r>
        <w:rPr>
          <w:rStyle w:val="VerbatimChar"/>
        </w:rPr>
        <w:t xml:space="preserve">' OR 1=1--</w:t>
      </w:r>
      <w:r>
        <w:t xml:space="preserve"> </w:t>
      </w:r>
      <w:r>
        <w:t xml:space="preserve">or single quote marks) just to elicit an anomaly from the database or logic layer.</w:t>
      </w:r>
    </w:p>
    <w:p>
      <w:pPr>
        <w:pStyle w:val="Compact"/>
        <w:numPr>
          <w:ilvl w:val="0"/>
          <w:numId w:val="1003"/>
        </w:numPr>
      </w:pPr>
      <w:r>
        <w:rPr>
          <w:b/>
          <w:bCs/>
        </w:rPr>
        <w:t xml:space="preserve">Active Exploitation (70-149)</w:t>
      </w:r>
      <w:r>
        <w:t xml:space="preserve">: Utilizing weaponized, complex payloads aimed directly at achieving Remote Code Execution, SQLi, or XSS.</w:t>
      </w:r>
    </w:p>
    <w:bookmarkEnd w:id="13"/>
    <w:bookmarkEnd w:id="14"/>
    <w:bookmarkStart w:id="16" w:name="X81800c01dd68ac0c4d42d0c0cb9ae0e4fb4f851"/>
    <w:p>
      <w:pPr>
        <w:pStyle w:val="Heading2"/>
      </w:pPr>
      <w:r>
        <w:t xml:space="preserve">C. Agent Design and Q-Learning Mathematics</w:t>
      </w:r>
    </w:p>
    <w:p>
      <w:pPr>
        <w:pStyle w:val="FirstParagraph"/>
      </w:pPr>
      <w:r>
        <w:t xml:space="preserve">The core intelligence of our scanner runs on a Double Dueling Deep Q-Network (D3QN). While standard Q-Learning follows the Bellman equation to iterative update action values:</w:t>
      </w:r>
    </w:p>
    <w:p>
      <w:pPr>
        <w:pStyle w:val="BodyText"/>
      </w:pPr>
      <m:oMathPara>
        <m:oMathParaPr>
          <m:jc m:val="center"/>
        </m:oMathParaPr>
        <m:oMath>
          <m:r>
            <m:t>Q</m:t>
          </m:r>
          <m:r>
            <m:rPr>
              <m:sty m:val="p"/>
            </m:rPr>
            <m:t>(</m:t>
          </m:r>
          <m:r>
            <m:t>S</m:t>
          </m:r>
          <m:r>
            <m:rPr>
              <m:sty m:val="p"/>
            </m:rPr>
            <m:t>*</m:t>
          </m:r>
          <m:r>
            <m:t>t</m:t>
          </m:r>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r>
                <m:t>R</m:t>
              </m:r>
              <m:r>
                <m:rPr>
                  <m:sty m:val="p"/>
                </m:rPr>
                <m:t>*</m:t>
              </m:r>
              <m:r>
                <m:t>t</m:t>
              </m:r>
              <m:r>
                <m:rPr>
                  <m:sty m:val="p"/>
                </m:rPr>
                <m:t>+</m:t>
              </m:r>
              <m:r>
                <m:t>1</m:t>
              </m:r>
              <m:r>
                <m:rPr>
                  <m:sty m:val="p"/>
                </m:rPr>
                <m:t>+</m:t>
              </m:r>
              <m:r>
                <m:t>γ</m:t>
              </m:r>
              <m:r>
                <m:rPr>
                  <m:sty m:val="p"/>
                </m:rPr>
                <m:t>max</m:t>
              </m:r>
              <m:r>
                <m:rPr>
                  <m:sty m:val="p"/>
                </m:rPr>
                <m:t>*</m:t>
              </m:r>
              <m:sSup>
                <m:e>
                  <m:r>
                    <m:t>a</m:t>
                  </m:r>
                </m:e>
                <m:sup>
                  <m:r>
                    <m:rPr>
                      <m:sty m:val="p"/>
                    </m:rPr>
                    <m:t>′</m:t>
                  </m:r>
                </m:sup>
              </m:sSup>
              <m:r>
                <m:t>Q</m:t>
              </m:r>
              <m:r>
                <m:rPr>
                  <m:sty m:val="p"/>
                </m:rPr>
                <m:t>(</m:t>
              </m:r>
              <m:r>
                <m:t>S</m:t>
              </m:r>
              <m:r>
                <m:rPr>
                  <m:sty m:val="p"/>
                </m:rPr>
                <m:t>*</m:t>
              </m:r>
              <m:r>
                <m:t>t</m:t>
              </m:r>
              <m:r>
                <m:rPr>
                  <m:sty m:val="p"/>
                </m:rPr>
                <m:t>+</m:t>
              </m:r>
              <m:r>
                <m:t>1</m:t>
              </m:r>
              <m:r>
                <m:rPr>
                  <m:sty m:val="p"/>
                </m:rPr>
                <m:t>,</m:t>
              </m:r>
              <m:sSup>
                <m:e>
                  <m:r>
                    <m:t>a</m:t>
                  </m:r>
                </m:e>
                <m:sup>
                  <m:r>
                    <m:rPr>
                      <m:sty m:val="p"/>
                    </m:rPr>
                    <m:t>′</m:t>
                  </m:r>
                </m:sup>
              </m:sSup>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Classic Deep Q-Networks tend to overestimate action values. To combat this, we utilize a Double DQN formulation, separating action selection from value estimation:</w:t>
      </w:r>
    </w:p>
    <w:p>
      <w:pPr>
        <w:pStyle w:val="BodyText"/>
      </w:pPr>
      <m:oMathPara>
        <m:oMathParaPr>
          <m:jc m:val="center"/>
        </m:oMathParaPr>
        <m:oMath>
          <m:r>
            <m:t>Y</m:t>
          </m:r>
          <m:r>
            <m:rPr>
              <m:sty m:val="p"/>
            </m:rPr>
            <m:t>*</m:t>
          </m:r>
          <m:sSup>
            <m:e>
              <m:r>
                <m:t>t</m:t>
              </m:r>
            </m:e>
            <m:sup>
              <m:r>
                <m:rPr>
                  <m:nor/>
                  <m:sty m:val="p"/>
                </m:rPr>
                <m:t>DoubleQ</m:t>
              </m:r>
            </m:sup>
          </m:sSup>
          <m:r>
            <m:rPr>
              <m:sty m:val="p"/>
            </m:rPr>
            <m:t>=</m:t>
          </m:r>
          <m:r>
            <m:t>R</m:t>
          </m:r>
          <m:r>
            <m:rPr>
              <m:sty m:val="p"/>
            </m:rPr>
            <m:t>*</m:t>
          </m:r>
          <m:r>
            <m:t>t</m:t>
          </m:r>
          <m:r>
            <m:rPr>
              <m:sty m:val="p"/>
            </m:rPr>
            <m:t>+</m:t>
          </m:r>
          <m:r>
            <m:t>1</m:t>
          </m:r>
          <m:r>
            <m:rPr>
              <m:sty m:val="p"/>
            </m:rPr>
            <m:t>+</m:t>
          </m:r>
          <m:r>
            <m:t>γ</m:t>
          </m:r>
          <m:r>
            <m:t>Q</m:t>
          </m:r>
          <m:d>
            <m:dPr>
              <m:begChr m:val="("/>
              <m:sepChr m:val=""/>
              <m:endChr m:val=")"/>
              <m:grow/>
            </m:dPr>
            <m:e>
              <m:r>
                <m:t>S</m:t>
              </m:r>
              <m:r>
                <m:rPr>
                  <m:sty m:val="p"/>
                </m:rPr>
                <m:t>*</m:t>
              </m:r>
              <m:r>
                <m:t>t</m:t>
              </m:r>
              <m:r>
                <m:rPr>
                  <m:sty m:val="p"/>
                </m:rPr>
                <m:t>+</m:t>
              </m:r>
              <m:r>
                <m:t>1</m:t>
              </m:r>
              <m:r>
                <m:rPr>
                  <m:sty m:val="p"/>
                </m:rPr>
                <m:t>,</m:t>
              </m:r>
              <m:r>
                <m:rPr>
                  <m:sty m:val="p"/>
                </m:rPr>
                <m:t>arg</m:t>
              </m:r>
              <m:limLow>
                <m:e>
                  <m:r>
                    <m:rPr>
                      <m:sty m:val="p"/>
                    </m:rPr>
                    <m:t>max</m:t>
                  </m:r>
                </m:e>
                <m:lim>
                  <m:r>
                    <m:t>a</m:t>
                  </m:r>
                </m:lim>
              </m:limLow>
              <m:r>
                <m:t>Q</m:t>
              </m:r>
              <m:r>
                <m:rPr>
                  <m:sty m:val="p"/>
                </m:rPr>
                <m:t>(</m:t>
              </m:r>
              <m:r>
                <m:t>S</m:t>
              </m:r>
              <m:r>
                <m:rPr>
                  <m:sty m:val="p"/>
                </m:rPr>
                <m:t>*</m:t>
              </m:r>
              <m:r>
                <m:t>t</m:t>
              </m:r>
              <m:r>
                <m:rPr>
                  <m:sty m:val="p"/>
                </m:rPr>
                <m:t>+</m:t>
              </m:r>
              <m:r>
                <m:t>1</m:t>
              </m:r>
              <m:r>
                <m:rPr>
                  <m:sty m:val="p"/>
                </m:rPr>
                <m:t>,</m:t>
              </m:r>
              <m:r>
                <m:t>a</m:t>
              </m:r>
              <m:r>
                <m:rPr>
                  <m:sty m:val="p"/>
                </m:rPr>
                <m:t>;</m:t>
              </m:r>
              <m:sSub>
                <m:e>
                  <m:r>
                    <m:t>θ</m:t>
                  </m:r>
                </m:e>
                <m:sub>
                  <m:r>
                    <m:t>t</m:t>
                  </m:r>
                </m:sub>
              </m:sSub>
              <m:r>
                <m:rPr>
                  <m:sty m:val="p"/>
                </m:rPr>
                <m:t>)</m:t>
              </m:r>
              <m:r>
                <m:rPr>
                  <m:sty m:val="p"/>
                </m:rPr>
                <m:t>;</m:t>
              </m:r>
              <m:sSubSup>
                <m:e>
                  <m:r>
                    <m:t>θ</m:t>
                  </m:r>
                </m:e>
                <m:sub>
                  <m:r>
                    <m:t>t</m:t>
                  </m:r>
                </m:sub>
                <m:sup>
                  <m:r>
                    <m:rPr>
                      <m:sty m:val="p"/>
                    </m:rPr>
                    <m:t>−</m:t>
                  </m:r>
                </m:sup>
              </m:sSubSup>
            </m:e>
          </m:d>
        </m:oMath>
      </m:oMathPara>
    </w:p>
    <w:p>
      <w:pPr>
        <w:pStyle w:val="FirstParagraph"/>
      </w:pPr>
      <w:r>
        <w:t xml:space="preserve">where</w:t>
      </w:r>
      <w:r>
        <w:t xml:space="preserve"> </w:t>
      </w:r>
      <m:oMath>
        <m:sSub>
          <m:e>
            <m:r>
              <m:t>θ</m:t>
            </m:r>
          </m:e>
          <m:sub>
            <m:r>
              <m:t>t</m:t>
            </m:r>
          </m:sub>
        </m:sSub>
      </m:oMath>
      <w:r>
        <w:t xml:space="preserve"> </w:t>
      </w:r>
      <w:r>
        <w:t xml:space="preserve">represents the parameters of the primary network and</w:t>
      </w:r>
      <w:r>
        <w:t xml:space="preserve"> </w:t>
      </w:r>
      <m:oMath>
        <m:sSubSup>
          <m:e>
            <m:r>
              <m:t>θ</m:t>
            </m:r>
          </m:e>
          <m:sub>
            <m:r>
              <m:t>t</m:t>
            </m:r>
          </m:sub>
          <m:sup>
            <m:r>
              <m:rPr>
                <m:sty m:val="p"/>
              </m:rPr>
              <m:t>−</m:t>
            </m:r>
          </m:sup>
        </m:sSubSup>
      </m:oMath>
      <w:r>
        <w:t xml:space="preserve"> </w:t>
      </w:r>
      <w:r>
        <w:t xml:space="preserve">represents the target network parameters.</w:t>
      </w:r>
    </w:p>
    <w:p>
      <w:pPr>
        <w:pStyle w:val="BodyText"/>
      </w:pPr>
      <w:r>
        <w:t xml:space="preserve">To further improve sample efficiency when evaluating the 150-dimensional action space, we employ a</w:t>
      </w:r>
      <w:r>
        <w:t xml:space="preserve"> </w:t>
      </w:r>
      <w:r>
        <w:rPr>
          <w:b/>
          <w:bCs/>
        </w:rPr>
        <w:t xml:space="preserve">Dueling Network Architecture</w:t>
      </w:r>
      <w:r>
        <w:t xml:space="preserve">. This explicitly separates the inherent value of being in a state</w:t>
      </w:r>
      <w:r>
        <w:t xml:space="preserve"> </w:t>
      </w:r>
      <m:oMath>
        <m:r>
          <m:t>V</m:t>
        </m:r>
        <m:r>
          <m:rPr>
            <m:sty m:val="p"/>
          </m:rPr>
          <m:t>(</m:t>
        </m:r>
        <m:r>
          <m:t>s</m:t>
        </m:r>
        <m:r>
          <m:rPr>
            <m:sty m:val="p"/>
          </m:rPr>
          <m:t>)</m:t>
        </m:r>
      </m:oMath>
      <w:r>
        <w:t xml:space="preserve"> </w:t>
      </w:r>
      <w:r>
        <w:t xml:space="preserve">from the specific advantage of taking an action</w:t>
      </w:r>
      <w:r>
        <w:t xml:space="preserve"> </w:t>
      </w:r>
      <m:oMath>
        <m:r>
          <m:t>A</m:t>
        </m:r>
        <m:r>
          <m:rPr>
            <m:sty m:val="p"/>
          </m:rPr>
          <m:t>(</m:t>
        </m:r>
        <m:r>
          <m:t>s</m:t>
        </m:r>
        <m:r>
          <m:rPr>
            <m:sty m:val="p"/>
          </m:rPr>
          <m:t>,</m:t>
        </m:r>
        <m:r>
          <m:t>a</m:t>
        </m:r>
        <m:r>
          <m:rPr>
            <m:sty m:val="p"/>
          </m:rPr>
          <m:t>)</m:t>
        </m:r>
      </m:oMath>
      <w:r>
        <w:t xml:space="preserve">. The resulting Q-value is estimated as:</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t>α</m:t>
          </m:r>
          <m:r>
            <m:rPr>
              <m:sty m:val="p"/>
            </m:rPr>
            <m:t>,</m:t>
          </m:r>
          <m:r>
            <m:t>β</m:t>
          </m:r>
          <m:r>
            <m:rPr>
              <m:sty m:val="p"/>
            </m:rPr>
            <m:t>)</m:t>
          </m:r>
          <m:r>
            <m:rPr>
              <m:sty m:val="p"/>
            </m:rPr>
            <m:t>=</m:t>
          </m:r>
          <m:r>
            <m:t>V</m:t>
          </m:r>
          <m:r>
            <m:rPr>
              <m:sty m:val="p"/>
            </m:rPr>
            <m:t>(</m:t>
          </m:r>
          <m:r>
            <m:t>s</m:t>
          </m:r>
          <m:r>
            <m:rPr>
              <m:sty m:val="p"/>
            </m:rPr>
            <m:t>;</m:t>
          </m:r>
          <m:r>
            <m:t>θ</m:t>
          </m:r>
          <m:r>
            <m:rPr>
              <m:sty m:val="p"/>
            </m:rPr>
            <m:t>,</m:t>
          </m:r>
          <m:r>
            <m:t>β</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t>α</m:t>
              </m:r>
              <m:r>
                <m:rPr>
                  <m:sty m:val="p"/>
                </m:rPr>
                <m:t>)</m:t>
              </m:r>
              <m:r>
                <m:rPr>
                  <m:sty m:val="p"/>
                </m:rPr>
                <m:t>−</m:t>
              </m:r>
              <m:f>
                <m:fPr>
                  <m:type m:val="bar"/>
                </m:fPr>
                <m:num>
                  <m:r>
                    <m:t>1</m:t>
                  </m:r>
                </m:num>
                <m:den>
                  <m:r>
                    <m:rPr>
                      <m:sty m:val="p"/>
                    </m:rPr>
                    <m:t>|</m:t>
                  </m:r>
                  <m:r>
                    <m:rPr>
                      <m:scr m:val="script"/>
                      <m:sty m:val="p"/>
                    </m:rPr>
                    <m:t>A</m:t>
                  </m:r>
                  <m:r>
                    <m:rPr>
                      <m:sty m:val="p"/>
                    </m:rPr>
                    <m:t>|</m:t>
                  </m:r>
                </m:den>
              </m:f>
              <m:r>
                <m:rPr>
                  <m:sty m:val="p"/>
                </m:rPr>
                <m:t>∑</m:t>
              </m:r>
              <m:r>
                <m:rPr>
                  <m:sty m:val="p"/>
                </m:rPr>
                <m:t>_</m:t>
              </m:r>
              <m:sSup>
                <m:e>
                  <m:r>
                    <m:t>a</m:t>
                  </m:r>
                </m:e>
                <m:sup>
                  <m:r>
                    <m:rPr>
                      <m:sty m:val="p"/>
                    </m:rPr>
                    <m:t>′</m:t>
                  </m:r>
                </m:sup>
              </m:sSup>
              <m:r>
                <m:t>A</m:t>
              </m:r>
              <m:r>
                <m:rPr>
                  <m:sty m:val="p"/>
                </m:rPr>
                <m:t>(</m:t>
              </m:r>
              <m:r>
                <m:t>s</m:t>
              </m:r>
              <m:r>
                <m:rPr>
                  <m:sty m:val="p"/>
                </m:rPr>
                <m:t>,</m:t>
              </m:r>
              <m:sSup>
                <m:e>
                  <m:r>
                    <m:t>a</m:t>
                  </m:r>
                </m:e>
                <m:sup>
                  <m:r>
                    <m:rPr>
                      <m:sty m:val="p"/>
                    </m:rPr>
                    <m:t>′</m:t>
                  </m:r>
                </m:sup>
              </m:sSup>
              <m:r>
                <m:rPr>
                  <m:sty m:val="p"/>
                </m:rPr>
                <m:t>;</m:t>
              </m:r>
              <m:r>
                <m:t>θ</m:t>
              </m:r>
              <m:r>
                <m:rPr>
                  <m:sty m:val="p"/>
                </m:rPr>
                <m:t>,</m:t>
              </m:r>
              <m:r>
                <m:t>α</m:t>
              </m:r>
              <m:r>
                <m:rPr>
                  <m:sty m:val="p"/>
                </m:rPr>
                <m:t>)</m:t>
              </m:r>
            </m:e>
          </m:d>
        </m:oMath>
      </m:oMathPara>
    </w:p>
    <w:p>
      <w:pPr>
        <w:pStyle w:val="FirstParagraph"/>
      </w:pPr>
      <w:r>
        <w:t xml:space="preserve">By subtracting the mean advantage, the network forces the advantage stream to have zero mean, which significantly stabilizes mathematical convergence during training.</w:t>
      </w:r>
    </w:p>
    <w:bookmarkStart w:id="15" w:name="reward-function-mathcalr"/>
    <w:p>
      <w:pPr>
        <w:pStyle w:val="Heading3"/>
      </w:pPr>
      <w:r>
        <w:t xml:space="preserve">1) Reward Function (</w:t>
      </w:r>
      <m:oMath>
        <m:r>
          <m:rPr>
            <m:scr m:val="script"/>
            <m:sty m:val="p"/>
          </m:rPr>
          <m:t>R</m:t>
        </m:r>
      </m:oMath>
      <w:r>
        <w:t xml:space="preserve">)</w:t>
      </w:r>
    </w:p>
    <w:p>
      <w:pPr>
        <w:pStyle w:val="FirstParagraph"/>
      </w:pPr>
      <w:r>
        <w:t xml:space="preserve">To train the agent effectively, the reward function is highly shaped:</w:t>
      </w:r>
    </w:p>
    <w:p>
      <w:pPr>
        <w:pStyle w:val="Compact"/>
        <w:numPr>
          <w:ilvl w:val="0"/>
          <w:numId w:val="1004"/>
        </w:numPr>
      </w:pPr>
      <w:r>
        <w:rPr>
          <w:b/>
          <w:bCs/>
        </w:rPr>
        <w:t xml:space="preserve">Positive Reinforcement</w:t>
      </w:r>
      <w:r>
        <w:t xml:space="preserve">: Discovering a verifiable vulnerability yields</w:t>
      </w:r>
      <w:r>
        <w:t xml:space="preserve"> </w:t>
      </w:r>
      <m:oMath>
        <m:r>
          <m:rPr>
            <m:sty m:val="p"/>
          </m:rPr>
          <m:t>+</m:t>
        </m:r>
        <m:r>
          <m:t>1.0</m:t>
        </m:r>
      </m:oMath>
      <w:r>
        <w:t xml:space="preserve">. Capturing hidden CTF flags (indicating deep system compromise) yields</w:t>
      </w:r>
      <w:r>
        <w:t xml:space="preserve"> </w:t>
      </w:r>
      <m:oMath>
        <m:r>
          <m:rPr>
            <m:sty m:val="p"/>
          </m:rPr>
          <m:t>+</m:t>
        </m:r>
        <m:r>
          <m:t>5.0</m:t>
        </m:r>
      </m:oMath>
      <w:r>
        <w:t xml:space="preserve">.</w:t>
      </w:r>
    </w:p>
    <w:p>
      <w:pPr>
        <w:pStyle w:val="Compact"/>
        <w:numPr>
          <w:ilvl w:val="0"/>
          <w:numId w:val="1004"/>
        </w:numPr>
      </w:pPr>
      <w:r>
        <w:rPr>
          <w:b/>
          <w:bCs/>
        </w:rPr>
        <w:t xml:space="preserve">Negative Penalties</w:t>
      </w:r>
      <w:r>
        <w:t xml:space="preserve">: Small step penalties (</w:t>
      </w:r>
      <m:oMath>
        <m:r>
          <m:rPr>
            <m:sty m:val="p"/>
          </m:rPr>
          <m:t>−</m:t>
        </m:r>
        <m:r>
          <m:t>0.01</m:t>
        </m:r>
      </m:oMath>
      <w:r>
        <w:t xml:space="preserve">) encourage efficiency. Triggering a firewall block or rate limit results in a massive penalty (</w:t>
      </w:r>
      <m:oMath>
        <m:r>
          <m:rPr>
            <m:sty m:val="p"/>
          </m:rPr>
          <m:t>−</m:t>
        </m:r>
        <m:r>
          <m:t>0.1</m:t>
        </m:r>
      </m:oMath>
      <w:r>
        <w:t xml:space="preserve">), forcing the agent to learn stealth and avoid noisy bruteforcing.</w:t>
      </w:r>
    </w:p>
    <w:p>
      <w:r>
        <w:pict>
          <v:rect style="width:0;height:1.5pt" o:hralign="center" o:hrstd="t" o:hr="t"/>
        </w:pict>
      </w:r>
    </w:p>
    <w:bookmarkEnd w:id="15"/>
    <w:bookmarkEnd w:id="16"/>
    <w:bookmarkEnd w:id="17"/>
    <w:bookmarkStart w:id="18" w:name="iv.-evaluation-and-results"/>
    <w:p>
      <w:pPr>
        <w:pStyle w:val="Heading1"/>
      </w:pPr>
      <w:r>
        <w:t xml:space="preserve">IV. EVALUATION AND RESULTS</w:t>
      </w:r>
    </w:p>
    <w:p>
      <w:pPr>
        <w:pStyle w:val="FirstParagraph"/>
      </w:pPr>
      <w:r>
        <w:t xml:space="preserve">To see how well our RL scanner performs in practice, we benchmarked it against our intentionally vulnerable mock applications. We mapped its detections against a strict list of ground-truth vulnerabilities native to the targets.</w:t>
      </w:r>
    </w:p>
    <w:p>
      <w:pPr>
        <w:pStyle w:val="BodyText"/>
      </w:pPr>
      <w:r>
        <w:t xml:space="preserve">Table I outlines precisely how many vulnerabilities the agent discovered across various high and critical severity classifications.</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8"/>
    <w:bookmarkStart w:id="19" w:name="vi.-conclusion"/>
    <w:p>
      <w:pPr>
        <w:pStyle w:val="Heading1"/>
      </w:pPr>
      <w:r>
        <w:t xml:space="preserve">VI. CONCLUSION</w:t>
      </w:r>
    </w:p>
    <w:p>
      <w:pPr>
        <w:pStyle w:val="FirstParagraph"/>
      </w:pPr>
      <w:r>
        <w:t xml:space="preserve">In this paper, we introduced a fully autonomous web vulnerability scanner driven by a Double Dueling Deep Q-Network (D3QN) agent. By structuring web exploitation as a formalized Markov Decision Process (MDP) and training our model in the custom</w:t>
      </w:r>
      <w:r>
        <w:t xml:space="preserve"> </w:t>
      </w:r>
      <w:r>
        <w:rPr>
          <w:rStyle w:val="VerbatimChar"/>
        </w:rPr>
        <w:t xml:space="preserve">WebSecurityGym</w:t>
      </w:r>
      <w:r>
        <w:t xml:space="preserve"> </w:t>
      </w:r>
      <w:r>
        <w:t xml:space="preserve">environment, we’ve shown that Reinforcement Learning can absolutely replicate the cognitive adaptability of a human penetration tester at scale. Thanks to our Phase-Based Learning implementation, the agent successfully learned to navigate the Cyber Kill Chain—moving seamlessly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space to cover far more sophisticated CVEs.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2026-02-21T05:34:32Z</dcterms:created>
  <dcterms:modified xsi:type="dcterms:W3CDTF">2026-02-21T05:34:32Z</dcterms:modified>
</cp:coreProperties>
</file>

<file path=docProps/custom.xml><?xml version="1.0" encoding="utf-8"?>
<Properties xmlns="http://schemas.openxmlformats.org/officeDocument/2006/custom-properties" xmlns:vt="http://schemas.openxmlformats.org/officeDocument/2006/docPropsVTypes"/>
</file>