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Data resources：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1.2million Truecar Data：</w:t>
      </w: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https://www.kaggle.com/jpayne/852k-used-car-listings#tc20171021.csv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正在爬的 cars.com的数据 18个attributes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公共交通方式占比（by state）：</w:t>
      </w:r>
      <w:hyperlink r:id="rId7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https://onedrive.live.com/View.aspx?resid=5BB61284E6FFA69C!184&amp;app=Excel&amp;authkey=!AA89km-f_oT97PQ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highlight w:val="white"/>
          <w:rtl w:val="0"/>
        </w:rPr>
        <w:t xml:space="preserve">部分新车价格 不用配置不同品牌：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color w:val="222222"/>
          <w:highlight w:val="white"/>
        </w:rPr>
      </w:pPr>
      <w:hyperlink r:id="rId8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https://www.kaggle.com/CooperUnion/cardataset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jpayne/852k-used-car-listings#tc20171021.csv" TargetMode="External"/><Relationship Id="rId7" Type="http://schemas.openxmlformats.org/officeDocument/2006/relationships/hyperlink" Target="https://onedrive.live.com/View.aspx?resid=5BB61284E6FFA69C!184&amp;app=Excel&amp;authkey=!AA89km-f_oT97PQ" TargetMode="External"/><Relationship Id="rId8" Type="http://schemas.openxmlformats.org/officeDocument/2006/relationships/hyperlink" Target="https://www.kaggle.com/CooperUnion/car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