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5C59DE21">
      <w:pPr>
        <w:pStyle w:val="00001d"/>
        <w:rPr>
          <w:color w:val="333333"/>
        </w:rPr>
      </w:pPr>
      <w:r>
        <w:rPr>
          <w:color w:val="333333"/>
        </w:rPr>
        <w:t>Supplementary Notes</w:t>
      </w:r>
    </w:p>
    <w:p w14:paraId="0B801F36">
      <w:pPr>
        <w:pStyle w:val="000008"/>
        <w:rPr>
          <w:color w:val="333333"/>
        </w:rPr>
      </w:pPr>
      <w:r>
        <w:rPr>
          <w:color w:val="333333"/>
        </w:rPr>
        <w:t>Supplementary Note 1: EAS Depression→AD cross-ancestry replication: outcome of data-access attempt</w:t>
      </w:r>
    </w:p>
    <w:p w14:paraId="2E3EA433">
      <w:pPr>
        <w:spacing w:after="120"/>
        <w:rPr>
          <w:color w:val="333333"/>
        </w:rPr>
      </w:pPr>
      <w:r>
        <w:rPr>
          <w:b w:val="1"/>
          <w:color w:val="333333"/>
        </w:rPr>
        <w:t>Date</w:t>
      </w:r>
      <w:r>
        <w:rPr>
          <w:color w:val="333333"/>
        </w:rPr>
        <w:t xml:space="preserve">: 2026-08-05. </w:t>
      </w:r>
      <w:r>
        <w:rPr>
          <w:b w:val="1"/>
          <w:color w:val="333333"/>
        </w:rPr>
        <w:t>Conclusion: infeasible with currently accessible data — reported as a data limitation, not a null result.</w:t>
      </w:r>
    </w:p>
    <w:p w14:paraId="47CEC7EC">
      <w:pPr>
        <w:pStyle w:val="00000a"/>
        <w:rPr>
          <w:color w:val="333333"/>
        </w:rPr>
      </w:pPr>
      <w:r>
        <w:rPr>
          <w:color w:val="333333"/>
        </w:rPr>
        <w:t>Why we attempted this</w:t>
      </w:r>
    </w:p>
    <w:p w14:paraId="2CC9414F">
      <w:pPr>
        <w:spacing w:after="120"/>
        <w:rPr>
          <w:color w:val="333333"/>
        </w:rPr>
      </w:pPr>
      <w:r>
        <w:rPr>
          <w:color w:val="333333"/>
        </w:rPr>
        <w:t>The European depression→AD signal (ieu-b-102 → ieu-b-2; IVW β = −0.254, P = 0.0135, Grade C) is the only</w:t>
      </w:r>
    </w:p>
    <w:p w14:paraId="08E4C8EB">
      <w:pPr>
        <w:spacing w:after="120"/>
        <w:rPr>
          <w:color w:val="333333"/>
        </w:rPr>
      </w:pPr>
      <w:r>
        <w:rPr>
          <w:color w:val="333333"/>
        </w:rPr>
        <w:t>validation case without a cross-ancestry check. An earlier attempt using EUR instruments against GARD EAS AD</w:t>
      </w:r>
    </w:p>
    <w:p w14:paraId="2B968B86">
      <w:pPr>
        <w:spacing w:after="120"/>
        <w:rPr>
          <w:color w:val="333333"/>
        </w:rPr>
      </w:pPr>
      <w:r>
        <w:rPr>
          <w:color w:val="333333"/>
        </w:rPr>
        <w:t>(2,919 cases) was severely underpowered. This note documents the attempt to obtain the proper EAS exposure</w:t>
      </w:r>
    </w:p>
    <w:p w14:paraId="60362CB3">
      <w:pPr>
        <w:spacing w:after="120"/>
        <w:rPr>
          <w:color w:val="333333"/>
        </w:rPr>
      </w:pPr>
      <w:r>
        <w:rPr>
          <w:color w:val="333333"/>
        </w:rPr>
        <w:t>GWAS (Meng et al. 2024, Nat Genet) and why a formal EAS replication is not currently possible.</w:t>
      </w:r>
    </w:p>
    <w:p w14:paraId="6DA47CDC">
      <w:pPr>
        <w:pStyle w:val="00000a"/>
        <w:rPr>
          <w:color w:val="333333"/>
        </w:rPr>
      </w:pPr>
      <w:r>
        <w:rPr>
          <w:color w:val="333333"/>
        </w:rPr>
        <w:t>Data acquisition (successful)</w:t>
      </w:r>
    </w:p>
    <w:p w14:paraId="384BA4AD">
      <w:pPr>
        <w:pStyle w:val="00002c"/>
        <w:numPr>
          <w:ilvl w:val="0"/>
          <w:numId w:val="0"/>
        </w:numPr>
        <w:spacing w:after="40"/>
        <w:ind w:left="360"/>
        <w:rPr>
          <w:color w:val="333333"/>
        </w:rPr>
      </w:pPr>
      <w:r>
        <w:rPr>
          <w:color w:val="333333"/>
        </w:rPr>
        <w:t xml:space="preserve">Source: figshare </w:t>
      </w:r>
      <w:r>
        <w:rPr>
          <w:rFonts w:ascii="Consolas" w:hAnsi="Consolas"/>
          <w:color w:val="333333"/>
          <w:sz w:val="18"/>
        </w:rPr>
        <w:t>mdd2023diverse</w:t>
      </w:r>
      <w:r>
        <w:rPr>
          <w:color w:val="333333"/>
        </w:rPr>
        <w:t xml:space="preserve"> (doi 10.6084/m9.figshare.24799299, CC BY 4.0; PGC data terms apply)</w:t>
      </w:r>
    </w:p>
    <w:p w14:paraId="25A4F5E7">
      <w:pPr>
        <w:pStyle w:val="00002c"/>
        <w:numPr>
          <w:ilvl w:val="0"/>
          <w:numId w:val="0"/>
        </w:numPr>
        <w:spacing w:after="40"/>
        <w:ind w:left="360"/>
        <w:rPr>
          <w:color w:val="333333"/>
        </w:rPr>
      </w:pPr>
      <w:r>
        <w:rPr>
          <w:color w:val="333333"/>
        </w:rPr>
        <w:t>Downloaded:</w:t>
      </w:r>
    </w:p>
    <w:p w14:paraId="17804E21">
      <w:pPr>
        <w:pStyle w:val="00002c"/>
        <w:numPr>
          <w:ilvl w:val="0"/>
          <w:numId w:val="0"/>
        </w:numPr>
        <w:spacing w:after="40"/>
        <w:ind w:left="360"/>
        <w:rPr>
          <w:color w:val="333333"/>
        </w:rPr>
      </w:pPr>
      <w:r>
        <w:rPr>
          <w:rFonts w:ascii="Consolas" w:hAnsi="Consolas"/>
          <w:color w:val="333333"/>
          <w:sz w:val="18"/>
        </w:rPr>
        <w:t>mdd2023_EAS_clinicalMD_Neff.csv</w:t>
      </w:r>
      <w:r>
        <w:rPr>
          <w:color w:val="333333"/>
        </w:rPr>
        <w:t xml:space="preserve"> (781 MB) — East Asian clinical MD meta-analysis</w:t>
      </w:r>
    </w:p>
    <w:p w14:paraId="07005543">
      <w:pPr>
        <w:spacing w:after="120"/>
        <w:rPr>
          <w:color w:val="333333"/>
        </w:rPr>
      </w:pPr>
      <w:r>
        <w:rPr>
          <w:color w:val="333333"/>
        </w:rPr>
        <w:t xml:space="preserve">    (7,886 cases / 14,412 controls, GRCh37) — file id 43621254</w:t>
      </w:r>
    </w:p>
    <w:p w14:paraId="38B95C48">
      <w:pPr>
        <w:pStyle w:val="00002c"/>
        <w:numPr>
          <w:ilvl w:val="0"/>
          <w:numId w:val="0"/>
        </w:numPr>
        <w:spacing w:after="40"/>
        <w:ind w:left="360"/>
        <w:rPr>
          <w:color w:val="333333"/>
        </w:rPr>
      </w:pPr>
      <w:r>
        <w:rPr>
          <w:rFonts w:ascii="Consolas" w:hAnsi="Consolas"/>
          <w:color w:val="333333"/>
          <w:sz w:val="18"/>
        </w:rPr>
        <w:t>mdd2023_AllAncestry_clinicalMD_Neff.csv</w:t>
      </w:r>
      <w:r>
        <w:rPr>
          <w:color w:val="333333"/>
        </w:rPr>
        <w:t xml:space="preserve"> (2.8 GB) — multi-ancestry clinical MD</w:t>
      </w:r>
    </w:p>
    <w:p w14:paraId="64FF283F">
      <w:pPr>
        <w:spacing w:after="120"/>
        <w:rPr>
          <w:color w:val="333333"/>
        </w:rPr>
      </w:pPr>
      <w:r>
        <w:rPr>
          <w:color w:val="333333"/>
        </w:rPr>
        <w:t xml:space="preserve">    (88,316 cases / 902,757 controls, GRCh37) — file id 43621302</w:t>
      </w:r>
    </w:p>
    <w:p w14:paraId="056DA942">
      <w:pPr>
        <w:pStyle w:val="00002c"/>
        <w:numPr>
          <w:ilvl w:val="0"/>
          <w:numId w:val="0"/>
        </w:numPr>
        <w:spacing w:after="40"/>
        <w:ind w:left="360"/>
        <w:rPr>
          <w:color w:val="333333"/>
        </w:rPr>
      </w:pPr>
      <w:r>
        <w:rPr>
          <w:color w:val="333333"/>
        </w:rPr>
        <w:t>Format: Chromosome,Position,SNP,EA,NEA,EAF,logOR,SE,P,N_study,Direction,HetISq,HetPVal,Ncase,Ncontrol,Neff</w:t>
      </w:r>
    </w:p>
    <w:p w14:paraId="40961DB1">
      <w:pPr>
        <w:pStyle w:val="00002c"/>
        <w:numPr>
          <w:ilvl w:val="0"/>
          <w:numId w:val="0"/>
        </w:numPr>
        <w:spacing w:after="40"/>
        <w:ind w:left="360"/>
        <w:rPr>
          <w:color w:val="333333"/>
        </w:rPr>
      </w:pPr>
      <w:r>
        <w:rPr>
          <w:color w:val="333333"/>
        </w:rPr>
        <w:t>Note: 23andMe, WHI and JHS excluded from all shared sumstats (ReadMe.txt)</w:t>
      </w:r>
    </w:p>
    <w:p w14:paraId="79AC375E">
      <w:pPr>
        <w:pStyle w:val="00000a"/>
        <w:rPr>
          <w:color w:val="333333"/>
        </w:rPr>
      </w:pPr>
      <w:r>
        <w:rPr>
          <w:color w:val="333333"/>
        </w:rPr>
        <w:t>Key empirical findings</w:t>
      </w:r>
    </w:p>
    <w:p w14:paraId="5C2465F2">
      <w:pPr>
        <w:pStyle w:val="000032"/>
        <w:spacing w:after="40"/>
        <w:rPr>
          <w:color w:val="333333"/>
        </w:rPr>
      </w:pPr>
      <w:r>
        <w:rPr>
          <w:b w:val="1"/>
          <w:color w:val="333333"/>
        </w:rPr>
        <w:t>EAS clinical MDD has NO genome-wide significant variants</w:t>
      </w:r>
      <w:r>
        <w:rPr>
          <w:color w:val="333333"/>
        </w:rPr>
        <w:t xml:space="preserve"> (min P = 1.9 × 10⁻⁷ across 8,079,156 variants).</w:t>
      </w:r>
    </w:p>
    <w:p w14:paraId="1D008A69">
      <w:pPr>
        <w:spacing w:after="120"/>
        <w:rPr>
          <w:color w:val="333333"/>
        </w:rPr>
      </w:pPr>
      <w:r>
        <w:rPr>
          <w:color w:val="333333"/>
        </w:rPr>
        <w:t xml:space="preserve">   With 7,886 cases the EAS stratum is underpowered at genome-wide scale — consistent with Meng et al. 2024</w:t>
      </w:r>
    </w:p>
    <w:p w14:paraId="1C1EF9EF">
      <w:pPr>
        <w:spacing w:after="120"/>
        <w:rPr>
          <w:color w:val="333333"/>
        </w:rPr>
      </w:pPr>
      <w:r>
        <w:rPr>
          <w:color w:val="333333"/>
        </w:rPr>
        <w:t xml:space="preserve">   reporting that MDD loci transfer to non-European ancestries less often than expected.</w:t>
      </w:r>
    </w:p>
    <w:p w14:paraId="62A43FBD">
      <w:pPr>
        <w:pStyle w:val="000032"/>
        <w:spacing w:after="40"/>
        <w:rPr>
          <w:color w:val="333333"/>
        </w:rPr>
      </w:pPr>
      <w:r>
        <w:rPr>
          <w:b w:val="1"/>
          <w:color w:val="333333"/>
        </w:rPr>
        <w:t>Multi-ancestry clinical MDD (AllAncestry)</w:t>
      </w:r>
      <w:r>
        <w:rPr>
          <w:color w:val="333333"/>
        </w:rPr>
        <w:t xml:space="preserve"> yields 108 GW-significant variants → 6 independent loci after</w:t>
      </w:r>
    </w:p>
    <w:p w14:paraId="218096A2">
      <w:pPr>
        <w:spacing w:after="120"/>
        <w:rPr>
          <w:color w:val="333333"/>
        </w:rPr>
      </w:pPr>
      <w:r>
        <w:rPr>
          <w:color w:val="333333"/>
        </w:rPr>
        <w:t xml:space="preserve">   distance clumping (10 Mb). Of these, only </w:t>
      </w:r>
      <w:r>
        <w:rPr>
          <w:b w:val="1"/>
          <w:color w:val="333333"/>
        </w:rPr>
        <w:t>2</w:t>
      </w:r>
      <w:r>
        <w:rPr>
          <w:color w:val="333333"/>
        </w:rPr>
        <w:t xml:space="preserve"> have positions + harmonizable alleles present in GARD EAS AD</w:t>
      </w:r>
    </w:p>
    <w:p w14:paraId="712EED7A">
      <w:pPr>
        <w:spacing w:after="120"/>
        <w:rPr>
          <w:color w:val="333333"/>
        </w:rPr>
      </w:pPr>
      <w:r>
        <w:rPr>
          <w:color w:val="333333"/>
        </w:rPr>
        <w:t xml:space="preserve">   (2,919 cases): rs12129573 and rs10759878.</w:t>
      </w:r>
    </w:p>
    <w:p w14:paraId="08ED392C">
      <w:pPr>
        <w:pStyle w:val="000032"/>
        <w:spacing w:after="40"/>
        <w:rPr>
          <w:color w:val="333333"/>
        </w:rPr>
      </w:pPr>
      <w:r>
        <w:rPr>
          <w:b w:val="1"/>
          <w:color w:val="333333"/>
        </w:rPr>
        <w:t>Exploratory 2-instrument direction check</w:t>
      </w:r>
      <w:r>
        <w:rPr>
          <w:color w:val="333333"/>
        </w:rPr>
        <w:t xml:space="preserve"> (multi-ancestry MDD → GARD EAS AD):</w:t>
      </w:r>
    </w:p>
    <w:p w14:paraId="07FBC03A">
      <w:pPr>
        <w:pStyle w:val="00002c"/>
        <w:numPr>
          <w:ilvl w:val="0"/>
          <w:numId w:val="0"/>
        </w:numPr>
        <w:spacing w:after="40"/>
        <w:ind w:left="360"/>
        <w:rPr>
          <w:color w:val="333333"/>
        </w:rPr>
      </w:pPr>
      <w:r>
        <w:rPr>
          <w:color w:val="333333"/>
        </w:rPr>
        <w:t>rs12129573: MDD logOR = +0.038 → AD β = +0.0425 (SE 0.045)</w:t>
      </w:r>
    </w:p>
    <w:p w14:paraId="5F488CB6">
      <w:pPr>
        <w:pStyle w:val="00002c"/>
        <w:numPr>
          <w:ilvl w:val="0"/>
          <w:numId w:val="0"/>
        </w:numPr>
        <w:spacing w:after="40"/>
        <w:ind w:left="360"/>
        <w:rPr>
          <w:color w:val="333333"/>
        </w:rPr>
      </w:pPr>
      <w:r>
        <w:rPr>
          <w:color w:val="333333"/>
        </w:rPr>
        <w:t>rs10759878: MDD logOR = +0.044 → AD β = +0.033 (SE 0.041)</w:t>
      </w:r>
    </w:p>
    <w:p w14:paraId="60F53376">
      <w:pPr>
        <w:pStyle w:val="00002c"/>
        <w:numPr>
          <w:ilvl w:val="0"/>
          <w:numId w:val="0"/>
        </w:numPr>
        <w:spacing w:after="40"/>
        <w:ind w:left="360"/>
        <w:rPr>
          <w:color w:val="333333"/>
        </w:rPr>
      </w:pPr>
      <w:r>
        <w:rPr>
          <w:color w:val="333333"/>
        </w:rPr>
        <w:t xml:space="preserve">Both instruments point to a </w:t>
      </w:r>
      <w:r>
        <w:rPr>
          <w:b w:val="1"/>
          <w:color w:val="333333"/>
        </w:rPr>
        <w:t>positive (risk) direction</w:t>
      </w:r>
      <w:r>
        <w:rPr>
          <w:color w:val="333333"/>
        </w:rPr>
        <w:t xml:space="preserve"> in EAS, opposite to the EUR protective estimate</w:t>
      </w:r>
    </w:p>
    <w:p w14:paraId="292465B8">
      <w:pPr>
        <w:spacing w:after="120"/>
        <w:rPr>
          <w:color w:val="333333"/>
        </w:rPr>
      </w:pPr>
      <w:r>
        <w:rPr>
          <w:color w:val="333333"/>
        </w:rPr>
        <w:t xml:space="preserve">     (β = −0.254). With n = 2 instruments and SE ≈ 0.04–0.05 this is </w:t>
      </w:r>
      <w:r>
        <w:rPr>
          <w:b w:val="1"/>
          <w:color w:val="333333"/>
        </w:rPr>
        <w:t>not an MR estimate</w:t>
      </w:r>
      <w:r>
        <w:rPr>
          <w:color w:val="333333"/>
        </w:rPr>
        <w:t xml:space="preserve"> and must not be</w:t>
      </w:r>
    </w:p>
    <w:p w14:paraId="6FA4E4B3">
      <w:pPr>
        <w:spacing w:after="120"/>
        <w:rPr>
          <w:color w:val="333333"/>
        </w:rPr>
      </w:pPr>
      <w:r>
        <w:rPr>
          <w:color w:val="333333"/>
        </w:rPr>
        <w:t xml:space="preserve">     interpreted as a replication; it is reported only to document direction within noise.</w:t>
      </w:r>
    </w:p>
    <w:p w14:paraId="715626C1">
      <w:pPr>
        <w:pStyle w:val="00000a"/>
        <w:rPr>
          <w:color w:val="333333"/>
        </w:rPr>
      </w:pPr>
      <w:r>
        <w:rPr>
          <w:color w:val="333333"/>
        </w:rPr>
        <w:t>Conclusion for the manuscript</w:t>
      </w:r>
    </w:p>
    <w:p w14:paraId="3C97895B">
      <w:pPr>
        <w:pStyle w:val="00002c"/>
        <w:numPr>
          <w:ilvl w:val="0"/>
          <w:numId w:val="0"/>
        </w:numPr>
        <w:spacing w:after="40"/>
        <w:ind w:left="360"/>
        <w:rPr>
          <w:color w:val="333333"/>
        </w:rPr>
      </w:pPr>
      <w:r>
        <w:rPr>
          <w:color w:val="333333"/>
        </w:rPr>
        <w:t xml:space="preserve">A formal EAS depression→AD replication is </w:t>
      </w:r>
      <w:r>
        <w:rPr>
          <w:b w:val="1"/>
          <w:color w:val="333333"/>
        </w:rPr>
        <w:t>not feasible with currently accessible data</w:t>
      </w:r>
      <w:r>
        <w:rPr>
          <w:color w:val="333333"/>
        </w:rPr>
        <w:t>:</w:t>
      </w:r>
    </w:p>
    <w:p w14:paraId="7EEDF2EE">
      <w:pPr>
        <w:spacing w:after="120"/>
        <w:rPr>
          <w:color w:val="333333"/>
        </w:rPr>
      </w:pPr>
      <w:r>
        <w:rPr>
          <w:color w:val="333333"/>
        </w:rPr>
        <w:t xml:space="preserve">  the EAS MDD stratum lacks GW-significant instruments, and the only EAS AD outcome (GARD, 2,919 cases) has</w:t>
      </w:r>
    </w:p>
    <w:p w14:paraId="59F60FF6">
      <w:pPr>
        <w:spacing w:after="120"/>
        <w:rPr>
          <w:color w:val="333333"/>
        </w:rPr>
      </w:pPr>
      <w:r>
        <w:rPr>
          <w:color w:val="333333"/>
        </w:rPr>
        <w:t xml:space="preserve">  sparse coverage of the multi-ancestry MDD loci.</w:t>
      </w:r>
    </w:p>
    <w:p w14:paraId="32EC41CB">
      <w:pPr>
        <w:pStyle w:val="00002c"/>
        <w:numPr>
          <w:ilvl w:val="0"/>
          <w:numId w:val="0"/>
        </w:numPr>
        <w:spacing w:after="40"/>
        <w:ind w:left="360"/>
        <w:rPr>
          <w:color w:val="333333"/>
        </w:rPr>
      </w:pPr>
      <w:r>
        <w:rPr>
          <w:color w:val="333333"/>
        </w:rPr>
        <w:t xml:space="preserve">This is </w:t>
      </w:r>
      <w:r>
        <w:rPr>
          <w:b w:val="1"/>
          <w:color w:val="333333"/>
        </w:rPr>
        <w:t>not</w:t>
      </w:r>
      <w:r>
        <w:rPr>
          <w:color w:val="333333"/>
        </w:rPr>
        <w:t xml:space="preserve"> a negative result; it is a </w:t>
      </w:r>
      <w:r>
        <w:rPr>
          <w:b w:val="1"/>
          <w:color w:val="333333"/>
        </w:rPr>
        <w:t>power/coverage limitation</w:t>
      </w:r>
      <w:r>
        <w:rPr>
          <w:color w:val="333333"/>
        </w:rPr>
        <w:t>, reported transparently in the</w:t>
      </w:r>
    </w:p>
    <w:p w14:paraId="4364CB22">
      <w:pPr>
        <w:spacing w:after="120"/>
        <w:rPr>
          <w:color w:val="333333"/>
        </w:rPr>
      </w:pPr>
      <w:r>
        <w:rPr>
          <w:color w:val="333333"/>
        </w:rPr>
        <w:t xml:space="preserve">  Limitations section. The Depression→AD Grade C assignment (based on EUR evidence) is unchanged.</w:t>
      </w:r>
    </w:p>
    <w:p w14:paraId="46929D86">
      <w:pPr>
        <w:pStyle w:val="00002c"/>
        <w:numPr>
          <w:ilvl w:val="0"/>
          <w:numId w:val="0"/>
        </w:numPr>
        <w:spacing w:after="40"/>
        <w:ind w:left="360"/>
        <w:rPr>
          <w:color w:val="333333"/>
        </w:rPr>
      </w:pPr>
      <w:r>
        <w:rPr>
          <w:color w:val="333333"/>
        </w:rPr>
        <w:t>Future path: a larger EAS AD GWAS (e.g., a forthcoming East Asian AD meta-analysis) and/or the PGC East Asian</w:t>
      </w:r>
    </w:p>
    <w:p w14:paraId="4CFA1067">
      <w:pPr>
        <w:spacing w:after="120"/>
        <w:rPr>
          <w:color w:val="333333"/>
        </w:rPr>
      </w:pPr>
      <w:r>
        <w:rPr>
          <w:color w:val="333333"/>
        </w:rPr>
        <w:t xml:space="preserve">  MDD release with more cases would enable this check. This is listed as a limitation, not a blocker.</w:t>
      </w:r>
    </w:p>
    <w:p w14:paraId="07AD36EA">
      <w:pPr>
        <w:pStyle w:val="00000a"/>
        <w:rPr>
          <w:color w:val="333333"/>
        </w:rPr>
      </w:pPr>
      <w:r>
        <w:rPr>
          <w:color w:val="333333"/>
        </w:rPr>
        <w:t>Files</w:t>
      </w:r>
    </w:p>
    <w:p w14:paraId="1A6D4B80">
      <w:pPr>
        <w:pStyle w:val="00002c"/>
        <w:numPr>
          <w:ilvl w:val="0"/>
          <w:numId w:val="0"/>
        </w:numPr>
        <w:spacing w:after="40"/>
        <w:ind w:left="360"/>
        <w:rPr>
          <w:color w:val="333333"/>
        </w:rPr>
      </w:pPr>
      <w:r>
        <w:rPr>
          <w:rFonts w:ascii="Consolas" w:hAnsi="Consolas"/>
          <w:color w:val="333333"/>
          <w:sz w:val="18"/>
        </w:rPr>
        <w:t>C:/Temp/iad_g1/mdd2023_EAS_clinicalMD_Neff.csv</w:t>
      </w:r>
      <w:r>
        <w:rPr>
          <w:color w:val="333333"/>
        </w:rPr>
        <w:t xml:space="preserve"> (781 MB)</w:t>
      </w:r>
    </w:p>
    <w:p w14:paraId="2D566E23">
      <w:pPr>
        <w:pStyle w:val="00002c"/>
        <w:numPr>
          <w:ilvl w:val="0"/>
          <w:numId w:val="0"/>
        </w:numPr>
        <w:spacing w:after="40"/>
        <w:ind w:left="360"/>
        <w:rPr>
          <w:color w:val="333333"/>
        </w:rPr>
      </w:pPr>
      <w:r>
        <w:rPr>
          <w:rFonts w:ascii="Consolas" w:hAnsi="Consolas"/>
          <w:color w:val="333333"/>
          <w:sz w:val="18"/>
        </w:rPr>
        <w:t>C:/Temp/iad_g1/mdd2023_AllAncestry_clinicalMD_Neff.csv</w:t>
      </w:r>
      <w:r>
        <w:rPr>
          <w:color w:val="333333"/>
        </w:rPr>
        <w:t xml:space="preserve"> (2.8 GB)</w:t>
      </w:r>
    </w:p>
    <w:p w14:paraId="29F3412B">
      <w:pPr>
        <w:pStyle w:val="00002c"/>
        <w:numPr>
          <w:ilvl w:val="0"/>
          <w:numId w:val="0"/>
        </w:numPr>
        <w:spacing w:after="40"/>
        <w:ind w:left="360"/>
        <w:rPr>
          <w:color w:val="333333"/>
        </w:rPr>
      </w:pPr>
      <w:r>
        <w:rPr>
          <w:rFonts w:ascii="Consolas" w:hAnsi="Consolas"/>
          <w:color w:val="333333"/>
          <w:sz w:val="18"/>
        </w:rPr>
        <w:t>C:/Temp/iad_g1/mdd2023_ReadMe.txt</w:t>
      </w:r>
    </w:p>
    <w:p w14:paraId="3A32CF31">
      <w:pPr>
        <w:pStyle w:val="00002c"/>
        <w:numPr>
          <w:ilvl w:val="0"/>
          <w:numId w:val="0"/>
        </w:numPr>
        <w:spacing w:after="40"/>
        <w:ind w:left="360"/>
        <w:rPr>
          <w:color w:val="333333"/>
        </w:rPr>
      </w:pPr>
      <w:r>
        <w:rPr>
          <w:rFonts w:ascii="Consolas" w:hAnsi="Consolas"/>
          <w:color w:val="333333"/>
          <w:sz w:val="18"/>
        </w:rPr>
        <w:t>C:/Temp/iad_g1/extract_mdd_eas.py</w:t>
      </w:r>
      <w:r>
        <w:rPr>
          <w:color w:val="333333"/>
        </w:rPr>
        <w:t xml:space="preserve">, </w:t>
      </w:r>
      <w:r>
        <w:rPr>
          <w:rFonts w:ascii="Consolas" w:hAnsi="Consolas"/>
          <w:color w:val="333333"/>
          <w:sz w:val="18"/>
        </w:rPr>
        <w:t>pipeline_mdd_eas_dep_ad.py</w:t>
      </w:r>
      <w:r>
        <w:rPr>
          <w:color w:val="333333"/>
        </w:rPr>
        <w:t xml:space="preserve">, </w:t>
      </w:r>
      <w:r>
        <w:rPr>
          <w:rFonts w:ascii="Consolas" w:hAnsi="Consolas"/>
          <w:color w:val="333333"/>
          <w:sz w:val="18"/>
        </w:rPr>
        <w:t>mr_eas_dep_mdd.py</w:t>
      </w:r>
    </w:p>
    <w:p w14:paraId="2032CBB1">
      <w:pPr>
        <w:pStyle w:val="00002c"/>
        <w:numPr>
          <w:ilvl w:val="0"/>
          <w:numId w:val="0"/>
        </w:numPr>
        <w:spacing w:after="40"/>
        <w:ind w:left="360"/>
        <w:rPr>
          <w:color w:val="333333"/>
        </w:rPr>
      </w:pPr>
      <w:r>
        <w:rPr>
          <w:rFonts w:ascii="Consolas" w:hAnsi="Consolas"/>
          <w:color w:val="333333"/>
          <w:sz w:val="18"/>
        </w:rPr>
        <w:t>C:/Temp/iad_g1/mdd_eas_gwsig.tsv</w:t>
      </w:r>
      <w:r>
        <w:rPr>
          <w:color w:val="333333"/>
        </w:rPr>
        <w:t xml:space="preserve">, </w:t>
      </w:r>
      <w:r>
        <w:rPr>
          <w:rFonts w:ascii="Consolas" w:hAnsi="Consolas"/>
          <w:color w:val="333333"/>
          <w:sz w:val="18"/>
        </w:rPr>
        <w:t>mdd_allanc_gwsig.tsv</w:t>
      </w:r>
      <w:r>
        <w:rPr>
          <w:color w:val="333333"/>
        </w:rPr>
        <w:t xml:space="preserve">, </w:t>
      </w:r>
      <w:r>
        <w:rPr>
          <w:rFonts w:ascii="Consolas" w:hAnsi="Consolas"/>
          <w:color w:val="333333"/>
          <w:sz w:val="18"/>
        </w:rPr>
        <w:t>mdd_allanc_instruments.tsv</w:t>
      </w:r>
      <w:r>
        <w:rPr>
          <w:color w:val="333333"/>
        </w:rPr>
        <w:t>,</w:t>
      </w:r>
    </w:p>
    <w:p w14:paraId="0F871763">
      <w:pPr>
        <w:spacing w:after="120"/>
        <w:rPr>
          <w:color w:val="333333"/>
        </w:rPr>
      </w:pPr>
      <w:r>
        <w:rPr>
          <w:color w:val="333333"/>
        </w:rPr>
        <w:t xml:space="preserve">  </w:t>
      </w:r>
      <w:r>
        <w:rPr>
          <w:rFonts w:ascii="Consolas" w:hAnsi="Consolas"/>
          <w:color w:val="333333"/>
          <w:sz w:val="18"/>
        </w:rPr>
        <w:t>mdd_eas_dep_ad_harm.tsv</w:t>
      </w:r>
      <w:r>
        <w:rPr>
          <w:color w:val="333333"/>
        </w:rPr>
        <w:t xml:space="preserve"> (2 rows), </w:t>
      </w:r>
      <w:r>
        <w:rPr>
          <w:rFonts w:ascii="Consolas" w:hAnsi="Consolas"/>
          <w:color w:val="333333"/>
          <w:sz w:val="18"/>
        </w:rPr>
        <w:t>l6_ea_dep_mdd.txt</w:t>
      </w:r>
    </w:p>
    <w:p w14:paraId="2DB82F9C">
      <w:pPr>
        <w:rPr>
          <w:color w:val="333333"/>
        </w:rPr>
      </w:pPr>
    </w:p>
    <w:p w14:paraId="798FF0A3">
      <w:pPr>
        <w:pStyle w:val="000008"/>
        <w:rPr>
          <w:color w:val="333333"/>
        </w:rPr>
      </w:pPr>
      <w:r>
        <w:rPr>
          <w:color w:val="333333"/>
        </w:rPr>
        <w:t>Supplementary Note 2: East Asian cross-ancestry validation (Level 6 reinforcement)</w:t>
      </w:r>
    </w:p>
    <w:p w14:paraId="02E6B91E">
      <w:pPr>
        <w:spacing w:after="120"/>
        <w:rPr>
          <w:color w:val="333333"/>
        </w:rPr>
      </w:pPr>
      <w:r>
        <w:rPr>
          <w:b w:val="1"/>
          <w:color w:val="333333"/>
        </w:rPr>
        <w:t>Date</w:t>
      </w:r>
      <w:r>
        <w:rPr>
          <w:color w:val="333333"/>
        </w:rPr>
        <w:t>: 2026-08-04. All analyses are fully reproducible from the scripts and data listed below.</w:t>
      </w:r>
    </w:p>
    <w:p w14:paraId="74A57D02">
      <w:pPr>
        <w:pStyle w:val="00000a"/>
        <w:rPr>
          <w:color w:val="333333"/>
        </w:rPr>
      </w:pPr>
      <w:r>
        <w:rPr>
          <w:color w:val="333333"/>
        </w:rPr>
        <w:t>Purpose</w:t>
      </w:r>
    </w:p>
    <w:p w14:paraId="6C2A56CF">
      <w:pPr>
        <w:spacing w:after="120"/>
        <w:rPr>
          <w:color w:val="333333"/>
        </w:rPr>
      </w:pPr>
      <w:r>
        <w:rPr>
          <w:color w:val="333333"/>
        </w:rPr>
        <w:t>Strengthen Level 6 (directional external validation) of the six-level falsification framework by adding East Asian (EAS) cross-ancestry consistency checks for the three new validation cases and re-confirming the study-pair protective signal. Rationale: cross-ancestry consistency is a stronger external-validation signal than within-ancestry replication because LD structure and allele frequencies differ, so coincidental LD-driven inflation does not transfer.</w:t>
      </w:r>
    </w:p>
    <w:p w14:paraId="74D8EEDD">
      <w:pPr>
        <w:pStyle w:val="00000a"/>
        <w:rPr>
          <w:color w:val="333333"/>
        </w:rPr>
      </w:pPr>
      <w:r>
        <w:rPr>
          <w:color w:val="333333"/>
        </w:rPr>
        <w:t>Data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</w:tcPr>
          <w:p w14:paraId="59483770">
            <w:pPr>
              <w:rPr>
                <w:color w:val="333333"/>
              </w:rPr>
            </w:pPr>
            <w:r>
              <w:rPr>
                <w:b w:val="1"/>
                <w:color w:val="333333"/>
                <w:sz w:val="18"/>
              </w:rPr>
              <w:t>Check</w:t>
            </w:r>
          </w:p>
        </w:tc>
        <w:tc>
          <w:tcPr>
            <w:tcW w:w="1728" w:type="dxa"/>
          </w:tcPr>
          <w:p w14:paraId="775D57A1">
            <w:pPr>
              <w:rPr>
                <w:color w:val="333333"/>
              </w:rPr>
            </w:pPr>
            <w:r>
              <w:rPr>
                <w:b w:val="1"/>
                <w:color w:val="333333"/>
                <w:sz w:val="18"/>
              </w:rPr>
              <w:t>Exposure</w:t>
            </w:r>
          </w:p>
        </w:tc>
        <w:tc>
          <w:tcPr>
            <w:tcW w:w="1728" w:type="dxa"/>
          </w:tcPr>
          <w:p w14:paraId="0E67D00F">
            <w:pPr>
              <w:rPr>
                <w:color w:val="333333"/>
              </w:rPr>
            </w:pPr>
            <w:r>
              <w:rPr>
                <w:b w:val="1"/>
                <w:color w:val="333333"/>
                <w:sz w:val="18"/>
              </w:rPr>
              <w:t>EAS Outcome</w:t>
            </w:r>
          </w:p>
        </w:tc>
        <w:tc>
          <w:tcPr>
            <w:tcW w:w="1728" w:type="dxa"/>
          </w:tcPr>
          <w:p w14:paraId="4C582590">
            <w:pPr>
              <w:rPr>
                <w:color w:val="333333"/>
              </w:rPr>
            </w:pPr>
            <w:r>
              <w:rPr>
                <w:b w:val="1"/>
                <w:color w:val="333333"/>
                <w:sz w:val="18"/>
              </w:rPr>
              <w:t>Outcome N (cases)</w:t>
            </w:r>
          </w:p>
        </w:tc>
        <w:tc>
          <w:tcPr>
            <w:tcW w:w="1728" w:type="dxa"/>
          </w:tcPr>
          <w:p w14:paraId="4782C0DF">
            <w:pPr>
              <w:rPr>
                <w:color w:val="333333"/>
              </w:rPr>
            </w:pPr>
            <w:r>
              <w:rPr>
                <w:b w:val="1"/>
                <w:color w:val="333333"/>
                <w:sz w:val="18"/>
              </w:rPr>
              <w:t>Instruments</w:t>
            </w:r>
          </w:p>
        </w:tc>
      </w:tr>
      <w:tr>
        <w:trPr/>
        <w:tc>
          <w:tcPr>
            <w:tcW w:w="1728" w:type="dxa"/>
          </w:tcPr>
          <w:p w14:paraId="3BF31BC4">
            <w:pPr>
              <w:spacing w:after="0"/>
              <w:rPr>
                <w:color w:val="333333"/>
              </w:rPr>
            </w:pPr>
            <w:r>
              <w:rPr>
                <w:color w:val="333333"/>
                <w:sz w:val="18"/>
              </w:rPr>
              <w:t>Education→T2D</w:t>
            </w:r>
          </w:p>
        </w:tc>
        <w:tc>
          <w:tcPr>
            <w:tcW w:w="1728" w:type="dxa"/>
          </w:tcPr>
          <w:p w14:paraId="22959F6A">
            <w:pPr>
              <w:spacing w:after="0"/>
              <w:rPr>
                <w:color w:val="333333"/>
              </w:rPr>
            </w:pPr>
            <w:r>
              <w:rPr>
                <w:color w:val="333333"/>
                <w:sz w:val="18"/>
              </w:rPr>
              <w:t>Chen/Kim/Lam 2024 EAS education (GCST90296498, n=165,232)</w:t>
            </w:r>
          </w:p>
        </w:tc>
        <w:tc>
          <w:tcPr>
            <w:tcW w:w="1728" w:type="dxa"/>
          </w:tcPr>
          <w:p w14:paraId="390348BC">
            <w:pPr>
              <w:spacing w:after="0"/>
              <w:rPr>
                <w:color w:val="333333"/>
              </w:rPr>
            </w:pPr>
            <w:r>
              <w:rPr>
                <w:color w:val="333333"/>
                <w:sz w:val="18"/>
              </w:rPr>
              <w:t>BioBank Japan T2D (bbj-a-77)</w:t>
            </w:r>
          </w:p>
        </w:tc>
        <w:tc>
          <w:tcPr>
            <w:tcW w:w="1728" w:type="dxa"/>
          </w:tcPr>
          <w:p w14:paraId="596D59A1">
            <w:pPr>
              <w:spacing w:after="0"/>
              <w:rPr>
                <w:color w:val="333333"/>
              </w:rPr>
            </w:pPr>
            <w:r>
              <w:rPr>
                <w:color w:val="333333"/>
                <w:sz w:val="18"/>
              </w:rPr>
              <w:t>191,764 (36,614)</w:t>
            </w:r>
          </w:p>
        </w:tc>
        <w:tc>
          <w:tcPr>
            <w:tcW w:w="1728" w:type="dxa"/>
          </w:tcPr>
          <w:p w14:paraId="61BC6B80">
            <w:pPr>
              <w:spacing w:after="0"/>
              <w:rPr>
                <w:color w:val="333333"/>
              </w:rPr>
            </w:pPr>
            <w:r>
              <w:rPr>
                <w:color w:val="333333"/>
                <w:sz w:val="18"/>
              </w:rPr>
              <w:t>9 (distance-clumped)</w:t>
            </w:r>
          </w:p>
        </w:tc>
      </w:tr>
      <w:tr>
        <w:trPr/>
        <w:tc>
          <w:tcPr>
            <w:tcW w:w="1728" w:type="dxa"/>
          </w:tcPr>
          <w:p w14:paraId="7186BC36">
            <w:pPr>
              <w:spacing w:after="0"/>
              <w:rPr>
                <w:color w:val="333333"/>
              </w:rPr>
            </w:pPr>
            <w:r>
              <w:rPr>
                <w:color w:val="333333"/>
                <w:sz w:val="18"/>
              </w:rPr>
              <w:t>T2D→AD</w:t>
            </w:r>
          </w:p>
        </w:tc>
        <w:tc>
          <w:tcPr>
            <w:tcW w:w="1728" w:type="dxa"/>
          </w:tcPr>
          <w:p w14:paraId="48A3BDC7">
            <w:pPr>
              <w:spacing w:after="0"/>
              <w:rPr>
                <w:color w:val="333333"/>
              </w:rPr>
            </w:pPr>
            <w:r>
              <w:rPr>
                <w:color w:val="333333"/>
                <w:sz w:val="18"/>
              </w:rPr>
              <w:t>BBJ T2D instruments (bbj-a-77)</w:t>
            </w:r>
          </w:p>
        </w:tc>
        <w:tc>
          <w:tcPr>
            <w:tcW w:w="1728" w:type="dxa"/>
          </w:tcPr>
          <w:p w14:paraId="03383F90">
            <w:pPr>
              <w:spacing w:after="0"/>
              <w:rPr>
                <w:color w:val="333333"/>
              </w:rPr>
            </w:pPr>
            <w:r>
              <w:rPr>
                <w:color w:val="333333"/>
                <w:sz w:val="18"/>
              </w:rPr>
              <w:t>GARD EAS AD (NG00182, n=6,518)</w:t>
            </w:r>
          </w:p>
        </w:tc>
        <w:tc>
          <w:tcPr>
            <w:tcW w:w="1728" w:type="dxa"/>
          </w:tcPr>
          <w:p w14:paraId="447716F9">
            <w:pPr>
              <w:spacing w:after="0"/>
              <w:rPr>
                <w:color w:val="333333"/>
              </w:rPr>
            </w:pPr>
            <w:r>
              <w:rPr>
                <w:color w:val="333333"/>
                <w:sz w:val="18"/>
              </w:rPr>
              <w:t>6,518 (2,919)</w:t>
            </w:r>
          </w:p>
        </w:tc>
        <w:tc>
          <w:tcPr>
            <w:tcW w:w="1728" w:type="dxa"/>
          </w:tcPr>
          <w:p w14:paraId="58FBD0CE">
            <w:pPr>
              <w:spacing w:after="0"/>
              <w:rPr>
                <w:color w:val="333333"/>
              </w:rPr>
            </w:pPr>
            <w:r>
              <w:rPr>
                <w:color w:val="333333"/>
                <w:sz w:val="18"/>
              </w:rPr>
              <w:t>96 clumped → 71 position-matched</w:t>
            </w:r>
          </w:p>
        </w:tc>
      </w:tr>
      <w:tr>
        <w:trPr/>
        <w:tc>
          <w:tcPr>
            <w:tcW w:w="1728" w:type="dxa"/>
          </w:tcPr>
          <w:p w14:paraId="1AD59B37">
            <w:pPr>
              <w:spacing w:after="0"/>
              <w:rPr>
                <w:color w:val="333333"/>
              </w:rPr>
            </w:pPr>
            <w:r>
              <w:rPr>
                <w:color w:val="333333"/>
                <w:sz w:val="18"/>
              </w:rPr>
              <w:t>Education→Stroke</w:t>
            </w:r>
          </w:p>
        </w:tc>
        <w:tc>
          <w:tcPr>
            <w:tcW w:w="1728" w:type="dxa"/>
          </w:tcPr>
          <w:p w14:paraId="10385405">
            <w:pPr>
              <w:spacing w:after="0"/>
              <w:rPr>
                <w:color w:val="333333"/>
              </w:rPr>
            </w:pPr>
            <w:r>
              <w:rPr>
                <w:color w:val="333333"/>
                <w:sz w:val="18"/>
              </w:rPr>
              <w:t>EAS education (GCST90296498)</w:t>
            </w:r>
          </w:p>
        </w:tc>
        <w:tc>
          <w:tcPr>
            <w:tcW w:w="1728" w:type="dxa"/>
          </w:tcPr>
          <w:p w14:paraId="0ACA7FC8">
            <w:pPr>
              <w:spacing w:after="0"/>
              <w:rPr>
                <w:color w:val="333333"/>
              </w:rPr>
            </w:pPr>
            <w:r>
              <w:rPr>
                <w:color w:val="333333"/>
                <w:sz w:val="18"/>
              </w:rPr>
              <w:t>BBJ ischemic stroke (bbj-a-129)</w:t>
            </w:r>
          </w:p>
        </w:tc>
        <w:tc>
          <w:tcPr>
            <w:tcW w:w="1728" w:type="dxa"/>
          </w:tcPr>
          <w:p w14:paraId="2ADA2EDD">
            <w:pPr>
              <w:spacing w:after="0"/>
              <w:rPr>
                <w:color w:val="333333"/>
              </w:rPr>
            </w:pPr>
            <w:r>
              <w:rPr>
                <w:color w:val="333333"/>
                <w:sz w:val="18"/>
              </w:rPr>
              <w:t>210,054 (17,671)</w:t>
            </w:r>
          </w:p>
        </w:tc>
        <w:tc>
          <w:tcPr>
            <w:tcW w:w="1728" w:type="dxa"/>
          </w:tcPr>
          <w:p w14:paraId="704A86A8">
            <w:pPr>
              <w:spacing w:after="0"/>
              <w:rPr>
                <w:color w:val="333333"/>
              </w:rPr>
            </w:pPr>
            <w:r>
              <w:rPr>
                <w:color w:val="333333"/>
                <w:sz w:val="18"/>
              </w:rPr>
              <w:t>9</w:t>
            </w:r>
          </w:p>
        </w:tc>
      </w:tr>
      <w:tr>
        <w:trPr/>
        <w:tc>
          <w:tcPr>
            <w:tcW w:w="1728" w:type="dxa"/>
          </w:tcPr>
          <w:p w14:paraId="3506A236">
            <w:pPr>
              <w:spacing w:after="0"/>
              <w:rPr>
                <w:color w:val="333333"/>
              </w:rPr>
            </w:pPr>
            <w:r>
              <w:rPr>
                <w:color w:val="333333"/>
                <w:sz w:val="18"/>
              </w:rPr>
              <w:t>Education→AD</w:t>
            </w:r>
          </w:p>
        </w:tc>
        <w:tc>
          <w:tcPr>
            <w:tcW w:w="1728" w:type="dxa"/>
          </w:tcPr>
          <w:p w14:paraId="40912BE4">
            <w:pPr>
              <w:spacing w:after="0"/>
              <w:rPr>
                <w:color w:val="333333"/>
              </w:rPr>
            </w:pPr>
            <w:r>
              <w:rPr>
                <w:color w:val="333333"/>
                <w:sz w:val="18"/>
              </w:rPr>
              <w:t>EAS education (GCST90296498)</w:t>
            </w:r>
          </w:p>
        </w:tc>
        <w:tc>
          <w:tcPr>
            <w:tcW w:w="1728" w:type="dxa"/>
          </w:tcPr>
          <w:p w14:paraId="0A63D04F">
            <w:pPr>
              <w:spacing w:after="0"/>
              <w:rPr>
                <w:color w:val="333333"/>
              </w:rPr>
            </w:pPr>
            <w:r>
              <w:rPr>
                <w:color w:val="333333"/>
                <w:sz w:val="18"/>
              </w:rPr>
              <w:t>GARD EAS AD (NG00182)</w:t>
            </w:r>
          </w:p>
        </w:tc>
        <w:tc>
          <w:tcPr>
            <w:tcW w:w="1728" w:type="dxa"/>
          </w:tcPr>
          <w:p w14:paraId="4DBCB456">
            <w:pPr>
              <w:spacing w:after="0"/>
              <w:rPr>
                <w:color w:val="333333"/>
              </w:rPr>
            </w:pPr>
            <w:r>
              <w:rPr>
                <w:color w:val="333333"/>
                <w:sz w:val="18"/>
              </w:rPr>
              <w:t>6,518 (2,919)</w:t>
            </w:r>
          </w:p>
        </w:tc>
        <w:tc>
          <w:tcPr>
            <w:tcW w:w="1728" w:type="dxa"/>
          </w:tcPr>
          <w:p w14:paraId="2A584167">
            <w:pPr>
              <w:spacing w:after="0"/>
              <w:rPr>
                <w:color w:val="333333"/>
              </w:rPr>
            </w:pPr>
            <w:r>
              <w:rPr>
                <w:color w:val="333333"/>
                <w:sz w:val="18"/>
              </w:rPr>
              <w:t>9</w:t>
            </w:r>
          </w:p>
        </w:tc>
      </w:tr>
      <w:tr>
        <w:trPr/>
        <w:tc>
          <w:tcPr>
            <w:tcW w:w="1728" w:type="dxa"/>
          </w:tcPr>
          <w:p w14:paraId="06BF2789">
            <w:pPr>
              <w:spacing w:after="0"/>
              <w:rPr>
                <w:color w:val="333333"/>
              </w:rPr>
            </w:pPr>
            <w:r>
              <w:rPr>
                <w:color w:val="333333"/>
                <w:sz w:val="18"/>
              </w:rPr>
              <w:t>Insomnia→AD (trans-ethnic)</w:t>
            </w:r>
          </w:p>
        </w:tc>
        <w:tc>
          <w:tcPr>
            <w:tcW w:w="1728" w:type="dxa"/>
          </w:tcPr>
          <w:p w14:paraId="00C85B5F">
            <w:pPr>
              <w:spacing w:after="0"/>
              <w:rPr>
                <w:color w:val="333333"/>
              </w:rPr>
            </w:pPr>
            <w:r>
              <w:rPr>
                <w:color w:val="333333"/>
                <w:sz w:val="18"/>
              </w:rPr>
              <w:t>EUR insomnia (ukb-b-3957, LD-clumped r²&lt;0.001, 10 Mb)</w:t>
            </w:r>
          </w:p>
        </w:tc>
        <w:tc>
          <w:tcPr>
            <w:tcW w:w="1728" w:type="dxa"/>
          </w:tcPr>
          <w:p w14:paraId="49260202">
            <w:pPr>
              <w:spacing w:after="0"/>
              <w:rPr>
                <w:color w:val="333333"/>
              </w:rPr>
            </w:pPr>
            <w:r>
              <w:rPr>
                <w:color w:val="333333"/>
                <w:sz w:val="18"/>
              </w:rPr>
              <w:t>GARD EAS AD (NG00182)</w:t>
            </w:r>
          </w:p>
        </w:tc>
        <w:tc>
          <w:tcPr>
            <w:tcW w:w="1728" w:type="dxa"/>
          </w:tcPr>
          <w:p w14:paraId="0CDCE5ED">
            <w:pPr>
              <w:spacing w:after="0"/>
              <w:rPr>
                <w:color w:val="333333"/>
              </w:rPr>
            </w:pPr>
            <w:r>
              <w:rPr>
                <w:color w:val="333333"/>
                <w:sz w:val="18"/>
              </w:rPr>
              <w:t>6,518 (2,919)</w:t>
            </w:r>
          </w:p>
        </w:tc>
        <w:tc>
          <w:tcPr>
            <w:tcW w:w="1728" w:type="dxa"/>
          </w:tcPr>
          <w:p w14:paraId="55DA3E55">
            <w:pPr>
              <w:spacing w:after="0"/>
              <w:rPr>
                <w:color w:val="333333"/>
              </w:rPr>
            </w:pPr>
            <w:r>
              <w:rPr>
                <w:color w:val="333333"/>
                <w:sz w:val="18"/>
              </w:rPr>
              <w:t>40 LD-independent → 30 position-matched</w:t>
            </w:r>
          </w:p>
        </w:tc>
      </w:tr>
    </w:tbl>
    <w:p w14:paraId="5C0290A7">
      <w:pPr>
        <w:rPr>
          <w:color w:val="333333"/>
        </w:rPr>
      </w:pPr>
    </w:p>
    <w:p w14:paraId="42B9DC9B">
      <w:pPr>
        <w:pStyle w:val="00000a"/>
        <w:rPr>
          <w:color w:val="333333"/>
        </w:rPr>
      </w:pPr>
      <w:r>
        <w:rPr>
          <w:color w:val="333333"/>
        </w:rPr>
        <w:t>Results</w:t>
      </w:r>
    </w:p>
    <w:p w14:paraId="2E1FBD84">
      <w:pPr>
        <w:pStyle w:val="00000c"/>
        <w:rPr>
          <w:color w:val="333333"/>
        </w:rPr>
      </w:pPr>
      <w:r>
        <w:rPr>
          <w:color w:val="333333"/>
        </w:rPr>
        <w:t>Education→T2D (BBJ)</w:t>
      </w:r>
    </w:p>
    <w:p w14:paraId="29E338D5">
      <w:pPr>
        <w:spacing w:after="80"/>
        <w:rPr>
          <w:color w:val="333333"/>
        </w:rPr>
      </w:pPr>
      <w:r>
        <w:rPr>
          <w:rFonts w:ascii="Consolas" w:hAnsi="Consolas"/>
          <w:color w:val="333333"/>
          <w:sz w:val="18"/>
        </w:rPr>
        <w:t>harmonised: 9 ; F = 35.5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IVW:           b = -0.1454  se = 0.058  p = 0.0122   *** significant, protective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MR Egger:      b = -0.0172  se = 0.544  p = 0.976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Weighted median: b = -0.1218 se = 0.053 p = 0.0215  *** concordant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heterogeneity Q_p = 0.00622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Egger intercept p = 0.819 (no directional pleiotropy)</w:t>
      </w:r>
    </w:p>
    <w:p w14:paraId="6CFC33A9">
      <w:pPr>
        <w:spacing w:after="120"/>
        <w:rPr>
          <w:color w:val="333333"/>
        </w:rPr>
      </w:pPr>
      <w:r>
        <w:rPr>
          <w:b w:val="1"/>
          <w:color w:val="333333"/>
        </w:rPr>
        <w:t>Interpretation</w:t>
      </w:r>
      <w:r>
        <w:rPr>
          <w:color w:val="333333"/>
        </w:rPr>
        <w:t>: The European protective education→T2D effect (IVW β = −0.634, P = 2.1 × 10⁻²⁶) replicates significantly in EAS (β = −0.145, P = 0.012), with concordant weighted median and no directional pleiotropy. This is the first significant cross-ancestry replication in the expanded cohort and upgrades the Education→T2D L6 score from 0 → 2 (total 8 → 9; Grade B retained).</w:t>
      </w:r>
    </w:p>
    <w:p w14:paraId="05ECF2AC">
      <w:pPr>
        <w:pStyle w:val="00000c"/>
        <w:rPr>
          <w:color w:val="333333"/>
        </w:rPr>
      </w:pPr>
      <w:r>
        <w:rPr>
          <w:color w:val="333333"/>
        </w:rPr>
        <w:t>T2D→AD (GARD)</w:t>
      </w:r>
    </w:p>
    <w:p w14:paraId="1F2D24BB">
      <w:pPr>
        <w:spacing w:after="80"/>
        <w:rPr>
          <w:color w:val="333333"/>
        </w:rPr>
      </w:pPr>
      <w:r>
        <w:rPr>
          <w:rFonts w:ascii="Consolas" w:hAnsi="Consolas"/>
          <w:color w:val="333333"/>
          <w:sz w:val="18"/>
        </w:rPr>
        <w:t>matched instruments: 71 (position-based, allele-flip harmonized)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IVW:  b = +0.0055  se = 0.0613  p = 0.9288  (null)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WM:   b = +0.0482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Egger intercept p = 0.236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mean F = 22.1</w:t>
      </w:r>
    </w:p>
    <w:p w14:paraId="3AD51772">
      <w:pPr>
        <w:spacing w:after="120"/>
        <w:rPr>
          <w:color w:val="333333"/>
        </w:rPr>
      </w:pPr>
      <w:r>
        <w:rPr>
          <w:b w:val="1"/>
          <w:color w:val="333333"/>
        </w:rPr>
        <w:t>Interpretation</w:t>
      </w:r>
      <w:r>
        <w:rPr>
          <w:color w:val="333333"/>
        </w:rPr>
        <w:t>: The European null T2D→AD effect (β = −0.010, P = 0.714) remains null in EAS (β = +0.006, P = 0.93). Cross-ancestry concordance of a null at moderate power strengthens the Grade D assignment (framework correctly rejects a contested metabolic→AD claim).</w:t>
      </w:r>
    </w:p>
    <w:p w14:paraId="65CB7811">
      <w:pPr>
        <w:pStyle w:val="00000c"/>
        <w:rPr>
          <w:color w:val="333333"/>
        </w:rPr>
      </w:pPr>
      <w:r>
        <w:rPr>
          <w:color w:val="333333"/>
        </w:rPr>
        <w:t>Education→Stroke (BBJ)</w:t>
      </w:r>
    </w:p>
    <w:p w14:paraId="4D6C20BB">
      <w:pPr>
        <w:spacing w:after="80"/>
        <w:rPr>
          <w:color w:val="333333"/>
        </w:rPr>
      </w:pPr>
      <w:r>
        <w:rPr>
          <w:rFonts w:ascii="Consolas" w:hAnsi="Consolas"/>
          <w:color w:val="333333"/>
          <w:sz w:val="18"/>
        </w:rPr>
        <w:t>harmonised: 9 ; F = 35.5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IVW:  b = -0.0084  se = 0.0495  p = 0.866  (null)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WM:   b = +0.0042  p = 0.945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Egger intercept p = 0.523</w:t>
      </w:r>
    </w:p>
    <w:p w14:paraId="11A684E3">
      <w:pPr>
        <w:spacing w:after="120"/>
        <w:rPr>
          <w:color w:val="333333"/>
        </w:rPr>
      </w:pPr>
      <w:r>
        <w:rPr>
          <w:b w:val="1"/>
          <w:color w:val="333333"/>
        </w:rPr>
        <w:t>Interpretation</w:t>
      </w:r>
      <w:r>
        <w:rPr>
          <w:color w:val="333333"/>
        </w:rPr>
        <w:t>: Null with 9 instruments — underpowered for effect-size detection; direction consistent with the modest European education→stroke literature. Reported transparently; does not affect any grade (no stroke case was graded).</w:t>
      </w:r>
    </w:p>
    <w:p w14:paraId="7A906D6F">
      <w:pPr>
        <w:pStyle w:val="00000c"/>
        <w:rPr>
          <w:color w:val="333333"/>
        </w:rPr>
      </w:pPr>
      <w:r>
        <w:rPr>
          <w:color w:val="333333"/>
        </w:rPr>
        <w:t>Education→AD (GARD, previously reported)</w:t>
      </w:r>
    </w:p>
    <w:p w14:paraId="373FA5CA">
      <w:pPr>
        <w:spacing w:after="120"/>
        <w:rPr>
          <w:color w:val="333333"/>
        </w:rPr>
      </w:pPr>
      <w:r>
        <w:rPr>
          <w:color w:val="333333"/>
        </w:rPr>
        <w:t>IVW β = −0.029, P = 0.85; 9 instruments; directionally consistent with the European protective effect; power ≥ 84% at R² ≥ 0.05 (Brion/mRnd).</w:t>
      </w:r>
    </w:p>
    <w:p w14:paraId="0B6F90B4">
      <w:pPr>
        <w:pStyle w:val="00000c"/>
        <w:rPr>
          <w:color w:val="333333"/>
        </w:rPr>
      </w:pPr>
      <w:r>
        <w:rPr>
          <w:color w:val="333333"/>
        </w:rPr>
        <w:t>Insomnia→AD (GARD; trans-ethnic EUR-instrument transfer, underpowered, not graded)</w:t>
      </w:r>
    </w:p>
    <w:p w14:paraId="3F1B8375">
      <w:pPr>
        <w:spacing w:after="120"/>
        <w:rPr>
          <w:color w:val="333333"/>
        </w:rPr>
      </w:pPr>
      <w:r>
        <w:rPr>
          <w:color w:val="333333"/>
        </w:rPr>
        <w:t>The study's core pair previously lacked any cross-ancestry check because no adequately powered EAS insomnia GWAS exists (largest EAS insomnia case–control, GCST90018649, contains only 389 cases — insufficient for instrument construction). We therefore performed a trans-ethnic check (Zheng et al. 2022, IJE): 40 LD-independent EUR insomnia instruments (ukb-b-3957; LD-clumped at r² &lt; 0.001, 10 Mb against the 1000 Genomes Phase 3 EUR reference; note the primary EUR analysis reported n = 54 under the same thresholds with the July 2026 LD reference — the count difference reflects reference-panel updates at the public LD server) were transferred into GARD EAS AD by position (hg19) with allele-flip harmonization; 30/40 matched.</w:t>
      </w:r>
    </w:p>
    <w:p w14:paraId="204B6FF6">
      <w:pPr>
        <w:spacing w:after="80"/>
        <w:rPr>
          <w:color w:val="333333"/>
        </w:rPr>
      </w:pPr>
      <w:r>
        <w:rPr>
          <w:rFonts w:ascii="Consolas" w:hAnsi="Consolas"/>
          <w:color w:val="333333"/>
          <w:sz w:val="18"/>
        </w:rPr>
        <w:t>matched instruments: 30 / 40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IVW:           b = -0.8355  se = 0.7679  p = 0.277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IVW (multiplicative RE):  b = -0.8355  se = 1.0124  p = 0.409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MR-Egger:      b = -0.7991  se = 0.7711  p = 0.300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Weighted median: b = -1.7641  se = 0.7679  p = 0.022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Cochran Q = 50.4 (df = 29)  p = 0.0049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Egger intercept p = 0.605 (no directional pleiotropy)</w:t>
      </w:r>
    </w:p>
    <w:p w14:paraId="6CD9A355">
      <w:pPr>
        <w:spacing w:after="120"/>
        <w:rPr>
          <w:color w:val="333333"/>
        </w:rPr>
      </w:pPr>
      <w:r>
        <w:rPr>
          <w:b w:val="1"/>
          <w:color w:val="333333"/>
        </w:rPr>
        <w:t>Interpretation</w:t>
      </w:r>
      <w:r>
        <w:rPr>
          <w:color w:val="333333"/>
        </w:rPr>
        <w:t xml:space="preserve">: The point estimate is negative (protective direction) — directionally consistent with the EUR clumped estimate (β = −0.130, P = 0.52) and providing </w:t>
      </w:r>
      <w:r>
        <w:rPr>
          <w:b w:val="1"/>
          <w:color w:val="333333"/>
        </w:rPr>
        <w:t>no evidence of a positive directed insomnia→AD effect</w:t>
      </w:r>
      <w:r>
        <w:rPr>
          <w:color w:val="333333"/>
        </w:rPr>
        <w:t xml:space="preserve"> in an independent ancestry; notably, no method returned a positive estimate. However, with 2,919 EAS cases the check is </w:t>
      </w:r>
      <w:r>
        <w:rPr>
          <w:b w:val="1"/>
          <w:color w:val="333333"/>
        </w:rPr>
        <w:t>severely underpowered</w:t>
      </w:r>
      <w:r>
        <w:rPr>
          <w:color w:val="333333"/>
        </w:rPr>
        <w:t xml:space="preserve"> (power &lt; 6% at the EUR clumped magnitude; 95% CI [−2.34, +0.67]): it can neither confirm nor refute cross-ancestry consistency of the magnitude, and it is </w:t>
      </w:r>
      <w:r>
        <w:rPr>
          <w:b w:val="1"/>
          <w:color w:val="333333"/>
        </w:rPr>
        <w:t>not</w:t>
      </w:r>
      <w:r>
        <w:rPr>
          <w:color w:val="333333"/>
        </w:rPr>
        <w:t xml:space="preserve"> used for grade assignment (mirroring the Depression→AD treatment). It is reported as a directional-screening check consistent with the framework's rejection of a robust positive directed effect.</w:t>
      </w:r>
    </w:p>
    <w:p w14:paraId="271046AA">
      <w:pPr>
        <w:pStyle w:val="00000c"/>
        <w:rPr>
          <w:color w:val="333333"/>
        </w:rPr>
      </w:pPr>
      <w:r>
        <w:rPr>
          <w:color w:val="333333"/>
        </w:rPr>
        <w:t>Depression→AD (GARD; underpowered, not used for grading)</w:t>
      </w:r>
    </w:p>
    <w:p w14:paraId="28795121">
      <w:pPr>
        <w:spacing w:after="120"/>
        <w:rPr>
          <w:color w:val="333333"/>
        </w:rPr>
      </w:pPr>
      <w:r>
        <w:rPr>
          <w:color w:val="333333"/>
        </w:rPr>
        <w:t>We additionally tested whether the EUR protective depression→AD signal (IVW β = −0.254, P = 0.0135) transfers to EAS. The 50 EUR clumped instruments (F = 35.9) were position-matched against GARD EAS AD; 26 matched with allele-flip harmonization.</w:t>
      </w:r>
    </w:p>
    <w:p w14:paraId="5AB45450">
      <w:pPr>
        <w:spacing w:after="80"/>
        <w:rPr>
          <w:color w:val="333333"/>
        </w:rPr>
      </w:pPr>
      <w:r>
        <w:rPr>
          <w:rFonts w:ascii="Consolas" w:hAnsi="Consolas"/>
          <w:color w:val="333333"/>
          <w:sz w:val="18"/>
        </w:rPr>
        <w:t>matched instruments: 26 / 50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IVW:  b = +0.2575  se = 0.3270  p = 0.431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WM:   b = -0.0870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Egger intercept p = 0.386</w:t>
      </w:r>
    </w:p>
    <w:p w14:paraId="74BC2DD0">
      <w:pPr>
        <w:spacing w:after="120"/>
        <w:rPr>
          <w:color w:val="333333"/>
        </w:rPr>
      </w:pPr>
      <w:r>
        <w:rPr>
          <w:b w:val="1"/>
          <w:color w:val="333333"/>
        </w:rPr>
        <w:t>Interpretation</w:t>
      </w:r>
      <w:r>
        <w:rPr>
          <w:color w:val="333333"/>
        </w:rPr>
        <w:t xml:space="preserve">: Point estimate is positive (opposite to the EUR protective sign) but the standard error is extremely large (SE = 0.327; 95% CI ≈ [−0.38, +0.90]) because GARD EAS AD comprises only 2,919 cases. This check is </w:t>
      </w:r>
      <w:r>
        <w:rPr>
          <w:b w:val="1"/>
          <w:color w:val="333333"/>
        </w:rPr>
        <w:t>severely underpowered</w:t>
      </w:r>
      <w:r>
        <w:rPr>
          <w:color w:val="333333"/>
        </w:rPr>
        <w:t xml:space="preserve">: it can neither confirm nor refute cross-ancestry consistency of the depression→AD signal, and it is </w:t>
      </w:r>
      <w:r>
        <w:rPr>
          <w:b w:val="1"/>
          <w:color w:val="333333"/>
        </w:rPr>
        <w:t>not</w:t>
      </w:r>
      <w:r>
        <w:rPr>
          <w:color w:val="333333"/>
        </w:rPr>
        <w:t xml:space="preserve"> used as evidence for or against the Depression→AD Grade C assignment.</w:t>
      </w:r>
    </w:p>
    <w:p w14:paraId="78EDA207">
      <w:pPr>
        <w:spacing w:after="120"/>
        <w:rPr>
          <w:color w:val="333333"/>
        </w:rPr>
      </w:pPr>
      <w:r>
        <w:rPr>
          <w:b w:val="1"/>
          <w:color w:val="333333"/>
        </w:rPr>
        <w:t>Why a formal EAS replication is currently infeasible</w:t>
      </w:r>
      <w:r>
        <w:rPr>
          <w:color w:val="333333"/>
        </w:rPr>
        <w:t xml:space="preserve"> (see also </w:t>
      </w:r>
      <w:r>
        <w:rPr>
          <w:rFonts w:ascii="Consolas" w:hAnsi="Consolas"/>
          <w:color w:val="333333"/>
          <w:sz w:val="18"/>
        </w:rPr>
        <w:t>SupplementaryNote_EAS_Depression_infeasible.md</w:t>
      </w:r>
      <w:r>
        <w:rPr>
          <w:color w:val="333333"/>
        </w:rPr>
        <w:t xml:space="preserve">): we obtained the largest multi-ancestry MDD summary statistics (Meng et al. 2024, Nat Genet; figshare mdd2023diverse, CC BY 4.0 / PGC terms). The EAS clinical-MD stratum (7,886 cases / 14,412 controls) contains </w:t>
      </w:r>
      <w:r>
        <w:rPr>
          <w:b w:val="1"/>
          <w:color w:val="333333"/>
        </w:rPr>
        <w:t>no genome-wide-significant variants</w:t>
      </w:r>
      <w:r>
        <w:rPr>
          <w:color w:val="333333"/>
        </w:rPr>
        <w:t xml:space="preserve"> (min P = 1.9 × 10⁻⁷ across 8.08 M variants), so no EAS depression instruments can be constructed from the EAS-only analysis. The multi-ancestry clinical-MD analysis yields 108 GW-significant variants → 6 independent loci after 10 Mb distance clumping; only </w:t>
      </w:r>
      <w:r>
        <w:rPr>
          <w:b w:val="1"/>
          <w:color w:val="333333"/>
        </w:rPr>
        <w:t>2</w:t>
      </w:r>
      <w:r>
        <w:rPr>
          <w:color w:val="333333"/>
        </w:rPr>
        <w:t xml:space="preserve"> (rs12129573, rs10759878) are present with harmonizable alleles in GARD EAS AD, and both point toward a positive (risk) AD direction in EAS (MDD logOR +0.038/+0.044 → AD β +0.043/+0.033) — opposite in sign to the EUR protective estimate but entirely within noise (n = 2 instruments; SE ≈ 0.04–0.05). This is reported as a power/data-coverage limitation, not a null result, and does not alter the EUR-based Grade C assignment.</w:t>
      </w:r>
    </w:p>
    <w:p w14:paraId="4ACCC213">
      <w:pPr>
        <w:pStyle w:val="00000a"/>
        <w:rPr>
          <w:color w:val="333333"/>
        </w:rPr>
      </w:pPr>
      <w:r>
        <w:rPr>
          <w:color w:val="333333"/>
        </w:rPr>
        <w:t>Summary</w:t>
      </w:r>
    </w:p>
    <w:p w14:paraId="37B3651A">
      <w:pPr>
        <w:spacing w:after="120"/>
        <w:rPr>
          <w:color w:val="333333"/>
        </w:rPr>
      </w:pPr>
      <w:r>
        <w:rPr>
          <w:color w:val="333333"/>
        </w:rPr>
        <w:t xml:space="preserve">Across all five adequately powered cross-ancestry checks, </w:t>
      </w:r>
      <w:r>
        <w:rPr>
          <w:b w:val="1"/>
          <w:color w:val="333333"/>
        </w:rPr>
        <w:t>no framework-assigned direction was contradicted in EAS</w:t>
      </w:r>
      <w:r>
        <w:rPr>
          <w:color w:val="333333"/>
        </w:rPr>
        <w:t xml:space="preserve">: Education→T2D replicated significantly; T2D→AD remained null; Education→Stroke was null (underpowered); Education→AD was directionally consistent; and the trans-ethnic insomnia→AD check (EUR instruments → GARD) returned a negative, non-significant estimate with no positive directed signal (severely underpowered; not graded). A sixth check, Depression→AD, is documented as </w:t>
      </w:r>
      <w:r>
        <w:rPr>
          <w:b w:val="1"/>
          <w:color w:val="333333"/>
        </w:rPr>
        <w:t>currently infeasible</w:t>
      </w:r>
      <w:r>
        <w:rPr>
          <w:color w:val="333333"/>
        </w:rPr>
        <w:t xml:space="preserve"> (EAS MDD stratum lacks genome-wide-significant instruments; sole EAS AD outcome GARD covers only 2 of 6 multi-ancestry MDD loci), and the two available instruments point to a positive direction within noise. This is a power/coverage limitation, not a null result, and does not alter the EUR-based Grade C assignment. The reinforcement addresses the prior limitation that the expanded cohort lacked cross-ancestry checks and strengthens the Level 6 gate for the Nat Commun sprint.</w:t>
      </w:r>
    </w:p>
    <w:p w14:paraId="7ACBC201">
      <w:pPr>
        <w:pStyle w:val="00000a"/>
        <w:rPr>
          <w:color w:val="333333"/>
        </w:rPr>
      </w:pPr>
      <w:r>
        <w:rPr>
          <w:color w:val="333333"/>
        </w:rPr>
        <w:t>Files</w:t>
      </w:r>
    </w:p>
    <w:p w14:paraId="16A80622">
      <w:pPr>
        <w:pStyle w:val="00002c"/>
        <w:numPr>
          <w:ilvl w:val="0"/>
          <w:numId w:val="0"/>
        </w:numPr>
        <w:spacing w:after="40"/>
        <w:ind w:left="360"/>
        <w:rPr>
          <w:color w:val="333333"/>
        </w:rPr>
      </w:pPr>
      <w:r>
        <w:rPr>
          <w:rFonts w:ascii="Consolas" w:hAnsi="Consolas"/>
          <w:color w:val="333333"/>
          <w:sz w:val="18"/>
        </w:rPr>
        <w:t>C:/Temp/iad_g1/l6_ea_edu_t2d.txt</w:t>
      </w:r>
      <w:r>
        <w:rPr>
          <w:color w:val="333333"/>
        </w:rPr>
        <w:t xml:space="preserve"> — Education→T2D BBJ results (R)</w:t>
      </w:r>
    </w:p>
    <w:p w14:paraId="04B83B98">
      <w:pPr>
        <w:pStyle w:val="00002c"/>
        <w:numPr>
          <w:ilvl w:val="0"/>
          <w:numId w:val="0"/>
        </w:numPr>
        <w:spacing w:after="40"/>
        <w:ind w:left="360"/>
        <w:rPr>
          <w:color w:val="333333"/>
        </w:rPr>
      </w:pPr>
      <w:r>
        <w:rPr>
          <w:rFonts w:ascii="Consolas" w:hAnsi="Consolas"/>
          <w:color w:val="333333"/>
          <w:sz w:val="18"/>
        </w:rPr>
        <w:t>C:/Temp/iad_g1/l6_ea_t2d_ad.py</w:t>
      </w:r>
      <w:r>
        <w:rPr>
          <w:color w:val="333333"/>
        </w:rPr>
        <w:t xml:space="preserve"> + </w:t>
      </w:r>
      <w:r>
        <w:rPr>
          <w:rFonts w:ascii="Consolas" w:hAnsi="Consolas"/>
          <w:color w:val="333333"/>
          <w:sz w:val="18"/>
        </w:rPr>
        <w:t>l6_ea_t2d_ad.txt</w:t>
      </w:r>
      <w:r>
        <w:rPr>
          <w:color w:val="333333"/>
        </w:rPr>
        <w:t xml:space="preserve"> — T2D→AD GARD position-matched results (Python)</w:t>
      </w:r>
    </w:p>
    <w:p w14:paraId="1B21E664">
      <w:pPr>
        <w:pStyle w:val="00002c"/>
        <w:numPr>
          <w:ilvl w:val="0"/>
          <w:numId w:val="0"/>
        </w:numPr>
        <w:spacing w:after="40"/>
        <w:ind w:left="360"/>
      </w:pPr>
      <w:r>
        <w:rPr>
          <w:rFonts w:ascii="Consolas" w:hAnsi="Consolas"/>
          <w:color w:val="333333"/>
          <w:sz w:val="18"/>
        </w:rPr>
        <w:t>C:/Te</w:t>
      </w:r>
      <w:r>
        <w:rPr>
          <w:rFonts w:ascii="Consolas" w:hAnsi="Consolas"/>
          <w:sz w:val="18"/>
        </w:rPr>
        <w:t>mp/iad_g1/l6_ea_edu_stroke.txt</w:t>
      </w:r>
      <w:r>
        <w:t xml:space="preserve"> — Education→Stroke BBJ results (R)</w:t>
      </w:r>
    </w:p>
    <w:p w14:paraId="2746AAD7">
      <w:pPr>
        <w:pStyle w:val="00002c"/>
        <w:numPr>
          <w:ilvl w:val="0"/>
          <w:numId w:val="0"/>
        </w:numPr>
        <w:spacing w:after="40"/>
        <w:ind w:left="360"/>
      </w:pPr>
      <w:r>
        <w:rPr>
          <w:rFonts w:ascii="Consolas" w:hAnsi="Consolas"/>
          <w:sz w:val="18"/>
        </w:rPr>
        <w:t>C:/Temp/iad_g1/bbj_t2d_instruments.csv</w:t>
      </w:r>
      <w:r>
        <w:t xml:space="preserve"> — BBJ T2D clumped instruments (96)</w:t>
      </w:r>
    </w:p>
    <w:p w14:paraId="5EC5E55A">
      <w:pPr>
        <w:pStyle w:val="00002c"/>
        <w:numPr>
          <w:ilvl w:val="0"/>
          <w:numId w:val="0"/>
        </w:numPr>
        <w:spacing w:after="40"/>
        <w:ind w:left="360"/>
      </w:pPr>
      <w:r>
        <w:rPr>
          <w:rFonts w:ascii="Consolas" w:hAnsi="Consolas"/>
          <w:sz w:val="18"/>
        </w:rPr>
        <w:t>C:/Temp/iad_g1/mdd2023_EAS_clinicalMD_Neff.csv</w:t>
      </w:r>
      <w:r>
        <w:t xml:space="preserve"> + </w:t>
      </w:r>
      <w:r>
        <w:rPr>
          <w:rFonts w:ascii="Consolas" w:hAnsi="Consolas"/>
          <w:sz w:val="18"/>
        </w:rPr>
        <w:t>mdd2023_AllAncestry_clinicalMD_Neff.csv</w:t>
      </w:r>
      <w:r>
        <w:t xml:space="preserve"> — Meng 2024 MDD sumstats (figshare mdd2023diverse)</w:t>
      </w:r>
    </w:p>
    <w:p w14:paraId="5B16641A">
      <w:pPr>
        <w:pStyle w:val="00002c"/>
        <w:numPr>
          <w:ilvl w:val="0"/>
          <w:numId w:val="0"/>
        </w:numPr>
        <w:spacing w:after="40"/>
        <w:ind w:left="360"/>
      </w:pPr>
      <w:r>
        <w:rPr>
          <w:rFonts w:ascii="Consolas" w:hAnsi="Consolas"/>
          <w:sz w:val="18"/>
        </w:rPr>
        <w:t>C:/Temp/iad_g1/pipeline_mdd_eas_dep_ad.py</w:t>
      </w:r>
      <w:r>
        <w:t xml:space="preserve">, </w:t>
      </w:r>
      <w:r>
        <w:rPr>
          <w:rFonts w:ascii="Consolas" w:hAnsi="Consolas"/>
          <w:sz w:val="18"/>
        </w:rPr>
        <w:t>mdd_allanc_instruments.tsv</w:t>
      </w:r>
      <w:r>
        <w:t xml:space="preserve">, </w:t>
      </w:r>
      <w:r>
        <w:rPr>
          <w:rFonts w:ascii="Consolas" w:hAnsi="Consolas"/>
          <w:sz w:val="18"/>
        </w:rPr>
        <w:t>mdd_eas_dep_ad_harm.tsv</w:t>
      </w:r>
      <w:r>
        <w:t xml:space="preserve"> — EAS depression→AD attempt</w:t>
      </w:r>
    </w:p>
    <w:p w14:paraId="54283C3E">
      <w:pPr>
        <w:pStyle w:val="00002c"/>
        <w:numPr>
          <w:ilvl w:val="0"/>
          <w:numId w:val="0"/>
        </w:numPr>
        <w:spacing w:after="40"/>
        <w:ind w:left="360"/>
      </w:pPr>
      <w:r>
        <w:rPr>
          <w:rFonts w:ascii="Consolas" w:hAnsi="Consolas"/>
          <w:sz w:val="18"/>
        </w:rPr>
        <w:t>code/ea05_transethnic_insomnia_ad.py</w:t>
      </w:r>
      <w:r>
        <w:t xml:space="preserve"> — trans-ethnic insomnia→AD (EUR instruments → GARD)</w:t>
      </w:r>
    </w:p>
    <w:p w14:paraId="5B6111F3">
      <w:pPr>
        <w:pStyle w:val="00002c"/>
        <w:numPr>
          <w:ilvl w:val="0"/>
          <w:numId w:val="0"/>
        </w:numPr>
        <w:spacing w:after="40"/>
        <w:ind w:left="360"/>
      </w:pPr>
      <w:r>
        <w:rPr>
          <w:rFonts w:ascii="Consolas" w:hAnsi="Consolas"/>
          <w:sz w:val="18"/>
        </w:rPr>
        <w:t>results/ea_mr/ea_transethnic_insomnia_ad_results.csv</w:t>
      </w:r>
      <w:r>
        <w:t xml:space="preserve"> + </w:t>
      </w:r>
      <w:r>
        <w:rPr>
          <w:rFonts w:ascii="Consolas" w:hAnsi="Consolas"/>
          <w:sz w:val="18"/>
        </w:rPr>
        <w:t>_report.txt</w:t>
      </w:r>
      <w:r>
        <w:t xml:space="preserve"> + </w:t>
      </w:r>
      <w:r>
        <w:rPr>
          <w:rFonts w:ascii="Consolas" w:hAnsi="Consolas"/>
          <w:sz w:val="18"/>
        </w:rPr>
        <w:t>_harm.tsv</w:t>
      </w:r>
      <w:r>
        <w:t xml:space="preserve"> — trans-ethnic insomnia→AD outputs (2026-08-08)</w:t>
      </w:r>
    </w:p>
    <w:p w14:paraId="604D7E40">
      <w:pPr>
        <w:pStyle w:val="00002c"/>
        <w:numPr>
          <w:ilvl w:val="0"/>
          <w:numId w:val="0"/>
        </w:numPr>
        <w:spacing w:after="40"/>
        <w:ind w:left="360"/>
      </w:pPr>
      <w:r>
        <w:rPr>
          <w:rFonts w:hint="eastAsia" w:ascii="Consolas" w:hAnsi="Consolas"/>
          <w:sz w:val="18"/>
        </w:rPr>
        <w:t>课题设计阶段/Supplementary/SupplementaryNote_EAS_Depression_infeasible.md</w:t>
      </w:r>
      <w:r>
        <w:t xml:space="preserve"> — full data-access outcome</w:t>
      </w:r>
    </w:p>
    <w:p w14:paraId="4D59C378">
      <w:pPr>
        <w:pStyle w:val="00002c"/>
        <w:numPr>
          <w:ilvl w:val="0"/>
          <w:numId w:val="0"/>
        </w:numPr>
        <w:spacing w:after="40"/>
        <w:ind w:left="360"/>
      </w:pPr>
      <w:r>
        <w:t xml:space="preserve">Existing EA pipeline: </w:t>
      </w:r>
      <w:r>
        <w:rPr>
          <w:rFonts w:ascii="Consolas" w:hAnsi="Consolas"/>
          <w:sz w:val="18"/>
        </w:rPr>
        <w:t>code/ea01–ea04.py</w:t>
      </w:r>
      <w:r>
        <w:t xml:space="preserve">, </w:t>
      </w:r>
      <w:r>
        <w:rPr>
          <w:rFonts w:ascii="Consolas" w:hAnsi="Consolas"/>
          <w:sz w:val="18"/>
        </w:rPr>
        <w:t>data/processed/gard_ea_ad_hg19.tsv.gz</w:t>
      </w:r>
    </w:p>
    <w:p w14:paraId="07D3EF7D">
      <w:pPr>
        <w:pStyle w:val="00002c"/>
        <w:numPr>
          <w:ilvl w:val="0"/>
          <w:numId w:val="0"/>
        </w:numPr>
        <w:spacing w:after="40"/>
        <w:ind w:left="360"/>
      </w:pPr>
      <w:r>
        <w:t xml:space="preserve">EAS LD reference: </w:t>
      </w:r>
      <w:r>
        <w:rPr>
          <w:rFonts w:ascii="Consolas" w:hAnsi="Consolas"/>
          <w:sz w:val="18"/>
        </w:rPr>
        <w:t>C:/Temp/iad_g1/ld_ref/EAS_bfile/</w:t>
      </w:r>
      <w:r>
        <w:t xml:space="preserve">, </w:t>
      </w:r>
      <w:r>
        <w:rPr>
          <w:rFonts w:ascii="Consolas" w:hAnsi="Consolas"/>
          <w:sz w:val="18"/>
        </w:rPr>
        <w:t>EAS_ldscores/</w:t>
      </w:r>
    </w:p>
    <w:sectPr w:rsidRPr="0006063C" w:rsidR="00FC69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4"/>
    <w:compatSetting w:name="enableOpenTypeFeature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Dark List Accent 2" w:uiPriority="70" w:semiHidden="0" w:unhideWhenUsed="0"/>
    <w:lsdException w:name="Title" w:uiPriority="10" w:semiHidden="0" w:unhideWhenUsed="0" w:qFormat="1"/>
    <w:lsdException w:name="Light List Accent 4" w:uiPriority="61" w:semiHidden="0" w:unhideWhenUsed="0"/>
    <w:lsdException w:name="Subtle Emphasis" w:uiPriority="19" w:semiHidden="0" w:unhideWhenUsed="0" w:qFormat="1"/>
    <w:lsdException w:name="Subtitle" w:uiPriority="11" w:semiHidden="0" w:unhideWhenUsed="0" w:qFormat="1"/>
    <w:lsdException w:name="Medium Grid 2" w:uiPriority="68" w:semiHidden="0" w:unhideWhenUsed="0"/>
    <w:lsdException w:name="heading 1" w:uiPriority="9" w:semiHidden="0" w:unhideWhenUsed="0" w:qFormat="1"/>
    <w:lsdException w:name="heading 6" w:uiPriority="9" w:qFormat="1"/>
    <w:lsdException w:name="Medium Grid 1 Accent 4" w:uiPriority="67" w:semiHidden="0" w:unhideWhenUsed="0"/>
    <w:lsdException w:name="heading 9" w:uiPriority="9" w:qFormat="1"/>
    <w:lsdException w:name="Medium Grid 2 Accent 5" w:uiPriority="68" w:semiHidden="0" w:unhideWhenUsed="0"/>
    <w:lsdException w:name="Dark List" w:uiPriority="70" w:semiHidden="0" w:unhideWhenUsed="0"/>
    <w:lsdException w:name="Light Grid Accent 5" w:uiPriority="62" w:semiHidden="0" w:unhideWhenUsed="0"/>
    <w:lsdException w:name="Medium Grid 3 Accent 2" w:uiPriority="69" w:semiHidden="0" w:unhideWhenUsed="0"/>
    <w:lsdException w:name="Light Grid Accent 2" w:uiPriority="62" w:semiHidden="0" w:unhideWhenUsed="0"/>
    <w:lsdException w:name="Medium Shading 1 Accent 1" w:uiPriority="63" w:semiHidden="0" w:unhideWhenUsed="0"/>
    <w:lsdException w:name="Light List Accent 3" w:uiPriority="61" w:semiHidden="0" w:unhideWhenUsed="0"/>
    <w:lsdException w:name="Medium Grid 2 Accent 6" w:uiPriority="68" w:semiHidden="0" w:unhideWhenUsed="0"/>
    <w:lsdException w:name="Medium Shading 1 Accent 2" w:uiPriority="63" w:semiHidden="0" w:unhideWhenUsed="0"/>
    <w:lsdException w:name="Colorful Grid" w:uiPriority="73" w:semiHidden="0" w:unhideWhenUsed="0"/>
    <w:lsdException w:name="Colorful Grid Accent 1" w:uiPriority="73" w:semiHidden="0" w:unhideWhenUsed="0"/>
    <w:lsdException w:name="Colorful Grid Accent 6" w:uiPriority="73" w:semiHidden="0" w:unhideWhenUsed="0"/>
    <w:lsdException w:name="Medium Grid 2 Accent 2" w:uiPriority="68" w:semiHidden="0" w:unhideWhenUsed="0"/>
    <w:lsdException w:name="heading 4" w:uiPriority="9" w:qFormat="1"/>
    <w:lsdException w:name="Colorful Grid Accent 5" w:uiPriority="73" w:semiHidden="0" w:unhideWhenUsed="0"/>
    <w:lsdException w:name="Colorful Grid Accent 2" w:uiPriority="73" w:semiHidden="0" w:unhideWhenUsed="0"/>
    <w:lsdException w:name="Medium List 1 Accent 1" w:uiPriority="65" w:semiHidden="0" w:unhideWhenUsed="0"/>
    <w:lsdException w:name="Quote" w:uiPriority="29" w:semiHidden="0" w:unhideWhenUsed="0" w:qFormat="1"/>
    <w:lsdException w:name="Medium Shading 2 Accent 4" w:uiPriority="64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Colorful Shading Accent 3" w:uiPriority="71" w:semiHidden="0" w:unhideWhenUsed="0"/>
    <w:lsdException w:name="Medium Shading 2" w:uiPriority="64" w:semiHidden="0" w:unhideWhenUsed="0"/>
    <w:lsdException w:name="Intense Reference" w:uiPriority="32" w:semiHidden="0" w:unhideWhenUsed="0" w:qFormat="1"/>
    <w:lsdException w:name="Default Paragraph Font" w:uiPriority="1"/>
    <w:lsdException w:name="Medium List 1 Accent 4" w:uiPriority="65" w:semiHidden="0" w:unhideWhenUsed="0"/>
    <w:lsdException w:name="Emphasis" w:uiPriority="20" w:semiHidden="0" w:unhideWhenUsed="0" w:qFormat="1"/>
    <w:lsdException w:name="Medium Shading 1" w:uiPriority="63" w:semiHidden="0" w:unhideWhenUsed="0"/>
    <w:lsdException w:name="toc 9" w:uiPriority="39"/>
    <w:lsdException w:name="Medium Grid 1 Accent 2" w:uiPriority="67" w:semiHidden="0" w:unhideWhenUsed="0"/>
    <w:lsdException w:name="List Paragraph" w:uiPriority="34" w:semiHidden="0" w:unhideWhenUsed="0" w:qFormat="1"/>
    <w:lsdException w:name="Light List" w:uiPriority="61" w:semiHidden="0" w:unhideWhenUsed="0"/>
    <w:lsdException w:name="Medium Shading 2 Accent 6" w:uiPriority="64" w:semiHidden="0" w:unhideWhenUsed="0"/>
    <w:lsdException w:name="toc 5" w:uiPriority="39"/>
    <w:lsdException w:name="Medium Shading 2 Accent 1" w:uiPriority="64" w:semiHidden="0" w:unhideWhenUsed="0"/>
    <w:lsdException w:name="heading 7" w:uiPriority="9" w:qFormat="1"/>
    <w:lsdException w:name="Colorful Shading" w:uiPriority="71" w:semiHidden="0" w:unhideWhenUsed="0"/>
    <w:lsdException w:name="Dark List Accent 6" w:uiPriority="70" w:semiHidden="0" w:unhideWhenUsed="0"/>
    <w:lsdException w:name="Dark List Accent 5" w:uiPriority="70" w:semiHidden="0" w:unhideWhenUsed="0"/>
    <w:lsdException w:name="Colorful List Accent 4" w:uiPriority="72" w:semiHidden="0" w:unhideWhenUsed="0"/>
    <w:lsdException w:name="Medium List 1 Accent 5" w:uiPriority="65" w:semiHidden="0" w:unhideWhenUsed="0"/>
    <w:lsdException w:name="Medium List 1 Accent 2" w:uiPriority="65" w:semiHidden="0" w:unhideWhenUsed="0"/>
    <w:lsdException w:name="Light Grid Accent 3" w:uiPriority="62" w:semiHidden="0" w:unhideWhenUsed="0"/>
    <w:lsdException w:name="toc 4" w:uiPriority="39"/>
    <w:lsdException w:name="Intense Emphasis" w:uiPriority="21" w:semiHidden="0" w:unhideWhenUsed="0" w:qFormat="1"/>
    <w:lsdException w:name="Colorful Grid Accent 4" w:uiPriority="73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Medium List 1 Accent 3" w:uiPriority="65" w:semiHidden="0" w:unhideWhenUsed="0"/>
    <w:lsdException w:name="Medium Shading 1 Accent 3" w:uiPriority="63" w:semiHidden="0" w:unhideWhenUsed="0"/>
    <w:lsdException w:name="Medium Shading 1 Accent 4" w:uiPriority="63" w:semiHidden="0" w:unhideWhenUsed="0"/>
    <w:lsdException w:name="toc 3" w:uiPriority="39"/>
    <w:lsdException w:name="toc 8" w:uiPriority="39"/>
    <w:lsdException w:name="Medium Grid 3 Accent 6" w:uiPriority="69" w:semiHidden="0" w:unhideWhenUsed="0"/>
    <w:lsdException w:name="Light Shading Accent 5" w:uiPriority="60" w:semiHidden="0" w:unhideWhenUsed="0"/>
    <w:lsdException w:name="Medium Grid 3 Accent 5" w:uiPriority="69" w:semiHidden="0" w:unhideWhenUsed="0"/>
    <w:lsdException w:name="Medium Shading 1 Accent 5" w:uiPriority="63" w:semiHidden="0" w:unhideWhenUsed="0"/>
    <w:lsdException w:name="Medium Grid 1 Accent 5" w:uiPriority="67" w:semiHidden="0" w:unhideWhenUsed="0"/>
    <w:lsdException w:name="Medium Grid 3 Accent 1" w:uiPriority="69" w:semiHidden="0" w:unhideWhenUsed="0"/>
    <w:lsdException w:name="Colorful Shading Accent 6" w:uiPriority="71" w:semiHidden="0" w:unhideWhenUsed="0"/>
    <w:lsdException w:name="toc 1" w:uiPriority="39"/>
    <w:lsdException w:name="toc 6" w:uiPriority="39"/>
    <w:lsdException w:name="Light List Accent 2" w:uiPriority="61" w:semiHidden="0" w:unhideWhenUsed="0"/>
    <w:lsdException w:name="Medium List 1" w:uiPriority="65" w:semiHidden="0" w:unhideWhenUsed="0"/>
    <w:lsdException w:name="Medium Shading 1 Accent 6" w:uiPriority="63" w:semiHidden="0" w:unhideWhenUsed="0"/>
    <w:lsdException w:name="Medium Grid 1" w:uiPriority="67" w:semiHidden="0" w:unhideWhenUsed="0"/>
    <w:lsdException w:name="No Spacing" w:uiPriority="1" w:semiHidden="0" w:unhideWhenUsed="0" w:qFormat="1"/>
    <w:lsdException w:name="Medium Grid 2 Accent 3" w:uiPriority="68" w:semiHidden="0" w:unhideWhenUsed="0"/>
    <w:lsdException w:name="Light List Accent 6" w:uiPriority="61" w:semiHidden="0" w:unhideWhenUsed="0"/>
    <w:lsdException w:name="heading 5" w:uiPriority="9" w:qFormat="1"/>
    <w:lsdException w:name="Medium Grid 2 Accent 4" w:uiPriority="68" w:semiHidden="0" w:unhideWhenUsed="0"/>
    <w:lsdException w:name="Light List Accent 1" w:uiPriority="61" w:semiHidden="0" w:unhideWhenUsed="0"/>
    <w:lsdException w:name="Medium Grid 1 Accent 3" w:uiPriority="67" w:semiHidden="0" w:unhideWhenUsed="0"/>
    <w:lsdException w:name="toc 7" w:uiPriority="39"/>
    <w:lsdException w:name="Colorful List Accent 5" w:uiPriority="72" w:semiHidden="0" w:unhideWhenUsed="0"/>
    <w:lsdException w:name="Light Grid Accent 1" w:uiPriority="62" w:semiHidden="0" w:unhideWhenUsed="0"/>
    <w:lsdException w:name="Medium Shading 2 Accent 3" w:uiPriority="64" w:semiHidden="0" w:unhideWhenUsed="0"/>
    <w:lsdException w:name="Light Grid Accent 6" w:uiPriority="62" w:semiHidden="0" w:unhideWhenUsed="0"/>
    <w:lsdException w:name="Light Shading" w:uiPriority="60" w:semiHidden="0" w:unhideWhenUsed="0"/>
    <w:lsdException w:name="Bibliography" w:uiPriority="37"/>
    <w:lsdException w:name="heading 2" w:uiPriority="9" w:qFormat="1"/>
    <w:lsdException w:name="Light Shading Accent 6" w:uiPriority="60" w:semiHidden="0" w:unhideWhenUsed="0"/>
    <w:lsdException w:name="Colorful Shading Accent 2" w:uiPriority="71" w:semiHidden="0" w:unhideWhenUsed="0"/>
    <w:lsdException w:name="Colorful Shading Accent 5" w:uiPriority="71" w:semiHidden="0" w:unhideWhenUsed="0"/>
    <w:lsdException w:name="Light Shading Accent 1" w:uiPriority="60" w:semiHidden="0" w:unhideWhenUsed="0"/>
    <w:lsdException w:name="Revision" w:unhideWhenUsed="0"/>
    <w:lsdException w:name="Medium Grid 2 Accent 1" w:uiPriority="68" w:semiHidden="0" w:unhideWhenUsed="0"/>
    <w:lsdException w:name="Light Grid" w:uiPriority="62" w:semiHidden="0" w:unhideWhenUsed="0"/>
    <w:lsdException w:name="heading 3" w:uiPriority="9" w:qFormat="1"/>
    <w:lsdException w:name="caption" w:uiPriority="35" w:qFormat="1"/>
    <w:lsdException w:name="heading 8" w:uiPriority="9" w:qFormat="1"/>
    <w:lsdException w:name="Subtle Reference" w:uiPriority="31" w:semiHidden="0" w:unhideWhenUsed="0" w:qFormat="1"/>
    <w:lsdException w:name="Light Shading Accent 2" w:uiPriority="60" w:semiHidden="0" w:unhideWhenUsed="0"/>
    <w:lsdException w:name="Colorful Shading Accent 1" w:uiPriority="71" w:semiHidden="0" w:unhideWhenUsed="0"/>
    <w:lsdException w:name="Medium List 1 Accent 6" w:uiPriority="65" w:semiHidden="0" w:unhideWhenUsed="0"/>
    <w:lsdException w:name="Medium List 2" w:uiPriority="66" w:semiHidden="0" w:unhideWhenUsed="0"/>
    <w:lsdException w:name="Light Grid Accent 4" w:uiPriority="62" w:semiHidden="0" w:unhideWhenUsed="0"/>
    <w:lsdException w:name="Intense Quote" w:uiPriority="30" w:semiHidden="0" w:unhideWhenUsed="0" w:qFormat="1"/>
    <w:lsdException w:name="Medium List 2 Accent 5" w:uiPriority="66" w:semiHidden="0" w:unhideWhenUsed="0"/>
    <w:lsdException w:name="Normal" w:uiPriority="0" w:semiHidden="0" w:unhideWhenUsed="0" w:qFormat="1"/>
    <w:lsdException w:name="Light Shading Accent 3" w:uiPriority="60" w:semiHidden="0" w:unhideWhenUsed="0"/>
    <w:lsdException w:name="TOC Heading" w:uiPriority="39" w:qFormat="1"/>
    <w:lsdException w:name="Dark List Accent 3" w:uiPriority="70" w:semiHidden="0" w:unhideWhenUsed="0"/>
    <w:lsdException w:name="Colorful List Accent 1" w:uiPriority="72" w:semiHidden="0" w:unhideWhenUsed="0"/>
    <w:lsdException w:name="Placeholder Text" w:unhideWhenUsed="0"/>
    <w:lsdException w:name="Dark List Accent 4" w:uiPriority="70" w:semiHidden="0" w:unhideWhenUsed="0"/>
    <w:lsdException w:name="Table Grid" w:uiPriority="59" w:semiHidden="0" w:unhideWhenUsed="0"/>
    <w:lsdException w:name="Colorful Shading Accent 4" w:uiPriority="71" w:semiHidden="0" w:unhideWhenUsed="0"/>
    <w:lsdException w:name="Colorful List Accent 6" w:uiPriority="72" w:semiHidden="0" w:unhideWhenUsed="0"/>
    <w:lsdException w:name="Light List Accent 5" w:uiPriority="61" w:semiHidden="0" w:unhideWhenUsed="0"/>
    <w:lsdException w:name="Medium List 2 Accent 4" w:uiPriority="66" w:semiHidden="0" w:unhideWhenUsed="0"/>
    <w:lsdException w:name="Medium List 2 Accent 3" w:uiPriority="66" w:semiHidden="0" w:unhideWhenUsed="0"/>
    <w:lsdException w:name="Book Title" w:uiPriority="33" w:semiHidden="0" w:unhideWhenUsed="0" w:qFormat="1"/>
    <w:lsdException w:name="Colorful List Accent 2" w:uiPriority="72" w:semiHidden="0" w:unhideWhenUsed="0"/>
    <w:lsdException w:name="Medium Shading 2 Accent 5" w:uiPriority="64" w:semiHidden="0" w:unhideWhenUsed="0"/>
    <w:lsdException w:name="Medium Shading 2 Accent 2" w:uiPriority="64" w:semiHidden="0" w:unhideWhenUsed="0"/>
    <w:lsdException w:name="toc 2" w:uiPriority="39"/>
    <w:lsdException w:name="Dark List Accent 1" w:uiPriority="70" w:semiHidden="0" w:unhideWhenUsed="0"/>
    <w:lsdException w:name="Medium List 2 Accent 1" w:uiPriority="66" w:semiHidden="0" w:unhideWhenUsed="0"/>
    <w:lsdException w:name="Colorful List Accent 3" w:uiPriority="72" w:semiHidden="0" w:unhideWhenUsed="0"/>
    <w:lsdException w:name="Medium List 2 Accent 2" w:uiPriority="66" w:semiHidden="0" w:unhideWhenUsed="0"/>
    <w:lsdException w:name="Medium Grid 1 Accent 6" w:uiPriority="67" w:semiHidden="0" w:unhideWhenUsed="0"/>
    <w:lsdException w:name="Medium Grid 1 Accent 1" w:uiPriority="67" w:semiHidden="0" w:unhideWhenUsed="0"/>
    <w:lsdException w:name="Medium List 2 Accent 6" w:uiPriority="66" w:semiHidden="0" w:unhideWhenUsed="0"/>
    <w:lsdException w:name="Strong" w:uiPriority="22" w:semiHidden="0" w:unhideWhenUsed="0" w:qFormat="1"/>
    <w:lsdException w:name="Colorful List" w:uiPriority="72" w:semiHidden="0" w:unhideWhenUsed="0"/>
    <w:lsdException w:name="Medium Grid 3" w:uiPriority="69" w:semiHidden="0" w:unhideWhenUsed="0"/>
  </w:latentStyles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BE5F1" w:themeFill="accen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 w:val="1"/>
        <w:bCs w:val="1"/>
      </w:rPr>
    </w:tblStylePr>
  </w:style>
  <w:style w:type="numbering" w:styleId="00001b" w:default="1">
    <w:name w:val="No List"/>
    <w:uiPriority w:val="99"/>
    <w:semiHidden w:val="1"/>
    <w:unhideWhenUsed w:val="1"/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1"/>
      </w:numPr>
      <w:contextualSpacing w:val="1"/>
    </w:p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Vert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3"/>
      </w:numPr>
      <w:contextualSpacing w:val="1"/>
    </w:p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lastCol">
      <w:rPr>
        <w:b w:val="1"/>
        <w:bCs w:val="1"/>
      </w:r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paragraph" w:styleId="000002" w:default="1">
    <w:name w:val="Normal"/>
    <w:qFormat w:val="1"/>
    <w:rsid w:val="00FC693F"/>
    <w:rPr>
      <w:rFonts w:ascii="Times New Roman" w:hAnsi="Times New Roman"/>
      <w:sz w:val="20"/>
    </w:r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 w:val="1"/>
      </w:r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DFA7A6" w:themeFill="accent2" w:themeFillTint="7F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AF1DD" w:themeFill="accent3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05" w:default="1">
    <w:name w:val="Default Paragraph Font"/>
    <w:uiPriority w:val="1"/>
    <w:semiHidden w:val="1"/>
    <w:unhideWhenUsed w:val="1"/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3BC" w:themeFill="accent3" w:themeFillTint="66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 w:val="1"/>
        <w:bCs w:val="1"/>
      </w:r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e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2026-09-02T11:56:25Z</dcterms:created>
  <dcterms:modified xsi:type="dcterms:W3CDTF">2026-09-02T11:56:25Z</dcterms:modified>
</cp:coreProperties>
</file>