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pPr>
      <w:r>
        <w:rPr>
          <w:rFonts w:ascii="Times New Roman" w:hAnsi="Times New Roman" w:eastAsia="Times New Roman"/>
          <w:b/>
          <w:i w:val="0"/>
          <w:sz w:val="32"/>
        </w:rPr>
        <w:t>A six-gate falsification framework for diagnosing locus-driven confounding in Mendelian randomization: architecture, a 43,200-replicate benchmark of its scoring rule, and application to complex traits</w:t>
      </w:r>
    </w:p>
    <w:p>
      <w:pPr>
        <w:spacing w:before="0" w:after="80" w:line="240" w:lineRule="auto"/>
      </w:pPr>
      <w:r>
        <w:rPr>
          <w:rFonts w:ascii="Times New Roman" w:hAnsi="Times New Roman" w:eastAsia="Times New Roman"/>
          <w:b/>
          <w:sz w:val="24"/>
        </w:rPr>
        <w:t>Qin Liu</w:t>
      </w:r>
      <w:r>
        <w:rPr>
          <w:rFonts w:ascii="Times New Roman" w:hAnsi="Times New Roman" w:eastAsia="Times New Roman"/>
          <w:b/>
          <w:sz w:val="24"/>
          <w:vertAlign w:val="superscript"/>
        </w:rPr>
        <w:t>1,†</w:t>
      </w:r>
      <w:r>
        <w:rPr>
          <w:rFonts w:ascii="Times New Roman" w:hAnsi="Times New Roman" w:eastAsia="Times New Roman"/>
          <w:b/>
          <w:sz w:val="24"/>
        </w:rPr>
        <w:t xml:space="preserve">, </w:t>
      </w:r>
      <w:r>
        <w:rPr>
          <w:rFonts w:ascii="Times New Roman" w:hAnsi="Times New Roman" w:eastAsia="Times New Roman"/>
          <w:b/>
          <w:sz w:val="24"/>
        </w:rPr>
        <w:t>Wangyang Ye</w:t>
      </w:r>
      <w:r>
        <w:rPr>
          <w:rFonts w:ascii="Times New Roman" w:hAnsi="Times New Roman" w:eastAsia="Times New Roman"/>
          <w:b/>
          <w:sz w:val="24"/>
          <w:vertAlign w:val="superscript"/>
        </w:rPr>
        <w:t>1,†</w:t>
      </w:r>
      <w:r>
        <w:rPr>
          <w:rFonts w:ascii="Times New Roman" w:hAnsi="Times New Roman" w:eastAsia="Times New Roman"/>
          <w:b/>
          <w:sz w:val="24"/>
        </w:rPr>
        <w:t xml:space="preserve">, </w:t>
      </w:r>
      <w:r>
        <w:rPr>
          <w:rFonts w:ascii="Times New Roman" w:hAnsi="Times New Roman" w:eastAsia="Times New Roman"/>
          <w:b/>
          <w:sz w:val="24"/>
        </w:rPr>
        <w:t>Ming Luo</w:t>
      </w:r>
      <w:r>
        <w:rPr>
          <w:rFonts w:ascii="Times New Roman" w:hAnsi="Times New Roman" w:eastAsia="Times New Roman"/>
          <w:b/>
          <w:sz w:val="24"/>
          <w:vertAlign w:val="superscript"/>
        </w:rPr>
        <w:t>1,*</w:t>
      </w:r>
    </w:p>
    <w:p>
      <w:pPr>
        <w:spacing w:before="0" w:after="80" w:line="240" w:lineRule="auto"/>
        <w:ind w:left="227" w:hanging="227"/>
      </w:pPr>
      <w:r>
        <w:rPr>
          <w:sz w:val="22"/>
          <w:vertAlign w:val="superscript"/>
        </w:rPr>
        <w:t>1</w:t>
      </w:r>
      <w:r>
        <w:rPr>
          <w:rFonts w:ascii="Times New Roman" w:hAnsi="Times New Roman" w:eastAsia="Times New Roman"/>
          <w:b w:val="0"/>
          <w:i/>
          <w:sz w:val="22"/>
        </w:rPr>
        <w:t xml:space="preserve"> Department of Neurosurgery, The Fifth Affiliated Hospital of Wenzhou Medical University (Lishui Central Hospital), Lishui, Zhejiang 323000, China</w:t>
      </w:r>
    </w:p>
    <w:p>
      <w:pPr>
        <w:spacing w:before="0" w:after="80" w:line="240" w:lineRule="auto"/>
      </w:pPr>
      <w:r>
        <w:rPr>
          <w:rFonts w:ascii="Times New Roman" w:hAnsi="Times New Roman" w:eastAsia="Times New Roman"/>
          <w:b w:val="0"/>
          <w:i w:val="0"/>
          <w:sz w:val="22"/>
        </w:rPr>
        <w:t>†These authors contributed equally to this work.</w:t>
      </w:r>
    </w:p>
    <w:p>
      <w:pPr>
        <w:spacing w:before="0" w:after="280" w:line="240" w:lineRule="auto"/>
      </w:pPr>
      <w:r>
        <w:rPr>
          <w:rFonts w:ascii="Times New Roman" w:hAnsi="Times New Roman" w:eastAsia="Times New Roman"/>
          <w:b w:val="0"/>
          <w:i/>
          <w:sz w:val="22"/>
        </w:rPr>
        <w:t>Correspondence: Ming Luo, lm962272@gmail.com</w:t>
      </w:r>
    </w:p>
    <w:p>
      <w:pPr>
        <w:spacing w:before="360" w:after="160" w:line="240" w:lineRule="auto"/>
      </w:pPr>
      <w:r>
        <w:rPr>
          <w:rFonts w:ascii="Times New Roman" w:hAnsi="Times New Roman" w:eastAsia="Times New Roman"/>
          <w:b/>
          <w:i w:val="0"/>
          <w:sz w:val="28"/>
        </w:rPr>
        <w:t>Abstract</w:t>
      </w:r>
    </w:p>
    <w:p>
      <w:pPr>
        <w:spacing w:before="0" w:after="120" w:line="480" w:lineRule="auto"/>
      </w:pPr>
      <w:r>
        <w:rPr>
          <w:rFonts w:ascii="Times New Roman" w:hAnsi="Times New Roman" w:eastAsia="Times New Roman"/>
          <w:b w:val="0"/>
          <w:i w:val="0"/>
        </w:rPr>
        <w:t xml:space="preserve">Mendelian randomization (MR) uses germline variants as instrumental variables to estimate causal relationships, relying on relevance, independence, and exclusion-restriction assumptions. When a single locus of large effect, such as </w:t>
      </w:r>
      <w:r>
        <w:rPr>
          <w:rFonts w:ascii="Times New Roman" w:hAnsi="Times New Roman" w:eastAsia="Times New Roman"/>
          <w:b w:val="0"/>
          <w:i/>
        </w:rPr>
        <w:t>APOE</w:t>
      </w:r>
      <w:r>
        <w:rPr>
          <w:rFonts w:ascii="Times New Roman" w:hAnsi="Times New Roman" w:eastAsia="Times New Roman"/>
          <w:b w:val="0"/>
          <w:i w:val="0"/>
        </w:rPr>
        <w:t xml:space="preserve"> in Alzheimer's disease (AD), dominates trait genetic architecture, standard MR pipelines often return statistically significant estimates whose apparent precision reflects correlated instruments rather than information, and which do not reflect a directed causal effect. This failure mode is termed locus-driven confounding. We present a six-gate falsification framework that tests causal claims with six criteria: association screening, robustness, genetic architecture, direct effect, biological mediation, and external validation. Evidence across these gates is aggregated into an </w:t>
      </w:r>
      <w:r>
        <w:rPr>
          <w:rFonts w:ascii="Times New Roman" w:hAnsi="Times New Roman" w:eastAsia="Times New Roman"/>
          <w:b w:val="0"/>
          <w:i/>
        </w:rPr>
        <w:t>a priori</w:t>
      </w:r>
      <w:r>
        <w:rPr>
          <w:rFonts w:ascii="Times New Roman" w:hAnsi="Times New Roman" w:eastAsia="Times New Roman"/>
          <w:b w:val="0"/>
          <w:i w:val="0"/>
        </w:rPr>
        <w:t xml:space="preserve"> grade (A–D) ranging from 0 to 12 points. We benchmarked 43,200 simulated two-sample MR scenarios covering instrument count, pleiotropy regime, sample overlap, effect size and clumping granularity, evaluating each replicate through proxy implementations of all six gates. The benchmark characterises the score-to-grade mapping under proxy gates, not the operating characteristics of the genomic estimators. Under the null without pleiotropy, the scoring rule assigned Grade D to all replicates, with zero false discoveries. Under balanced pleiotropy, marginal specificity was </w:t>
      </w:r>
      <w:r>
        <w:rPr>
          <w:rFonts w:ascii="Times New Roman" w:hAnsi="Times New Roman" w:eastAsia="Times New Roman"/>
          <w:b w:val="0"/>
          <w:i w:val="0"/>
        </w:rPr>
        <w:t>≈ 0.80</w:t>
      </w:r>
      <w:r>
        <w:rPr>
          <w:rFonts w:ascii="Times New Roman" w:hAnsi="Times New Roman" w:eastAsia="Times New Roman"/>
          <w:b w:val="0"/>
          <w:i w:val="0"/>
        </w:rPr>
        <w:t xml:space="preserve"> and the marginal false discovery rate (FDR) </w:t>
      </w:r>
      <w:r>
        <w:rPr>
          <w:rFonts w:ascii="Times New Roman" w:hAnsi="Times New Roman" w:eastAsia="Times New Roman"/>
          <w:b w:val="0"/>
          <w:i w:val="0"/>
        </w:rPr>
        <w:t>≈ 0.10</w:t>
      </w:r>
      <w:r>
        <w:rPr>
          <w:rFonts w:ascii="Times New Roman" w:hAnsi="Times New Roman" w:eastAsia="Times New Roman"/>
          <w:b w:val="0"/>
          <w:i w:val="0"/>
        </w:rPr>
        <w:t xml:space="preserve"> (range across parameter cells 0.06–0.15). Sensitivity reached 0.88 at the highest effect size in the absence of pleiotropy, and grades scaled monotonically with effect size.</w:t>
      </w:r>
    </w:p>
    <w:p>
      <w:pPr>
        <w:spacing w:before="0" w:after="120" w:line="480" w:lineRule="auto"/>
      </w:pPr>
      <w:r>
        <w:rPr>
          <w:rFonts w:ascii="Times New Roman" w:hAnsi="Times New Roman" w:eastAsia="Times New Roman"/>
          <w:b w:val="0"/>
          <w:i w:val="0"/>
        </w:rPr>
        <w:t>We evaluated the framework on the association between insomnia and AD as an empirical benchmark. A previously reported unclumped positive association (</w:t>
      </w:r>
      <w:r>
        <w:rPr>
          <w:rFonts w:ascii="Times New Roman" w:hAnsi="Times New Roman" w:eastAsia="Times New Roman"/>
          <w:b w:val="0"/>
          <w:i/>
        </w:rPr>
        <w:t>β</w:t>
      </w:r>
      <w:r>
        <w:rPr>
          <w:rFonts w:ascii="Times New Roman" w:hAnsi="Times New Roman" w:eastAsia="Times New Roman"/>
          <w:b w:val="0"/>
          <w:i w:val="0"/>
        </w:rPr>
        <w:t xml:space="preserve"> = +0.10, </w:t>
      </w:r>
      <w:r>
        <w:rPr>
          <w:rFonts w:ascii="Times New Roman" w:hAnsi="Times New Roman" w:eastAsia="Times New Roman"/>
          <w:b w:val="0"/>
          <w:i/>
        </w:rPr>
        <w:t>P</w:t>
      </w:r>
      <w:r>
        <w:rPr>
          <w:rFonts w:ascii="Times New Roman" w:hAnsi="Times New Roman" w:eastAsia="Times New Roman"/>
          <w:b w:val="0"/>
          <w:i w:val="0"/>
        </w:rPr>
        <w:t xml:space="preserve"> = </w:t>
      </w:r>
      <w:r>
        <w:rPr>
          <w:rFonts w:ascii="Times New Roman" w:hAnsi="Times New Roman" w:eastAsia="Times New Roman"/>
          <w:b w:val="0"/>
          <w:i w:val="0"/>
        </w:rPr>
        <w:t>9.3 × 10</w:t>
      </w:r>
      <w:r>
        <w:rPr>
          <w:rFonts w:ascii="Times New Roman" w:hAnsi="Times New Roman" w:eastAsia="Times New Roman"/>
          <w:b w:val="0"/>
          <w:i w:val="0"/>
          <w:vertAlign w:val="superscript"/>
        </w:rPr>
        <w:t>-4</w:t>
      </w:r>
      <w:r>
        <w:rPr>
          <w:rFonts w:ascii="Times New Roman" w:hAnsi="Times New Roman" w:eastAsia="Times New Roman"/>
          <w:b w:val="0"/>
          <w:i w:val="0"/>
        </w:rPr>
        <w:t xml:space="preserve">) was reclassified as shared liability driven by the </w:t>
      </w:r>
      <w:r>
        <w:rPr>
          <w:rFonts w:ascii="Times New Roman" w:hAnsi="Times New Roman" w:eastAsia="Times New Roman"/>
          <w:b w:val="0"/>
          <w:i/>
        </w:rPr>
        <w:t>APOE</w:t>
      </w:r>
      <w:r>
        <w:rPr>
          <w:rFonts w:ascii="Times New Roman" w:hAnsi="Times New Roman" w:eastAsia="Times New Roman"/>
          <w:b w:val="0"/>
          <w:i w:val="0"/>
        </w:rPr>
        <w:t xml:space="preserve"> locus (Grade C). The association attenuated to the null after LD clumping (</w:t>
      </w:r>
      <w:r>
        <w:rPr>
          <w:rFonts w:ascii="Times New Roman" w:hAnsi="Times New Roman" w:eastAsia="Times New Roman"/>
          <w:b w:val="0"/>
          <w:i/>
        </w:rPr>
        <w:t>β</w:t>
      </w:r>
      <w:r>
        <w:rPr>
          <w:rFonts w:ascii="Times New Roman" w:hAnsi="Times New Roman" w:eastAsia="Times New Roman"/>
          <w:b w:val="0"/>
          <w:i w:val="0"/>
        </w:rPr>
        <w:t xml:space="preserve"> = </w:t>
      </w:r>
      <w:r>
        <w:rPr>
          <w:rFonts w:ascii="Times New Roman" w:hAnsi="Times New Roman" w:eastAsia="Times New Roman"/>
          <w:b w:val="0"/>
          <w:i w:val="0"/>
        </w:rPr>
        <w:t>-0.13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0.52), genome-wide genetic correlation was negligible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 </w:t>
      </w:r>
      <w:r>
        <w:rPr>
          <w:rFonts w:ascii="Times New Roman" w:hAnsi="Times New Roman" w:eastAsia="Times New Roman"/>
          <w:b w:val="0"/>
          <w:i w:val="0"/>
        </w:rPr>
        <w:t>-0.028</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0.57), colocalization was consistent with reverse-direction variant sharing, and no protein mediators were identified. In contrast, educational attainment maintained an inverse association with AD (</w:t>
      </w:r>
      <w:r>
        <w:rPr>
          <w:rFonts w:ascii="Times New Roman" w:hAnsi="Times New Roman" w:eastAsia="Times New Roman"/>
          <w:b w:val="0"/>
          <w:i/>
        </w:rPr>
        <w:t>β</w:t>
      </w:r>
      <w:r>
        <w:rPr>
          <w:rFonts w:ascii="Times New Roman" w:hAnsi="Times New Roman" w:eastAsia="Times New Roman"/>
          <w:b w:val="0"/>
          <w:i w:val="0"/>
        </w:rPr>
        <w:t xml:space="preserve"> = </w:t>
      </w:r>
      <w:r>
        <w:rPr>
          <w:rFonts w:ascii="Times New Roman" w:hAnsi="Times New Roman" w:eastAsia="Times New Roman"/>
          <w:b w:val="0"/>
          <w:i w:val="0"/>
        </w:rPr>
        <w:t>-0.33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w:t>
      </w:r>
      <w:r>
        <w:rPr>
          <w:rFonts w:ascii="Times New Roman" w:hAnsi="Times New Roman" w:eastAsia="Times New Roman"/>
          <w:b w:val="0"/>
          <w:i w:val="0"/>
        </w:rPr>
        <w:t>1.1 × 10</w:t>
      </w:r>
      <w:r>
        <w:rPr>
          <w:rFonts w:ascii="Times New Roman" w:hAnsi="Times New Roman" w:eastAsia="Times New Roman"/>
          <w:b w:val="0"/>
          <w:i w:val="0"/>
          <w:vertAlign w:val="superscript"/>
        </w:rPr>
        <w:t>-5</w:t>
      </w:r>
      <w:r>
        <w:rPr>
          <w:rFonts w:ascii="Times New Roman" w:hAnsi="Times New Roman" w:eastAsia="Times New Roman"/>
          <w:b w:val="0"/>
          <w:i w:val="0"/>
        </w:rPr>
        <w:t xml:space="preserve">). The pipeline is fully reproducible via </w:t>
      </w:r>
      <w:r>
        <w:rPr>
          <w:rFonts w:ascii="Consolas" w:hAnsi="Consolas" w:eastAsia="Consolas"/>
          <w:b w:val="0"/>
          <w:i w:val="0"/>
          <w:sz w:val="22"/>
        </w:rPr>
        <w:t>renv.lock</w:t>
      </w:r>
      <w:r>
        <w:rPr>
          <w:rFonts w:ascii="Times New Roman" w:hAnsi="Times New Roman" w:eastAsia="Times New Roman"/>
          <w:b w:val="0"/>
          <w:i w:val="0"/>
        </w:rPr>
        <w:t xml:space="preserve"> (R 4.5.2) for the genomic analyses and </w:t>
      </w:r>
      <w:r>
        <w:rPr>
          <w:rFonts w:ascii="Consolas" w:hAnsi="Consolas" w:eastAsia="Consolas"/>
          <w:b w:val="0"/>
          <w:i w:val="0"/>
          <w:sz w:val="22"/>
        </w:rPr>
        <w:t>requirements.txt</w:t>
      </w:r>
      <w:r>
        <w:rPr>
          <w:rFonts w:ascii="Times New Roman" w:hAnsi="Times New Roman" w:eastAsia="Times New Roman"/>
          <w:b w:val="0"/>
          <w:i w:val="0"/>
        </w:rPr>
        <w:t xml:space="preserve"> (Python 3.13.14) for the simulation, and archived on Zenodo (DOI 10.5281/zenodo.23733172), offering a standardizable protocol for graded causal inference in polygenic epidemiology.</w:t>
      </w:r>
    </w:p>
    <w:p>
      <w:pPr>
        <w:spacing w:before="0" w:after="120" w:line="480" w:lineRule="auto"/>
      </w:pPr>
      <w:r>
        <w:rPr>
          <w:rFonts w:ascii="Times New Roman" w:hAnsi="Times New Roman" w:eastAsia="Times New Roman"/>
          <w:b/>
          <w:i w:val="0"/>
        </w:rPr>
        <w:t>Keywords:</w:t>
      </w:r>
      <w:r>
        <w:rPr>
          <w:rFonts w:ascii="Times New Roman" w:hAnsi="Times New Roman" w:eastAsia="Times New Roman"/>
          <w:b w:val="0"/>
          <w:i w:val="0"/>
        </w:rPr>
        <w:t xml:space="preserve"> Alzheimer's disease; APOE; benchmarking; causal inference; falsification framework; locus-driven confounding; Mendelian randomization; operating characteristics</w:t>
      </w:r>
    </w:p>
    <w:p>
      <w:pPr>
        <w:spacing w:before="360" w:after="160" w:line="240" w:lineRule="auto"/>
      </w:pPr>
      <w:r>
        <w:rPr>
          <w:rFonts w:ascii="Times New Roman" w:hAnsi="Times New Roman" w:eastAsia="Times New Roman"/>
          <w:b/>
          <w:i w:val="0"/>
          <w:sz w:val="28"/>
        </w:rPr>
        <w:t>Introduction</w:t>
      </w:r>
    </w:p>
    <w:p>
      <w:pPr>
        <w:spacing w:before="0" w:after="120" w:line="480" w:lineRule="auto"/>
      </w:pPr>
      <w:r>
        <w:rPr>
          <w:rFonts w:ascii="Times New Roman" w:hAnsi="Times New Roman" w:eastAsia="Times New Roman"/>
          <w:b w:val="0"/>
          <w:i w:val="0"/>
        </w:rPr>
        <w:t>Mendelian randomization uses germline genetic variants as instruments to estimate the causal effect of an exposure on an outcome under three core assumptions: relevance (the variant associates with the exposure), independence (no confounding of the variant–outcome association), and exclusion restriction (the variant affects the outcome exclusively through the exposure) (Davey Smith and Ebrahim, 2003; Burgess et al., 2013). Violations of these assumptions at strong-effect loci can cause standard two-sample MR pipelines (Figure 1B) to yield statistically significant and apparently precise estimates that misrepresent directed causal effects, their precision being an artefact of instrument correlation rather than information. Alzheimer's disease (AD) exemplifies this vulnerability: the APOE ε4 allele accounts for a substantial fraction of disease heritability, exposing any MR analysis involving AD as an exposure or outcome to locus-driven confounding (Lambert et al., 2013).</w:t>
      </w:r>
    </w:p>
    <w:p>
      <w:pPr>
        <w:spacing w:before="0" w:after="120" w:line="480" w:lineRule="auto"/>
      </w:pPr>
      <w:r>
        <w:rPr>
          <w:rFonts w:ascii="Times New Roman" w:hAnsi="Times New Roman" w:eastAsia="Times New Roman"/>
          <w:b w:val="0"/>
          <w:i w:val="0"/>
        </w:rPr>
        <w:t>This failure mode emerges when polygenic MR instruments are aggregated from genome-wide significant variants and a single locus contributes disproportionately to instrument strength. Under extreme locus concentration, such as APOE in AD, the aggregated instrument behaves like a single-variant experiment. This regime produces four systematic distortions: (i) unclumped inverse-variance weighted (IVW) estimates derive artificial precision from thousands of correlated variants, causing statistical significance to reflect instrument count rather than biological signal; (ii) linkage disequilibrium (LD) clumping can invert the direction of effect because the clumped estimate becomes dominated by the strongest independent variant, whose underlying biology may lie outside the exposure's causal pathway; (iii) genome-wide genetic correlation can remain null while locus-specific sharing is strong, as shared liability is confined to the dominant region; and (iv) standard pleiotropy diagnostics lose power because the horizontal pleiotropy is concentrated rather than diffuse (Verbanck et al., 2018). Published insomnia–AD MR studies illustrate these vulnerabilities. Previous analyses differ in instrument pruning, sample-overlap correction, genetic-architecture assessment, and mediation testing, which are the specific analytical choices where locus-driven confounding manifests. Nevertheless, a positive insomnia–AD effect is repeatedly reported and cited as evidence that sleep disturbance elevates AD risk.</w:t>
      </w:r>
    </w:p>
    <w:p>
      <w:pPr>
        <w:spacing w:before="0" w:after="120" w:line="480" w:lineRule="auto"/>
      </w:pPr>
      <w:r>
        <w:rPr>
          <w:rFonts w:ascii="Times New Roman" w:hAnsi="Times New Roman" w:eastAsia="Times New Roman"/>
          <w:b w:val="0"/>
          <w:i w:val="0"/>
        </w:rPr>
        <w:t>Addressing this problem requires a structured decision procedure rather than ad hoc sensitivity analyses. Specifically, causal evaluation benefits from a framework that evaluates directional causal claims through a fixed sequence of falsification gates (Popper, 1959), integrates multiple lines of evidence (Munafò and Davey Smith, 2018), assigns evidence grades based on cumulative outcomes, and undergoes benchmarking under controlled conditions prior to empirical application (Lawlor et al., 2016). The six-gate falsification framework fills this gap. The framework (i) operationalizes six failure modes of MR inference as sequential gates (association screening, robustness, genetic architecture, direct effect, biological mediation, and external validation); (ii) converts cumulative gate performance into an evidence grade (A–D) using a pre-specified 0–12 rubric; and (iii) is benchmarked using a 43,200-replicate simulation grid that quantifies the specificity, sensitivity and grade calibration of the scoring rule under proxy gate implementations.</w:t>
      </w:r>
    </w:p>
    <w:p>
      <w:pPr>
        <w:spacing w:before="0" w:after="120" w:line="480" w:lineRule="auto"/>
      </w:pPr>
      <w:r>
        <w:rPr>
          <w:rFonts w:ascii="Times New Roman" w:hAnsi="Times New Roman" w:eastAsia="Times New Roman"/>
          <w:b w:val="0"/>
          <w:i w:val="0"/>
        </w:rPr>
        <w:t>Two structural properties distinguish this framework from reporting checklists. First, it quantifies the evidence required to sustain a causal claim. Grades are assigned via a deterministic rule using fixed threshold policies (instrument extraction P &lt; 5×10⁻⁸; per-SNP F &gt; 10; Benjamini–Hochberg FDR for multi-mediator screens; nominal P &lt; 0.05 elsewhere). Second, the operating characteristics of its scoring rule are empirically quantified via simulation rather than assumed. An A–B grade indicates consistency with a directed causal effect under the framework's measured operating parameters, whereas a C–D grade denotes insufficient or falsified evidence. The framework complements reporting standards such as STROBE-MR (Skrivankova et al., 2021): while reporting guidelines define required study documentation, this framework defines when reported evidence supports a causal claim at a specified confidence level.</w:t>
      </w:r>
    </w:p>
    <w:p>
      <w:pPr>
        <w:spacing w:before="0" w:after="120" w:line="480" w:lineRule="auto"/>
      </w:pPr>
      <w:r>
        <w:rPr>
          <w:rFonts w:ascii="Times New Roman" w:hAnsi="Times New Roman" w:eastAsia="Times New Roman"/>
          <w:b w:val="0"/>
          <w:i w:val="0"/>
        </w:rPr>
        <w:t xml:space="preserve">We benchmark the framework under controlled stress parameters, crossing null, balanced, and directional pleiotropy with the granularity of the clumping partition, sample overlap, effect size, and instrument count. We then apply it to the insomnia–AD axis as a proof-of-concept for a trait pair with a reported positive MR signal and a known dominant locus (APOE) in the outcome architecture. This insomnia–AD application serves to evaluate the framework's diagnostic utility, not to assert an independent epidemiological claim. The complete pipeline, simulation grid, grading rubric, and derived results are reproducible via the project </w:t>
      </w:r>
      <w:r>
        <w:rPr>
          <w:rFonts w:ascii="Consolas" w:hAnsi="Consolas" w:eastAsia="Consolas"/>
          <w:b w:val="0"/>
          <w:i w:val="0"/>
          <w:sz w:val="22"/>
        </w:rPr>
        <w:t>renv.lock</w:t>
      </w:r>
      <w:r>
        <w:rPr>
          <w:rFonts w:ascii="Times New Roman" w:hAnsi="Times New Roman" w:eastAsia="Times New Roman"/>
          <w:b w:val="0"/>
          <w:i w:val="0"/>
        </w:rPr>
        <w:t xml:space="preserve"> (R 4.5.2) and </w:t>
      </w:r>
      <w:r>
        <w:rPr>
          <w:rFonts w:ascii="Consolas" w:hAnsi="Consolas" w:eastAsia="Consolas"/>
          <w:b w:val="0"/>
          <w:i w:val="0"/>
          <w:sz w:val="22"/>
        </w:rPr>
        <w:t>requirements.txt</w:t>
      </w:r>
      <w:r>
        <w:rPr>
          <w:rFonts w:ascii="Times New Roman" w:hAnsi="Times New Roman" w:eastAsia="Times New Roman"/>
          <w:b w:val="0"/>
          <w:i w:val="0"/>
        </w:rPr>
        <w:t xml:space="preserve"> (Python 3.13.14), and archived for reuse (Zenodo DOI 10.5281/zenodo.23733172; GitHub ming13333/iad-falsification-framework).</w:t>
      </w:r>
    </w:p>
    <w:p>
      <w:pPr>
        <w:spacing w:before="360" w:after="160" w:line="240" w:lineRule="auto"/>
      </w:pPr>
      <w:r>
        <w:rPr>
          <w:rFonts w:ascii="Times New Roman" w:hAnsi="Times New Roman" w:eastAsia="Times New Roman"/>
          <w:b/>
          <w:i w:val="0"/>
          <w:sz w:val="28"/>
        </w:rPr>
        <w:t>Materials and Equipment</w:t>
      </w:r>
    </w:p>
    <w:p>
      <w:pPr>
        <w:spacing w:before="0" w:after="120" w:line="480" w:lineRule="auto"/>
      </w:pPr>
      <w:r>
        <w:rPr>
          <w:rFonts w:ascii="Times New Roman" w:hAnsi="Times New Roman" w:eastAsia="Times New Roman"/>
          <w:b w:val="0"/>
          <w:i w:val="0"/>
        </w:rPr>
        <w:t>The framework is implemented as an open-source R/Python pipeline. All analyses use publicly available GWAS summary statistics, requiring no individual-level data.</w:t>
      </w:r>
    </w:p>
    <w:p>
      <w:pPr>
        <w:spacing w:before="0" w:after="120" w:line="480" w:lineRule="auto"/>
      </w:pPr>
      <w:r>
        <w:rPr>
          <w:rFonts w:ascii="Times New Roman" w:hAnsi="Times New Roman" w:eastAsia="Times New Roman"/>
          <w:b/>
          <w:i w:val="0"/>
        </w:rPr>
        <w:t>Software environment.</w:t>
      </w:r>
      <w:r>
        <w:rPr>
          <w:rFonts w:ascii="Times New Roman" w:hAnsi="Times New Roman" w:eastAsia="Times New Roman"/>
          <w:b w:val="0"/>
          <w:i w:val="0"/>
        </w:rPr>
        <w:t xml:space="preserve"> Analyses run in a reproducible computational environment managed via the project </w:t>
      </w:r>
      <w:r>
        <w:rPr>
          <w:rFonts w:ascii="Consolas" w:hAnsi="Consolas" w:eastAsia="Consolas"/>
          <w:b w:val="0"/>
          <w:i w:val="0"/>
          <w:sz w:val="22"/>
        </w:rPr>
        <w:t>renv.lock</w:t>
      </w:r>
      <w:r>
        <w:rPr>
          <w:rFonts w:ascii="Times New Roman" w:hAnsi="Times New Roman" w:eastAsia="Times New Roman"/>
          <w:b w:val="0"/>
          <w:i w:val="0"/>
        </w:rPr>
        <w:t xml:space="preserve"> under R 4.5.2 and a pinned Python environment (</w:t>
      </w:r>
      <w:r>
        <w:rPr>
          <w:rFonts w:ascii="Consolas" w:hAnsi="Consolas" w:eastAsia="Consolas"/>
          <w:b w:val="0"/>
          <w:i w:val="0"/>
          <w:sz w:val="22"/>
        </w:rPr>
        <w:t>requirements.txt</w:t>
      </w:r>
      <w:r>
        <w:rPr>
          <w:rFonts w:ascii="Times New Roman" w:hAnsi="Times New Roman" w:eastAsia="Times New Roman"/>
          <w:b w:val="0"/>
          <w:i w:val="0"/>
        </w:rPr>
        <w:t>: Python 3.13.14, NumPy 2.1.3, pandas 2.2.3, SciPy 1.14.1, scikit-learn 1.9.0) on Linux or Windows workstations (≥ 8 cores and 32 GB RAM recommended for simulation and LD score regression).</w:t>
      </w:r>
    </w:p>
    <w:p>
      <w:pPr>
        <w:spacing w:before="0" w:after="120" w:line="480" w:lineRule="auto"/>
      </w:pPr>
      <w:r>
        <w:rPr>
          <w:rFonts w:ascii="Times New Roman" w:hAnsi="Times New Roman" w:eastAsia="Times New Roman"/>
          <w:b/>
          <w:i w:val="0"/>
        </w:rPr>
        <w:t>Core R packages and roles.</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TwoSampleMR</w:t>
      </w:r>
      <w:r>
        <w:rPr>
          <w:rFonts w:ascii="Times New Roman" w:hAnsi="Times New Roman" w:eastAsia="Times New Roman"/>
          <w:b w:val="0"/>
          <w:i w:val="0"/>
        </w:rPr>
        <w:t xml:space="preserve"> v0.7.9 (Hemani et al., 2018): instrument extraction, harmonization, IVW, MR-Egger, and weighted median estimation (Bowden et al., 2015, 2016).</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MendelianRandomization</w:t>
      </w:r>
      <w:r>
        <w:rPr>
          <w:rFonts w:ascii="Times New Roman" w:hAnsi="Times New Roman" w:eastAsia="Times New Roman"/>
          <w:b w:val="0"/>
          <w:i w:val="0"/>
        </w:rPr>
        <w:t xml:space="preserve"> v0.10.0: multivariable MR (MVMR) with conditional F statistics.</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MRlap</w:t>
      </w:r>
      <w:r>
        <w:rPr>
          <w:rFonts w:ascii="Times New Roman" w:hAnsi="Times New Roman" w:eastAsia="Times New Roman"/>
          <w:b w:val="0"/>
          <w:i w:val="0"/>
        </w:rPr>
        <w:t xml:space="preserve"> (Mounier and Kutalik, 2023): sample-overlap correction using cross-trait LDSC intercepts.</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CAUSE</w:t>
      </w:r>
      <w:r>
        <w:rPr>
          <w:rFonts w:ascii="Times New Roman" w:hAnsi="Times New Roman" w:eastAsia="Times New Roman"/>
          <w:b w:val="0"/>
          <w:i w:val="0"/>
        </w:rPr>
        <w:t xml:space="preserve"> v1.2.0 (Morrison et al., 2020): correlated-pleiotropy model fitting (</w:t>
      </w:r>
      <w:r>
        <w:rPr>
          <w:rFonts w:ascii="Times New Roman" w:hAnsi="Times New Roman" w:eastAsia="Times New Roman"/>
          <w:b w:val="0"/>
          <w:i/>
        </w:rPr>
        <w:t>q</w:t>
      </w:r>
      <w:r>
        <w:rPr>
          <w:rFonts w:ascii="Times New Roman" w:hAnsi="Times New Roman" w:eastAsia="Times New Roman"/>
          <w:b w:val="0"/>
          <w:i w:val="0"/>
        </w:rPr>
        <w:t xml:space="preserve"> and </w:t>
      </w:r>
      <w:r>
        <w:rPr>
          <w:rFonts w:ascii="Times New Roman" w:hAnsi="Times New Roman" w:eastAsia="Times New Roman"/>
          <w:b w:val="0"/>
          <w:i/>
        </w:rPr>
        <w:t>γ</w:t>
      </w:r>
      <w:r>
        <w:rPr>
          <w:rFonts w:ascii="Times New Roman" w:hAnsi="Times New Roman" w:eastAsia="Times New Roman"/>
          <w:b w:val="0"/>
          <w:i w:val="0"/>
        </w:rPr>
        <w:t xml:space="preserve"> estimates).</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coloc</w:t>
      </w:r>
      <w:r>
        <w:rPr>
          <w:rFonts w:ascii="Times New Roman" w:hAnsi="Times New Roman" w:eastAsia="Times New Roman"/>
          <w:b w:val="0"/>
          <w:i w:val="0"/>
        </w:rPr>
        <w:t xml:space="preserve"> (Giambartolomei et al., 2014): Bayesian colocalization (PPH4).</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GenomicSEM</w:t>
      </w:r>
      <w:r>
        <w:rPr>
          <w:rFonts w:ascii="Times New Roman" w:hAnsi="Times New Roman" w:eastAsia="Times New Roman"/>
          <w:b w:val="0"/>
          <w:i w:val="0"/>
        </w:rPr>
        <w:t xml:space="preserve"> v0.0.5 (Grotzinger et al., 2019) and LDSC (Bulik-Sullivan et al., 2015a): genome-wide genetic correlation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w:t>
      </w:r>
    </w:p>
    <w:p>
      <w:pPr>
        <w:spacing w:before="0" w:after="80" w:line="480" w:lineRule="auto"/>
        <w:ind w:left="425" w:hanging="283"/>
      </w:pPr>
      <w:r>
        <w:rPr>
          <w:rFonts w:ascii="Times New Roman" w:hAnsi="Times New Roman" w:eastAsia="Times New Roman"/>
          <w:b w:val="0"/>
          <w:i w:val="0"/>
        </w:rPr>
        <w:t xml:space="preserve">•  </w:t>
      </w:r>
      <w:r>
        <w:rPr>
          <w:rFonts w:ascii="Consolas" w:hAnsi="Consolas" w:eastAsia="Consolas"/>
          <w:b w:val="0"/>
          <w:i w:val="0"/>
          <w:sz w:val="22"/>
        </w:rPr>
        <w:t>ieugwasr</w:t>
      </w:r>
      <w:r>
        <w:rPr>
          <w:rFonts w:ascii="Times New Roman" w:hAnsi="Times New Roman" w:eastAsia="Times New Roman"/>
          <w:b w:val="0"/>
          <w:i w:val="0"/>
        </w:rPr>
        <w:t xml:space="preserve"> v1.1.0: LD clumping against the 1000 Genomes European reference.</w:t>
      </w:r>
    </w:p>
    <w:p>
      <w:pPr>
        <w:spacing w:before="0" w:after="80" w:line="480" w:lineRule="auto"/>
        <w:ind w:left="425" w:hanging="283"/>
      </w:pPr>
      <w:r>
        <w:rPr>
          <w:rFonts w:ascii="Times New Roman" w:hAnsi="Times New Roman" w:eastAsia="Times New Roman"/>
          <w:b w:val="0"/>
          <w:i w:val="0"/>
        </w:rPr>
        <w:t xml:space="preserve">•  </w:t>
      </w:r>
      <w:r>
        <w:rPr>
          <w:rFonts w:ascii="Times New Roman" w:hAnsi="Times New Roman" w:eastAsia="Times New Roman"/>
          <w:b w:val="0"/>
          <w:i w:val="0"/>
        </w:rPr>
        <w:t xml:space="preserve">Additional data manipulation and Bayesian diagnostic utilities: </w:t>
      </w:r>
      <w:r>
        <w:rPr>
          <w:rFonts w:ascii="Consolas" w:hAnsi="Consolas" w:eastAsia="Consolas"/>
          <w:b w:val="0"/>
          <w:i w:val="0"/>
          <w:sz w:val="22"/>
        </w:rPr>
        <w:t>data.table</w:t>
      </w:r>
      <w:r>
        <w:rPr>
          <w:rFonts w:ascii="Times New Roman" w:hAnsi="Times New Roman" w:eastAsia="Times New Roman"/>
          <w:b w:val="0"/>
          <w:i w:val="0"/>
        </w:rPr>
        <w:t xml:space="preserve"> v1.18.4, </w:t>
      </w:r>
      <w:r>
        <w:rPr>
          <w:rFonts w:ascii="Consolas" w:hAnsi="Consolas" w:eastAsia="Consolas"/>
          <w:b w:val="0"/>
          <w:i w:val="0"/>
          <w:sz w:val="22"/>
        </w:rPr>
        <w:t>dplyr</w:t>
      </w:r>
      <w:r>
        <w:rPr>
          <w:rFonts w:ascii="Times New Roman" w:hAnsi="Times New Roman" w:eastAsia="Times New Roman"/>
          <w:b w:val="0"/>
          <w:i w:val="0"/>
        </w:rPr>
        <w:t xml:space="preserve"> v1.2.1, and </w:t>
      </w:r>
      <w:r>
        <w:rPr>
          <w:rFonts w:ascii="Consolas" w:hAnsi="Consolas" w:eastAsia="Consolas"/>
          <w:b w:val="0"/>
          <w:i w:val="0"/>
          <w:sz w:val="22"/>
        </w:rPr>
        <w:t>loo</w:t>
      </w:r>
      <w:r>
        <w:rPr>
          <w:rFonts w:ascii="Times New Roman" w:hAnsi="Times New Roman" w:eastAsia="Times New Roman"/>
          <w:b w:val="0"/>
          <w:i w:val="0"/>
        </w:rPr>
        <w:t xml:space="preserve"> v2.10.0.</w:t>
      </w:r>
    </w:p>
    <w:p>
      <w:pPr>
        <w:spacing w:before="0" w:after="120" w:line="480" w:lineRule="auto"/>
      </w:pPr>
      <w:r>
        <w:rPr>
          <w:rFonts w:ascii="Times New Roman" w:hAnsi="Times New Roman" w:eastAsia="Times New Roman"/>
          <w:b/>
          <w:i w:val="0"/>
        </w:rPr>
        <w:t>Python components.</w:t>
      </w:r>
      <w:r>
        <w:rPr>
          <w:rFonts w:ascii="Times New Roman" w:hAnsi="Times New Roman" w:eastAsia="Times New Roman"/>
          <w:b w:val="0"/>
          <w:i w:val="0"/>
        </w:rPr>
        <w:t xml:space="preserve"> The simulation data-generating process and gate-scoring engine are implemented in Python using NumPy and SciPy (</w:t>
      </w:r>
      <w:r>
        <w:rPr>
          <w:rFonts w:ascii="Consolas" w:hAnsi="Consolas" w:eastAsia="Consolas"/>
          <w:b w:val="0"/>
          <w:i w:val="0"/>
          <w:sz w:val="22"/>
        </w:rPr>
        <w:t>pyreadr</w:t>
      </w:r>
      <w:r>
        <w:rPr>
          <w:rFonts w:ascii="Times New Roman" w:hAnsi="Times New Roman" w:eastAsia="Times New Roman"/>
          <w:b w:val="0"/>
          <w:i w:val="0"/>
        </w:rPr>
        <w:t xml:space="preserve"> v0.5.6; see archived code), alongside VEP REST-based variant annotation.</w:t>
      </w:r>
    </w:p>
    <w:p>
      <w:pPr>
        <w:spacing w:before="0" w:after="120" w:line="480" w:lineRule="auto"/>
      </w:pPr>
      <w:r>
        <w:rPr>
          <w:rFonts w:ascii="Times New Roman" w:hAnsi="Times New Roman" w:eastAsia="Times New Roman"/>
          <w:b/>
          <w:i w:val="0"/>
        </w:rPr>
        <w:t>Input data requirements.</w:t>
      </w:r>
      <w:r>
        <w:rPr>
          <w:rFonts w:ascii="Times New Roman" w:hAnsi="Times New Roman" w:eastAsia="Times New Roman"/>
          <w:b w:val="0"/>
          <w:i w:val="0"/>
        </w:rPr>
        <w:t xml:space="preserve"> Pipeline execution requires two harmonized, same-build (GRCh37) GWAS summary-statistics files per trait pair. Each file must contain the effect allele, other allele, effect size, standard error (or OR and CI), </w:t>
      </w:r>
      <w:r>
        <w:rPr>
          <w:rFonts w:ascii="Times New Roman" w:hAnsi="Times New Roman" w:eastAsia="Times New Roman"/>
          <w:b w:val="0"/>
          <w:i/>
        </w:rPr>
        <w:t>P</w:t>
      </w:r>
      <w:r>
        <w:rPr>
          <w:rFonts w:ascii="Times New Roman" w:hAnsi="Times New Roman" w:eastAsia="Times New Roman"/>
          <w:b w:val="0"/>
          <w:i w:val="0"/>
        </w:rPr>
        <w:t>-value, total sample size, and case–control counts where applicable. LD reference panels must match the genomic build of the input GWAS.</w:t>
      </w:r>
    </w:p>
    <w:p>
      <w:pPr>
        <w:spacing w:before="0" w:after="120" w:line="480" w:lineRule="auto"/>
      </w:pPr>
      <w:r>
        <w:rPr>
          <w:rFonts w:ascii="Times New Roman" w:hAnsi="Times New Roman" w:eastAsia="Times New Roman"/>
          <w:b/>
          <w:i w:val="0"/>
        </w:rPr>
        <w:t>Public data repositories.</w:t>
      </w:r>
      <w:r>
        <w:rPr>
          <w:rFonts w:ascii="Times New Roman" w:hAnsi="Times New Roman" w:eastAsia="Times New Roman"/>
          <w:b w:val="0"/>
          <w:i w:val="0"/>
        </w:rPr>
        <w:t xml:space="preserve"> Proof-of-concept applications utilize public summary statistics (obtained from IEU OpenGWAS unless noted): insomnia, ukb-b-3957 (UK Biobank; Sudlow et al., 2015, </w:t>
      </w:r>
      <w:r>
        <w:rPr>
          <w:rFonts w:ascii="Times New Roman" w:hAnsi="Times New Roman" w:eastAsia="Times New Roman"/>
          <w:b w:val="0"/>
          <w:i/>
        </w:rPr>
        <w:t>n</w:t>
      </w:r>
      <w:r>
        <w:rPr>
          <w:rFonts w:ascii="Times New Roman" w:hAnsi="Times New Roman" w:eastAsia="Times New Roman"/>
          <w:b w:val="0"/>
          <w:i w:val="0"/>
        </w:rPr>
        <w:t xml:space="preserve"> = 462,341</w:t>
      </w:r>
      <w:r>
        <w:rPr>
          <w:rFonts w:ascii="Times New Roman" w:hAnsi="Times New Roman" w:eastAsia="Times New Roman"/>
          <w:b w:val="0"/>
          <w:i w:val="0"/>
        </w:rPr>
        <w:t xml:space="preserve">); AD, ieu-b-2 (Kunkle et al., 2019; 21,982 cases, 41,944 controls) and ebi-a-GCST90027158 (Bellenguez et al., 2022; 85,934 cases, 401,577 controls); educational attainment, ieu-a-1239 (Lee et al., 2018; </w:t>
      </w:r>
      <w:r>
        <w:rPr>
          <w:rFonts w:ascii="Times New Roman" w:hAnsi="Times New Roman" w:eastAsia="Times New Roman"/>
          <w:b w:val="0"/>
          <w:i/>
        </w:rPr>
        <w:t>n</w:t>
      </w:r>
      <w:r>
        <w:rPr>
          <w:rFonts w:ascii="Times New Roman" w:hAnsi="Times New Roman" w:eastAsia="Times New Roman"/>
          <w:b w:val="0"/>
          <w:i w:val="0"/>
        </w:rPr>
        <w:t xml:space="preserve"> = 766,345</w:t>
      </w:r>
      <w:r>
        <w:rPr>
          <w:rFonts w:ascii="Times New Roman" w:hAnsi="Times New Roman" w:eastAsia="Times New Roman"/>
          <w:b w:val="0"/>
          <w:i w:val="0"/>
        </w:rPr>
        <w:t>); and East Asian AD, GARD NG00182 (</w:t>
      </w:r>
      <w:r>
        <w:rPr>
          <w:rFonts w:ascii="Times New Roman" w:hAnsi="Times New Roman" w:eastAsia="Times New Roman"/>
          <w:b w:val="0"/>
          <w:i/>
        </w:rPr>
        <w:t>n</w:t>
      </w:r>
      <w:r>
        <w:rPr>
          <w:rFonts w:ascii="Times New Roman" w:hAnsi="Times New Roman" w:eastAsia="Times New Roman"/>
          <w:b w:val="0"/>
          <w:i w:val="0"/>
        </w:rPr>
        <w:t xml:space="preserve"> = 6,518</w:t>
      </w:r>
      <w:r>
        <w:rPr>
          <w:rFonts w:ascii="Times New Roman" w:hAnsi="Times New Roman" w:eastAsia="Times New Roman"/>
          <w:b w:val="0"/>
          <w:i w:val="0"/>
        </w:rPr>
        <w:t>; 2,919 cases) alongside BioBank Japan outcomes (Table 3).</w:t>
      </w:r>
    </w:p>
    <w:p>
      <w:pPr>
        <w:spacing w:before="0" w:after="120" w:line="480" w:lineRule="auto"/>
      </w:pPr>
      <w:r>
        <w:rPr>
          <w:rFonts w:ascii="Times New Roman" w:hAnsi="Times New Roman" w:eastAsia="Times New Roman"/>
          <w:b/>
          <w:i w:val="0"/>
        </w:rPr>
        <w:t>Archived framework.</w:t>
      </w:r>
      <w:r>
        <w:rPr>
          <w:rFonts w:ascii="Times New Roman" w:hAnsi="Times New Roman" w:eastAsia="Times New Roman"/>
          <w:b w:val="0"/>
          <w:i w:val="0"/>
        </w:rPr>
        <w:t xml:space="preserve"> Simulation outputs, executable pipeline scripts, and the grading rubric are archived at Zenodo (DOI 10.5281/zenodo.23733172). Source code and documentation are hosted on GitHub (ming13333/iad-falsification-framework).</w:t>
      </w:r>
    </w:p>
    <w:p>
      <w:pPr>
        <w:spacing w:before="360" w:after="160" w:line="240" w:lineRule="auto"/>
      </w:pPr>
      <w:r>
        <w:rPr>
          <w:rFonts w:ascii="Times New Roman" w:hAnsi="Times New Roman" w:eastAsia="Times New Roman"/>
          <w:b/>
          <w:i w:val="0"/>
          <w:sz w:val="28"/>
        </w:rPr>
        <w:t>Methods</w:t>
      </w:r>
    </w:p>
    <w:p>
      <w:pPr>
        <w:spacing w:before="280" w:after="120" w:line="240" w:lineRule="auto"/>
      </w:pPr>
      <w:r>
        <w:rPr>
          <w:rFonts w:ascii="Times New Roman" w:hAnsi="Times New Roman" w:eastAsia="Times New Roman"/>
          <w:b/>
          <w:i/>
          <w:sz w:val="24"/>
        </w:rPr>
        <w:t>Objectives and validation of the method</w:t>
      </w:r>
    </w:p>
    <w:p>
      <w:pPr>
        <w:spacing w:before="0" w:after="120" w:line="480" w:lineRule="auto"/>
      </w:pPr>
      <w:r>
        <w:rPr>
          <w:rFonts w:ascii="Times New Roman" w:hAnsi="Times New Roman" w:eastAsia="Times New Roman"/>
          <w:b/>
          <w:i w:val="0"/>
        </w:rPr>
        <w:t>Terminology.</w:t>
      </w:r>
      <w:r>
        <w:rPr>
          <w:rFonts w:ascii="Times New Roman" w:hAnsi="Times New Roman" w:eastAsia="Times New Roman"/>
          <w:b w:val="0"/>
          <w:i w:val="0"/>
        </w:rPr>
        <w:t xml:space="preserve"> Three terms are used consistently throughout. A </w:t>
      </w:r>
      <w:r>
        <w:rPr>
          <w:rFonts w:ascii="Times New Roman" w:hAnsi="Times New Roman" w:eastAsia="Times New Roman"/>
          <w:b w:val="0"/>
          <w:i/>
        </w:rPr>
        <w:t>causal claim</w:t>
      </w:r>
      <w:r>
        <w:rPr>
          <w:rFonts w:ascii="Times New Roman" w:hAnsi="Times New Roman" w:eastAsia="Times New Roman"/>
          <w:b w:val="0"/>
          <w:i w:val="0"/>
        </w:rPr>
        <w:t xml:space="preserve"> is the hypothesis under test — for instance, that liability to insomnia raises AD risk — and is a proposition rather than a finding. An </w:t>
      </w:r>
      <w:r>
        <w:rPr>
          <w:rFonts w:ascii="Times New Roman" w:hAnsi="Times New Roman" w:eastAsia="Times New Roman"/>
          <w:b w:val="0"/>
          <w:i/>
        </w:rPr>
        <w:t>association</w:t>
      </w:r>
      <w:r>
        <w:rPr>
          <w:rFonts w:ascii="Times New Roman" w:hAnsi="Times New Roman" w:eastAsia="Times New Roman"/>
          <w:b w:val="0"/>
          <w:i w:val="0"/>
        </w:rPr>
        <w:t xml:space="preserve"> is the observed statistical relationship between genetically proxied exposure and outcome, reported with its estimate and interval and carrying no causal commitment. A </w:t>
      </w:r>
      <w:r>
        <w:rPr>
          <w:rFonts w:ascii="Times New Roman" w:hAnsi="Times New Roman" w:eastAsia="Times New Roman"/>
          <w:b w:val="0"/>
          <w:i/>
        </w:rPr>
        <w:t>directed effect</w:t>
      </w:r>
      <w:r>
        <w:rPr>
          <w:rFonts w:ascii="Times New Roman" w:hAnsi="Times New Roman" w:eastAsia="Times New Roman"/>
          <w:b w:val="0"/>
          <w:i w:val="0"/>
        </w:rPr>
        <w:t xml:space="preserve"> is the causal quantity that MR targets under its three core assumptions. A claim is falsified when the evidence contradicts the directed effect it asserts, and unsupported when the available data cannot resolve it; the framework scores these differently, as described under Gate G6 and in the precision section.</w:t>
      </w:r>
    </w:p>
    <w:p>
      <w:pPr>
        <w:spacing w:before="0" w:after="120" w:line="480" w:lineRule="auto"/>
      </w:pPr>
      <w:r>
        <w:rPr>
          <w:rFonts w:ascii="Times New Roman" w:hAnsi="Times New Roman" w:eastAsia="Times New Roman"/>
          <w:b w:val="0"/>
          <w:i w:val="0"/>
        </w:rPr>
        <w:t>The framework converts a directional Mendelian randomization (MR) claim into a graded verdict with a calibrated numerical basis. Methodological validation comprises two parts. First, a simulation-based assessment evaluates the gate-scoring procedure through proxy gate implementations under known ground truth (see the simulation-based validation below), characterising the operating characteristics of the score-to-grade mapping prior to application. Second, an empirical evaluation uses the insomnia–Alzheimer's disease trait pair (see the proof-of-concept application) to evaluate performance on a recognized edge case. Threshold policies are established before execution of either evaluation and remain fixed throughout.</w:t>
      </w:r>
    </w:p>
    <w:p>
      <w:pPr>
        <w:spacing w:before="280" w:after="120" w:line="240" w:lineRule="auto"/>
      </w:pPr>
      <w:r>
        <w:rPr>
          <w:rFonts w:ascii="Times New Roman" w:hAnsi="Times New Roman" w:eastAsia="Times New Roman"/>
          <w:b/>
          <w:i/>
          <w:sz w:val="24"/>
        </w:rPr>
        <w:t>The six gates</w:t>
      </w:r>
    </w:p>
    <w:p>
      <w:pPr>
        <w:spacing w:before="0" w:after="120" w:line="480" w:lineRule="auto"/>
      </w:pPr>
      <w:r>
        <w:rPr>
          <w:rFonts w:ascii="Times New Roman" w:hAnsi="Times New Roman" w:eastAsia="Times New Roman"/>
          <w:b w:val="0"/>
          <w:i w:val="0"/>
        </w:rPr>
        <w:t>Each gate operationalizes a distinct failure mode of MR inference (Figure 1, Table 1). All gates evaluate identical harmonized summary statistics unless explicitly indicated.</w:t>
      </w:r>
    </w:p>
    <w:p>
      <w:pPr>
        <w:spacing w:before="0" w:after="120" w:line="480" w:lineRule="auto"/>
      </w:pPr>
      <w:r>
        <w:rPr>
          <w:rFonts w:ascii="Times New Roman" w:hAnsi="Times New Roman" w:eastAsia="Times New Roman"/>
          <w:b/>
          <w:i w:val="0"/>
        </w:rPr>
        <w:t>Gate G1 (association, screening).</w:t>
      </w:r>
      <w:r>
        <w:rPr>
          <w:rFonts w:ascii="Times New Roman" w:hAnsi="Times New Roman" w:eastAsia="Times New Roman"/>
          <w:b w:val="0"/>
          <w:i w:val="0"/>
        </w:rPr>
        <w:t xml:space="preserve"> An unclumped inverse-variance weighted (IVW) estimate tests for initial signal presence. Because unclumped estimation uses correlated instruments, precision reflects instrument count rather than biological signal. Gate G1 therefore uses a liberal threshold (</w:t>
      </w:r>
      <w:r>
        <w:rPr>
          <w:rFonts w:ascii="Times New Roman" w:hAnsi="Times New Roman" w:eastAsia="Times New Roman"/>
          <w:b w:val="0"/>
          <w:i/>
        </w:rPr>
        <w:t>P</w:t>
      </w:r>
      <w:r>
        <w:rPr>
          <w:rFonts w:ascii="Times New Roman" w:hAnsi="Times New Roman" w:eastAsia="Times New Roman"/>
          <w:b w:val="0"/>
          <w:i w:val="0"/>
        </w:rPr>
        <w:t xml:space="preserve"> &lt; 0.05</w:t>
      </w:r>
      <w:r>
        <w:rPr>
          <w:rFonts w:ascii="Times New Roman" w:hAnsi="Times New Roman" w:eastAsia="Times New Roman"/>
          <w:b w:val="0"/>
          <w:i w:val="0"/>
        </w:rPr>
        <w:t>) to identify candidates for falsification rather than to establish a causal verdict. Score: 2 if the unclumped IVW estimate is nominally significant in the claimed direction, 0 otherwise. G1 is a screening gate and is scored dichotomously; no partial credit is awarded. Where G1 = 0, gates G2–G6 are uninformative and the case receives a total score of 0 (Grade D).</w:t>
      </w:r>
    </w:p>
    <w:p>
      <w:pPr>
        <w:spacing w:before="0" w:after="120" w:line="480" w:lineRule="auto"/>
      </w:pPr>
      <w:r>
        <w:rPr>
          <w:rFonts w:ascii="Times New Roman" w:hAnsi="Times New Roman" w:eastAsia="Times New Roman"/>
          <w:b/>
          <w:i w:val="0"/>
        </w:rPr>
        <w:t>Gate G2 (robustness).</w:t>
      </w:r>
      <w:r>
        <w:rPr>
          <w:rFonts w:ascii="Times New Roman" w:hAnsi="Times New Roman" w:eastAsia="Times New Roman"/>
          <w:b w:val="0"/>
          <w:i w:val="0"/>
        </w:rPr>
        <w:t xml:space="preserve"> The primary signal must survive three distinct corrections: (i) linkage disequilibrium (LD) clumping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xml:space="preserve">, 10,000-kb window, 1000 Genomes EUR reference; Auton et al., 2015; a stricter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xml:space="preserve"> tier is reported alongside in Supplementary Table S11), (ii) sample-overlap correction via MRlap using the cross-trait LD score regression (LDSC) intercept, and (iii) correlated-pleiotropy partitioning via CAUSE. A directional reversal, shifting from positive to null or negative following clumping, falsifies the claim regardless of the unclumped result. Because clumping alters both the point estimate and its variance, instrument-tier sensitivity is reported tier by tier — unclumped,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xml:space="preserve">, and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xml:space="preserve"> — so that the change in precision is visible alongside the change in direction (Supplementary Table S11). Robust estimation complements clumped IVW. MR-Egger regression tests for directional pleiotropy (Bowden et al., 2015), the weighted median remains consistent when up to half of the instruments are invalid (Bowden et al., 2016), and the mode-based estimator provides a further consistency check (Hartwig et al., 2017). Score: 2 only if the clumped IVW estimate remains significant in the claimed direction, without a directional MR-Egger intercept (</w:t>
      </w:r>
      <w:r>
        <w:rPr>
          <w:rFonts w:ascii="Times New Roman" w:hAnsi="Times New Roman" w:eastAsia="Times New Roman"/>
          <w:b w:val="0"/>
          <w:i/>
        </w:rPr>
        <w:t>P</w:t>
      </w:r>
      <w:r>
        <w:rPr>
          <w:rFonts w:ascii="Times New Roman" w:hAnsi="Times New Roman" w:eastAsia="Times New Roman"/>
          <w:b w:val="0"/>
          <w:i w:val="0"/>
        </w:rPr>
        <w:t xml:space="preserve"> ≥ 0.05</w:t>
      </w:r>
      <w:r>
        <w:rPr>
          <w:rFonts w:ascii="Times New Roman" w:hAnsi="Times New Roman" w:eastAsia="Times New Roman"/>
          <w:b w:val="0"/>
          <w:i w:val="0"/>
        </w:rPr>
        <w:t xml:space="preserve">) or excessive heterogeneity (Cochran </w:t>
      </w:r>
      <w:r>
        <w:rPr>
          <w:rFonts w:ascii="Times New Roman" w:hAnsi="Times New Roman" w:eastAsia="Times New Roman"/>
          <w:b w:val="0"/>
          <w:i/>
        </w:rPr>
        <w:t>Q</w:t>
      </w:r>
      <w:r>
        <w:rPr>
          <w:rFonts w:ascii="Times New Roman" w:hAnsi="Times New Roman" w:eastAsia="Times New Roman"/>
          <w:b w:val="0"/>
          <w:i w:val="0"/>
        </w:rPr>
        <w:t xml:space="preserve"> test </w:t>
      </w:r>
      <w:r>
        <w:rPr>
          <w:rFonts w:ascii="Times New Roman" w:hAnsi="Times New Roman" w:eastAsia="Times New Roman"/>
          <w:b w:val="0"/>
          <w:i/>
        </w:rPr>
        <w:t>P</w:t>
      </w:r>
      <w:r>
        <w:rPr>
          <w:rFonts w:ascii="Times New Roman" w:hAnsi="Times New Roman" w:eastAsia="Times New Roman"/>
          <w:b w:val="0"/>
          <w:i w:val="0"/>
        </w:rPr>
        <w:t xml:space="preserve"> ≥ 0.05</w:t>
      </w:r>
      <w:r>
        <w:rPr>
          <w:rFonts w:ascii="Times New Roman" w:hAnsi="Times New Roman" w:eastAsia="Times New Roman"/>
          <w:b w:val="0"/>
          <w:i w:val="0"/>
        </w:rPr>
        <w:t xml:space="preserve">); 1 where the clumped estimate remains significant in the claimed direction but at least one of the three diagnostics fails (Egger intercept </w:t>
      </w:r>
      <w:r>
        <w:rPr>
          <w:rFonts w:ascii="Times New Roman" w:hAnsi="Times New Roman" w:eastAsia="Times New Roman"/>
          <w:b w:val="0"/>
          <w:i/>
        </w:rPr>
        <w:t>P</w:t>
      </w:r>
      <w:r>
        <w:rPr>
          <w:rFonts w:ascii="Times New Roman" w:hAnsi="Times New Roman" w:eastAsia="Times New Roman"/>
          <w:b w:val="0"/>
          <w:i w:val="0"/>
        </w:rPr>
        <w:t xml:space="preserve"> &lt; 0.05</w:t>
      </w:r>
      <w:r>
        <w:rPr>
          <w:rFonts w:ascii="Times New Roman" w:hAnsi="Times New Roman" w:eastAsia="Times New Roman"/>
          <w:b w:val="0"/>
          <w:i w:val="0"/>
        </w:rPr>
        <w:t xml:space="preserve">, Cochran </w:t>
      </w:r>
      <w:r>
        <w:rPr>
          <w:rFonts w:ascii="Times New Roman" w:hAnsi="Times New Roman" w:eastAsia="Times New Roman"/>
          <w:b w:val="0"/>
          <w:i/>
        </w:rPr>
        <w:t>Q</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&lt; 0.05</w:t>
      </w:r>
      <w:r>
        <w:rPr>
          <w:rFonts w:ascii="Times New Roman" w:hAnsi="Times New Roman" w:eastAsia="Times New Roman"/>
          <w:b w:val="0"/>
          <w:i w:val="0"/>
        </w:rPr>
        <w:t>, or a weighted-median estimate that is not directionally concordant); 0 where the clumped estimate is null or directionally reversed, or where fewer than three independent instruments remain.</w:t>
      </w:r>
    </w:p>
    <w:p>
      <w:pPr>
        <w:spacing w:before="0" w:after="120" w:line="480" w:lineRule="auto"/>
      </w:pPr>
      <w:r>
        <w:rPr>
          <w:rFonts w:ascii="Times New Roman" w:hAnsi="Times New Roman" w:eastAsia="Times New Roman"/>
          <w:b/>
          <w:i w:val="0"/>
        </w:rPr>
        <w:t>What each correction operates on.</w:t>
      </w:r>
      <w:r>
        <w:rPr>
          <w:rFonts w:ascii="Times New Roman" w:hAnsi="Times New Roman" w:eastAsia="Times New Roman"/>
          <w:b w:val="0"/>
          <w:i w:val="0"/>
        </w:rPr>
        <w:t xml:space="preserve"> Only LD clumping changes the instrument set. MR-Egger, Cochran's </w:t>
      </w:r>
      <w:r>
        <w:rPr>
          <w:rFonts w:ascii="Times New Roman" w:hAnsi="Times New Roman" w:eastAsia="Times New Roman"/>
          <w:b w:val="0"/>
          <w:i/>
        </w:rPr>
        <w:t>Q</w:t>
      </w:r>
      <w:r>
        <w:rPr>
          <w:rFonts w:ascii="Times New Roman" w:hAnsi="Times New Roman" w:eastAsia="Times New Roman"/>
          <w:b w:val="0"/>
          <w:i w:val="0"/>
        </w:rPr>
        <w:t xml:space="preserve">, the weighted median and the mode-based estimator are post-estimation diagnostics computed on the clumped set and remove no variants. MRlap re-estimates the effect from the full shared-variant set, pruning by LD internally. CAUSE fits its correlated-pleiotropy model to variants selected by exposure </w:t>
      </w:r>
      <w:r>
        <w:rPr>
          <w:rFonts w:ascii="Times New Roman" w:hAnsi="Times New Roman" w:eastAsia="Times New Roman"/>
          <w:b w:val="0"/>
          <w:i/>
        </w:rPr>
        <w:t>P</w:t>
      </w:r>
      <w:r>
        <w:rPr>
          <w:rFonts w:ascii="Times New Roman" w:hAnsi="Times New Roman" w:eastAsia="Times New Roman"/>
          <w:b w:val="0"/>
          <w:i w:val="0"/>
        </w:rPr>
        <w:t xml:space="preserve"> &lt;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and is not restricted to clumped instruments. The three corrections therefore interrogate the same claim from different directions rather than filtering variants in sequence, and Gate G2 requires that the clumped estimate survive all three readings. In the worked example, MRlap used the shared-variant set and CAUSE used 15,564 pre-filtered variants with 1,000 MCMC samples; neither is a re-analysis of the 54 clumped instruments.</w:t>
      </w:r>
    </w:p>
    <w:p>
      <w:pPr>
        <w:spacing w:before="0" w:after="120" w:line="480" w:lineRule="auto"/>
      </w:pPr>
      <w:r>
        <w:rPr>
          <w:rFonts w:ascii="Times New Roman" w:hAnsi="Times New Roman" w:eastAsia="Times New Roman"/>
          <w:b/>
          <w:i w:val="0"/>
        </w:rPr>
        <w:t>Gate G3 (genetic architecture).</w:t>
      </w:r>
      <w:r>
        <w:rPr>
          <w:rFonts w:ascii="Times New Roman" w:hAnsi="Times New Roman" w:eastAsia="Times New Roman"/>
          <w:b w:val="0"/>
          <w:i w:val="0"/>
        </w:rPr>
        <w:t xml:space="preserve"> LDSC tests genome-wide genetic correlation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Bulik-Sullivan et al., 2015a), interpreted against the cross-trait atlas of genetic correlations (Bulik-Sullivan et al., 2015b). Bayesian colocalization (</w:t>
      </w:r>
      <w:r>
        <w:rPr>
          <w:rFonts w:ascii="Consolas" w:hAnsi="Consolas" w:eastAsia="Consolas"/>
          <w:b w:val="0"/>
          <w:i w:val="0"/>
          <w:sz w:val="22"/>
        </w:rPr>
        <w:t>coloc</w:t>
      </w:r>
      <w:r>
        <w:rPr>
          <w:rFonts w:ascii="Times New Roman" w:hAnsi="Times New Roman" w:eastAsia="Times New Roman"/>
          <w:b w:val="0"/>
          <w:i w:val="0"/>
        </w:rPr>
        <w:t xml:space="preserve">, </w:t>
      </w:r>
      <w:r>
        <w:rPr>
          <w:rFonts w:ascii="Times New Roman" w:hAnsi="Times New Roman" w:eastAsia="Times New Roman"/>
          <w:b w:val="0"/>
          <w:i/>
        </w:rPr>
        <w:t>PP</w:t>
      </w:r>
      <w:r>
        <w:rPr>
          <w:rFonts w:ascii="Times New Roman" w:hAnsi="Times New Roman" w:eastAsia="Times New Roman"/>
          <w:b w:val="0"/>
          <w:i w:val="0"/>
        </w:rPr>
        <w:t>.</w:t>
      </w:r>
      <w:r>
        <w:rPr>
          <w:rFonts w:ascii="Times New Roman" w:hAnsi="Times New Roman" w:eastAsia="Times New Roman"/>
          <w:b w:val="0"/>
          <w:i/>
        </w:rPr>
        <w:t>H</w:t>
      </w:r>
      <w:r>
        <w:rPr>
          <w:rFonts w:ascii="Times New Roman" w:hAnsi="Times New Roman" w:eastAsia="Times New Roman"/>
          <w:b w:val="0"/>
          <w:i w:val="0"/>
        </w:rPr>
        <w:t>4 ≥ 0.80</w:t>
      </w:r>
      <w:r>
        <w:rPr>
          <w:rFonts w:ascii="Times New Roman" w:hAnsi="Times New Roman" w:eastAsia="Times New Roman"/>
          <w:b w:val="0"/>
          <w:i w:val="0"/>
        </w:rPr>
        <w:t xml:space="preserve">) evaluates locus-specific variant sharing. Shared liability restricted to a single region without genome-wide correlation indicates locus-driven confounding rather than a systemic causal pathway. Score: 2 for an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estimate consistent in direction with the claim (or null) alongside locus-specific sharing at the expected region; 1 where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is direction-consistent (or null) but colocalization was not performed or did not reach </w:t>
      </w:r>
      <w:r>
        <w:rPr>
          <w:rFonts w:ascii="Times New Roman" w:hAnsi="Times New Roman" w:eastAsia="Times New Roman"/>
          <w:b w:val="0"/>
          <w:i w:val="0"/>
        </w:rPr>
        <w:t>PP.H4 ≥ 0.80</w:t>
      </w:r>
      <w:r>
        <w:rPr>
          <w:rFonts w:ascii="Times New Roman" w:hAnsi="Times New Roman" w:eastAsia="Times New Roman"/>
          <w:b w:val="0"/>
          <w:i w:val="0"/>
        </w:rPr>
        <w:t>; 0 for architectural evidence contradicting the claim, or where neither LDSC nor colocalization could be run.</w:t>
      </w:r>
    </w:p>
    <w:p>
      <w:pPr>
        <w:spacing w:before="0" w:after="120" w:line="480" w:lineRule="auto"/>
      </w:pPr>
      <w:r>
        <w:rPr>
          <w:rFonts w:ascii="Times New Roman" w:hAnsi="Times New Roman" w:eastAsia="Times New Roman"/>
          <w:b/>
          <w:i w:val="0"/>
        </w:rPr>
        <w:t>Gate G4 (direct effect).</w:t>
      </w:r>
      <w:r>
        <w:rPr>
          <w:rFonts w:ascii="Times New Roman" w:hAnsi="Times New Roman" w:eastAsia="Times New Roman"/>
          <w:b w:val="0"/>
          <w:i w:val="0"/>
        </w:rPr>
        <w:t xml:space="preserve"> Multivariable MR (Burgess and Thompson, 2015; Sanderson et al., 2019) estimates the direct effect of the exposure conditional on specified confounders (education, depression, and cardiometabolic traits), requiring a conditional </w:t>
      </w:r>
      <w:r>
        <w:rPr>
          <w:rFonts w:ascii="Times New Roman" w:hAnsi="Times New Roman" w:eastAsia="Times New Roman"/>
          <w:b w:val="0"/>
          <w:i/>
        </w:rPr>
        <w:t>F</w:t>
      </w:r>
      <w:r>
        <w:rPr>
          <w:rFonts w:ascii="Times New Roman" w:hAnsi="Times New Roman" w:eastAsia="Times New Roman"/>
          <w:b w:val="0"/>
          <w:i w:val="0"/>
        </w:rPr>
        <w:t xml:space="preserve">-statistic </w:t>
      </w:r>
      <w:r>
        <w:rPr>
          <w:rFonts w:ascii="Times New Roman" w:hAnsi="Times New Roman" w:eastAsia="Times New Roman"/>
          <w:b w:val="0"/>
          <w:i w:val="0"/>
        </w:rPr>
        <w:t>&gt; 10</w:t>
      </w:r>
      <w:r>
        <w:rPr>
          <w:rFonts w:ascii="Times New Roman" w:hAnsi="Times New Roman" w:eastAsia="Times New Roman"/>
          <w:b w:val="0"/>
          <w:i w:val="0"/>
        </w:rPr>
        <w:t xml:space="preserve"> for instrument strength. Confounders are not selected automatically: they are traits for which published evidence supports an association with both the exposure and the outcome, restricted to those with an available large GWAS. For insomnia, educational attainment, major depression and LDL cholesterol each predict AD risk and each correlate with insomnia liability, so each must be held constant before a direct effect can be attributed to insomnia. A confounder set chosen this way is necessarily incomplete, and an omitted confounder leaves the direct effect partly unadjusted; G4 therefore tests whether a claim survives adjustment for a specified set, not whether a true direct effect exists. The </w:t>
      </w:r>
      <w:r>
        <w:rPr>
          <w:rFonts w:ascii="Times New Roman" w:hAnsi="Times New Roman" w:eastAsia="Times New Roman"/>
          <w:b w:val="0"/>
          <w:i/>
        </w:rPr>
        <w:t>F</w:t>
      </w:r>
      <w:r>
        <w:rPr>
          <w:rFonts w:ascii="Times New Roman" w:hAnsi="Times New Roman" w:eastAsia="Times New Roman"/>
          <w:b w:val="0"/>
          <w:i w:val="0"/>
        </w:rPr>
        <w:t xml:space="preserve"> threshold sits here rather than at G1 because the two statistics measure different things. The unconditional </w:t>
      </w:r>
      <w:r>
        <w:rPr>
          <w:rFonts w:ascii="Times New Roman" w:hAnsi="Times New Roman" w:eastAsia="Times New Roman"/>
          <w:b w:val="0"/>
          <w:i/>
        </w:rPr>
        <w:t>F</w:t>
      </w:r>
      <w:r>
        <w:rPr>
          <w:rFonts w:ascii="Times New Roman" w:hAnsi="Times New Roman" w:eastAsia="Times New Roman"/>
          <w:b w:val="0"/>
          <w:i w:val="0"/>
        </w:rPr>
        <w:t xml:space="preserve"> at instrument selection (mean </w:t>
      </w:r>
      <w:r>
        <w:rPr>
          <w:rFonts w:ascii="Times New Roman" w:hAnsi="Times New Roman" w:eastAsia="Times New Roman"/>
          <w:b w:val="0"/>
          <w:i/>
        </w:rPr>
        <w:t>F</w:t>
      </w:r>
      <w:r>
        <w:rPr>
          <w:rFonts w:ascii="Times New Roman" w:hAnsi="Times New Roman" w:eastAsia="Times New Roman"/>
          <w:b w:val="0"/>
          <w:i w:val="0"/>
        </w:rPr>
        <w:t xml:space="preserve"> = 44.3</w:t>
      </w:r>
      <w:r>
        <w:rPr>
          <w:rFonts w:ascii="Times New Roman" w:hAnsi="Times New Roman" w:eastAsia="Times New Roman"/>
          <w:b w:val="0"/>
          <w:i w:val="0"/>
        </w:rPr>
        <w:t xml:space="preserve">, minimum </w:t>
      </w:r>
      <w:r>
        <w:rPr>
          <w:rFonts w:ascii="Times New Roman" w:hAnsi="Times New Roman" w:eastAsia="Times New Roman"/>
          <w:b w:val="0"/>
          <w:i w:val="0"/>
        </w:rPr>
        <w:t>29.8</w:t>
      </w:r>
      <w:r>
        <w:rPr>
          <w:rFonts w:ascii="Times New Roman" w:hAnsi="Times New Roman" w:eastAsia="Times New Roman"/>
          <w:b w:val="0"/>
          <w:i w:val="0"/>
        </w:rPr>
        <w:t xml:space="preserve"> in the worked example) measures whether a variant predicts the exposure. The conditional </w:t>
      </w:r>
      <w:r>
        <w:rPr>
          <w:rFonts w:ascii="Times New Roman" w:hAnsi="Times New Roman" w:eastAsia="Times New Roman"/>
          <w:b w:val="0"/>
          <w:i/>
        </w:rPr>
        <w:t>F</w:t>
      </w:r>
      <w:r>
        <w:rPr>
          <w:rFonts w:ascii="Times New Roman" w:hAnsi="Times New Roman" w:eastAsia="Times New Roman"/>
          <w:b w:val="0"/>
          <w:i w:val="0"/>
        </w:rPr>
        <w:t xml:space="preserve"> measures whether, inside the multivariable model, the exposure retains genetic variation not already explained by the other exposures; it is undefined until that model exists and therefore cannot be applied at G1 or G2. Because conditional </w:t>
      </w:r>
      <w:r>
        <w:rPr>
          <w:rFonts w:ascii="Times New Roman" w:hAnsi="Times New Roman" w:eastAsia="Times New Roman"/>
          <w:b w:val="0"/>
          <w:i/>
        </w:rPr>
        <w:t>F</w:t>
      </w:r>
      <w:r>
        <w:rPr>
          <w:rFonts w:ascii="Times New Roman" w:hAnsi="Times New Roman" w:eastAsia="Times New Roman"/>
          <w:b w:val="0"/>
          <w:i w:val="0"/>
        </w:rPr>
        <w:t xml:space="preserve"> falls as exposures become genetically correlated, its collapse identifies conditional weak instruments whose origin is collinearity, not a failure of unconditional instrument relevance. Score: 2 for a significant direct effect in the claimed direction with conditional </w:t>
      </w:r>
      <w:r>
        <w:rPr>
          <w:rFonts w:ascii="Times New Roman" w:hAnsi="Times New Roman" w:eastAsia="Times New Roman"/>
          <w:b w:val="0"/>
          <w:i/>
        </w:rPr>
        <w:t>F</w:t>
      </w:r>
      <w:r>
        <w:rPr>
          <w:rFonts w:ascii="Times New Roman" w:hAnsi="Times New Roman" w:eastAsia="Times New Roman"/>
          <w:b w:val="0"/>
          <w:i w:val="0"/>
        </w:rPr>
        <w:t xml:space="preserve"> &gt; 10</w:t>
      </w:r>
      <w:r>
        <w:rPr>
          <w:rFonts w:ascii="Times New Roman" w:hAnsi="Times New Roman" w:eastAsia="Times New Roman"/>
          <w:b w:val="0"/>
          <w:i w:val="0"/>
        </w:rPr>
        <w:t xml:space="preserve">; 1 where the multivariable model is estimable (conditional </w:t>
      </w:r>
      <w:r>
        <w:rPr>
          <w:rFonts w:ascii="Times New Roman" w:hAnsi="Times New Roman" w:eastAsia="Times New Roman"/>
          <w:b w:val="0"/>
          <w:i/>
        </w:rPr>
        <w:t>F</w:t>
      </w:r>
      <w:r>
        <w:rPr>
          <w:rFonts w:ascii="Times New Roman" w:hAnsi="Times New Roman" w:eastAsia="Times New Roman"/>
          <w:b w:val="0"/>
          <w:i w:val="0"/>
        </w:rPr>
        <w:t xml:space="preserve"> &gt; 10</w:t>
      </w:r>
      <w:r>
        <w:rPr>
          <w:rFonts w:ascii="Times New Roman" w:hAnsi="Times New Roman" w:eastAsia="Times New Roman"/>
          <w:b w:val="0"/>
          <w:i w:val="0"/>
        </w:rPr>
        <w:t xml:space="preserve">) but the direct effect is not significant or runs opposite to the claim; 0 where conditional </w:t>
      </w:r>
      <w:r>
        <w:rPr>
          <w:rFonts w:ascii="Times New Roman" w:hAnsi="Times New Roman" w:eastAsia="Times New Roman"/>
          <w:b w:val="0"/>
          <w:i/>
        </w:rPr>
        <w:t>F</w:t>
      </w:r>
      <w:r>
        <w:rPr>
          <w:rFonts w:ascii="Times New Roman" w:hAnsi="Times New Roman" w:eastAsia="Times New Roman"/>
          <w:b w:val="0"/>
          <w:i w:val="0"/>
        </w:rPr>
        <w:t xml:space="preserve"> ≤ 10</w:t>
      </w:r>
      <w:r>
        <w:rPr>
          <w:rFonts w:ascii="Times New Roman" w:hAnsi="Times New Roman" w:eastAsia="Times New Roman"/>
          <w:b w:val="0"/>
          <w:i w:val="0"/>
        </w:rPr>
        <w:t>, or no direct effect is estimable.</w:t>
      </w:r>
    </w:p>
    <w:p>
      <w:pPr>
        <w:spacing w:before="0" w:after="120" w:line="480" w:lineRule="auto"/>
      </w:pPr>
      <w:r>
        <w:rPr>
          <w:rFonts w:ascii="Times New Roman" w:hAnsi="Times New Roman" w:eastAsia="Times New Roman"/>
          <w:b/>
          <w:i w:val="0"/>
        </w:rPr>
        <w:t>Gate G5 (biological mediation).</w:t>
      </w:r>
      <w:r>
        <w:rPr>
          <w:rFonts w:ascii="Times New Roman" w:hAnsi="Times New Roman" w:eastAsia="Times New Roman"/>
          <w:b w:val="0"/>
          <w:i w:val="0"/>
        </w:rPr>
        <w:t xml:space="preserve"> Two-step MR (Sanderson, 2021a) tests genetically proxied mediators along the exposure</w:t>
      </w:r>
      <w:r>
        <w:rPr>
          <w:rFonts w:ascii="Times New Roman" w:hAnsi="Times New Roman" w:eastAsia="Times New Roman"/>
          <w:b w:val="0"/>
          <w:i w:val="0"/>
        </w:rPr>
        <w:t>→</w:t>
      </w:r>
      <w:r>
        <w:rPr>
          <w:rFonts w:ascii="Times New Roman" w:hAnsi="Times New Roman" w:eastAsia="Times New Roman"/>
          <w:b w:val="0"/>
          <w:i w:val="0"/>
        </w:rPr>
        <w:t>mediator</w:t>
      </w:r>
      <w:r>
        <w:rPr>
          <w:rFonts w:ascii="Times New Roman" w:hAnsi="Times New Roman" w:eastAsia="Times New Roman"/>
          <w:b w:val="0"/>
          <w:i w:val="0"/>
        </w:rPr>
        <w:t>→</w:t>
      </w:r>
      <w:r>
        <w:rPr>
          <w:rFonts w:ascii="Times New Roman" w:hAnsi="Times New Roman" w:eastAsia="Times New Roman"/>
          <w:b w:val="0"/>
          <w:i w:val="0"/>
        </w:rPr>
        <w:t>outcome path, applying Benjamini–Hochberg false discovery rate (FDR) control across the mediator panel and bootstrap confidence intervals for indirect effects. Score: 2 for a significant FDR-corrected indirect effect consistent with the claim; 1 where only one of the two mediation steps is significant; 0 where neither step is significant, where the indirect effect runs opposite to the claim, or where no mediator survives instrument filtering.</w:t>
      </w:r>
    </w:p>
    <w:p>
      <w:pPr>
        <w:spacing w:before="0" w:after="120" w:line="480" w:lineRule="auto"/>
      </w:pPr>
      <w:r>
        <w:rPr>
          <w:rFonts w:ascii="Times New Roman" w:hAnsi="Times New Roman" w:eastAsia="Times New Roman"/>
          <w:b/>
          <w:i w:val="0"/>
        </w:rPr>
        <w:t>Gate G6 (external validation).</w:t>
      </w:r>
      <w:r>
        <w:rPr>
          <w:rFonts w:ascii="Times New Roman" w:hAnsi="Times New Roman" w:eastAsia="Times New Roman"/>
          <w:b w:val="0"/>
          <w:i w:val="0"/>
        </w:rPr>
        <w:t xml:space="preserve"> Directional consistency is evaluated in an independent ancestry cohort and, where feasible, a multi-domain validation cohort across the full grade spectrum. Underpowered tests (achieved power </w:t>
      </w:r>
      <w:r>
        <w:rPr>
          <w:rFonts w:ascii="Times New Roman" w:hAnsi="Times New Roman" w:eastAsia="Times New Roman"/>
          <w:b w:val="0"/>
          <w:i w:val="0"/>
        </w:rPr>
        <w:t>&lt; 80%</w:t>
      </w:r>
      <w:r>
        <w:rPr>
          <w:rFonts w:ascii="Times New Roman" w:hAnsi="Times New Roman" w:eastAsia="Times New Roman"/>
          <w:b w:val="0"/>
          <w:i w:val="0"/>
        </w:rPr>
        <w:t xml:space="preserve">) serve as directional screening only and assign no points. Score: 2 for a cross-ancestry replication that is directionally consistent in the claimed direction </w:t>
      </w:r>
      <w:r>
        <w:rPr>
          <w:rFonts w:ascii="Times New Roman" w:hAnsi="Times New Roman" w:eastAsia="Times New Roman"/>
          <w:b/>
          <w:i w:val="0"/>
        </w:rPr>
        <w:t>and</w:t>
      </w:r>
      <w:r>
        <w:rPr>
          <w:rFonts w:ascii="Times New Roman" w:hAnsi="Times New Roman" w:eastAsia="Times New Roman"/>
          <w:b w:val="0"/>
          <w:i w:val="0"/>
        </w:rPr>
        <w:t xml:space="preserve"> nominally significant at achieved power </w:t>
      </w:r>
      <w:r>
        <w:rPr>
          <w:rFonts w:ascii="Times New Roman" w:hAnsi="Times New Roman" w:eastAsia="Times New Roman"/>
          <w:b w:val="0"/>
          <w:i w:val="0"/>
        </w:rPr>
        <w:t>≥ 80%</w:t>
      </w:r>
      <w:r>
        <w:rPr>
          <w:rFonts w:ascii="Times New Roman" w:hAnsi="Times New Roman" w:eastAsia="Times New Roman"/>
          <w:b w:val="0"/>
          <w:i w:val="0"/>
        </w:rPr>
        <w:t>; 0 otherwise. Directional consistency at a null estimate is a failed replication, not a partial success, because a step powered to detect the claimed effect that returns no effect has not reproduced it. Cases include: null replication, underpowered replication, and unavailable cross-ancestry data. G6 is scored dichotomously, because a directional screen that lacks adequate power cannot support partial credit.</w:t>
      </w:r>
    </w:p>
    <w:p>
      <w:pPr>
        <w:spacing w:before="0" w:after="120" w:line="480" w:lineRule="auto"/>
      </w:pPr>
      <w:r>
        <w:rPr>
          <w:rFonts w:ascii="Times New Roman" w:hAnsi="Times New Roman" w:eastAsia="Times New Roman"/>
          <w:b/>
          <w:i w:val="0"/>
        </w:rPr>
        <w:t>Trans-ethnic re-clumping.</w:t>
      </w:r>
      <w:r>
        <w:rPr>
          <w:rFonts w:ascii="Times New Roman" w:hAnsi="Times New Roman" w:eastAsia="Times New Roman"/>
          <w:b w:val="0"/>
          <w:i w:val="0"/>
        </w:rPr>
        <w:t xml:space="preserve"> The step proceeds as follows: lead variants from the discovery-ancestry analysis are extracted from the target-ancestry summary statistics; an ancestry-matched LD reference panel is used to compute pairwise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among them; variants exceeding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0.001</w:t>
      </w:r>
      <w:r>
        <w:rPr>
          <w:rFonts w:ascii="Times New Roman" w:hAnsi="Times New Roman" w:eastAsia="Times New Roman"/>
          <w:b w:val="0"/>
          <w:i w:val="0"/>
        </w:rPr>
        <w:t xml:space="preserve"> within 10,000 kb are pruned; alleles, strand and frequencies are harmonised; and the IVW estimate is compared with the discovery estimate in sign rather than in magnitude, because allele frequencies and LD structure differ between ancestries. Where no ancestry-matched panel is accessible, the step cannot be completed as specified. In that situation we fit the target-ancestry outcome to European-derived LD-independent instruments and label the result a directional screen that scores no points; the residual LD mismatch is a bias we disclose rather than remove, and because that bias can affect the sign of the estimate as well as its magnitude, the trans-ethnic step is read only for directional concordance and scores no points.</w:t>
      </w:r>
    </w:p>
    <w:p>
      <w:pPr>
        <w:spacing w:before="280" w:after="120" w:line="240" w:lineRule="auto"/>
      </w:pPr>
      <w:r>
        <w:rPr>
          <w:rFonts w:ascii="Times New Roman" w:hAnsi="Times New Roman" w:eastAsia="Times New Roman"/>
          <w:b/>
          <w:i/>
          <w:sz w:val="24"/>
        </w:rPr>
        <w:t>Grading rubric</w:t>
      </w:r>
    </w:p>
    <w:p>
      <w:pPr>
        <w:spacing w:before="0" w:after="120" w:line="480" w:lineRule="auto"/>
      </w:pPr>
      <w:r>
        <w:rPr>
          <w:rFonts w:ascii="Times New Roman" w:hAnsi="Times New Roman" w:eastAsia="Times New Roman"/>
          <w:b w:val="0"/>
          <w:i w:val="0"/>
        </w:rPr>
        <w:t>Cumulative scores range from 0 to 12 points, with G1–G6 each contributing 0–2 points. Two rules override the additive total: a failed G1 zeros the case, because without an association signal the remaining gates are uninformative; and a failed G2 caps the total at 6, because a claim that does not survive LD, overlap and pleiotropy correction is falsified on robustness grounds and cannot be promoted to Grade A by the other gates. Grade A (10–12 points) indicates resistance to falsification, Grade B (7–9 points) indicates support with caveats, Grade C (4–6 points) indicates weak evidence or shared liability, and Grade D (0–3 points) indicates lack of support. The complete grading scheme, including the 1-point tier of each gate and the rationale for liberal screening thresholds and Bayesian posterior limits, is provided in Table 1 and the gate definitions above. In the validation cohort, the rubric was applied twice to the same published evidence summaries (72 gate-level items per pass): a primary pass, and a second pass performed without reference to the first pass's per-gate scores and deliberately stricter on the architecture, mediation and external-validation gates. Agreement between the two passes was quantified with Cohen's κ as a measure of scoring reproducibility, that is, of whether the rubric returns the same grades when identical evidence is read under two different but pre-specified reading policies. κ quantifies the reproducibility of the scoring rule and not the validity of the underlying causal inference (Supplementary Table S8).</w:t>
      </w:r>
    </w:p>
    <w:p>
      <w:pPr>
        <w:spacing w:before="280" w:after="120" w:line="240" w:lineRule="auto"/>
      </w:pPr>
      <w:r>
        <w:rPr>
          <w:rFonts w:ascii="Times New Roman" w:hAnsi="Times New Roman" w:eastAsia="Times New Roman"/>
          <w:b/>
          <w:i/>
          <w:sz w:val="24"/>
        </w:rPr>
        <w:t>Step-by-step execution protocol</w:t>
      </w:r>
    </w:p>
    <w:p>
      <w:pPr>
        <w:spacing w:before="0" w:after="120" w:line="480" w:lineRule="auto"/>
      </w:pPr>
      <w:r>
        <w:rPr>
          <w:rFonts w:ascii="Times New Roman" w:hAnsi="Times New Roman" w:eastAsia="Times New Roman"/>
          <w:b w:val="0"/>
          <w:i w:val="0"/>
        </w:rPr>
        <w:t>The pipeline processes gates in a sequential workflow (Table 4). Intermediate outputs are saved at designated pause points to allow downstream re-analysis without repeating prior calculations.</w:t>
      </w:r>
    </w:p>
    <w:p>
      <w:pPr>
        <w:spacing w:before="0" w:after="120" w:line="480" w:lineRule="auto"/>
        <w:ind w:left="425" w:hanging="425"/>
      </w:pPr>
      <w:r>
        <w:rPr>
          <w:rFonts w:ascii="Times New Roman" w:hAnsi="Times New Roman" w:eastAsia="Times New Roman"/>
          <w:b w:val="0"/>
          <w:i w:val="0"/>
        </w:rPr>
        <w:t xml:space="preserve">1.  </w:t>
      </w:r>
      <w:r>
        <w:rPr>
          <w:rFonts w:ascii="Times New Roman" w:hAnsi="Times New Roman" w:eastAsia="Times New Roman"/>
          <w:b/>
          <w:i w:val="0"/>
        </w:rPr>
        <w:t>Harmonization</w:t>
      </w:r>
      <w:r>
        <w:rPr>
          <w:rFonts w:ascii="Times New Roman" w:hAnsi="Times New Roman" w:eastAsia="Times New Roman"/>
          <w:b w:val="0"/>
          <w:i w:val="0"/>
        </w:rPr>
        <w:t xml:space="preserve"> (</w:t>
      </w:r>
      <w:r>
        <w:rPr>
          <w:rFonts w:ascii="Times New Roman" w:hAnsi="Times New Roman" w:eastAsia="Times New Roman"/>
          <w:b w:val="0"/>
          <w:i w:val="0"/>
        </w:rPr>
        <w:t>≈ 1.5 h</w:t>
      </w:r>
      <w:r>
        <w:rPr>
          <w:rFonts w:ascii="Times New Roman" w:hAnsi="Times New Roman" w:eastAsia="Times New Roman"/>
          <w:b w:val="0"/>
          <w:i w:val="0"/>
        </w:rPr>
        <w:t xml:space="preserve">). Extract instruments at </w:t>
      </w:r>
      <w:r>
        <w:rPr>
          <w:rFonts w:ascii="Times New Roman" w:hAnsi="Times New Roman" w:eastAsia="Times New Roman"/>
          <w:b w:val="0"/>
          <w:i/>
        </w:rPr>
        <w:t>P</w:t>
      </w:r>
      <w:r>
        <w:rPr>
          <w:rFonts w:ascii="Times New Roman" w:hAnsi="Times New Roman" w:eastAsia="Times New Roman"/>
          <w:b w:val="0"/>
          <w:i w:val="0"/>
        </w:rPr>
        <w:t xml:space="preserve"> &lt; 5 × 10</w:t>
      </w:r>
      <w:r>
        <w:rPr>
          <w:rFonts w:ascii="Times New Roman" w:hAnsi="Times New Roman" w:eastAsia="Times New Roman"/>
          <w:b w:val="0"/>
          <w:i w:val="0"/>
          <w:vertAlign w:val="superscript"/>
        </w:rPr>
        <w:t>-8</w:t>
      </w:r>
      <w:r>
        <w:rPr>
          <w:rFonts w:ascii="Times New Roman" w:hAnsi="Times New Roman" w:eastAsia="Times New Roman"/>
          <w:b w:val="0"/>
          <w:i w:val="0"/>
        </w:rPr>
        <w:t xml:space="preserve">; harmonize alleles and strand orientation against the LD reference; align exposure and outcome summary statistics. </w:t>
      </w:r>
      <w:r>
        <w:rPr>
          <w:rFonts w:ascii="Times New Roman" w:hAnsi="Times New Roman" w:eastAsia="Times New Roman"/>
          <w:b w:val="0"/>
          <w:i/>
        </w:rPr>
        <w:t>Pause point 1:</w:t>
      </w:r>
      <w:r>
        <w:rPr>
          <w:rFonts w:ascii="Times New Roman" w:hAnsi="Times New Roman" w:eastAsia="Times New Roman"/>
          <w:b w:val="0"/>
          <w:i w:val="0"/>
        </w:rPr>
        <w:t xml:space="preserve"> save harmonized unclumped instrument set.</w:t>
      </w:r>
    </w:p>
    <w:p>
      <w:pPr>
        <w:spacing w:before="0" w:after="120" w:line="480" w:lineRule="auto"/>
        <w:ind w:left="425" w:hanging="425"/>
      </w:pPr>
      <w:r>
        <w:rPr>
          <w:rFonts w:ascii="Times New Roman" w:hAnsi="Times New Roman" w:eastAsia="Times New Roman"/>
          <w:b w:val="0"/>
          <w:i w:val="0"/>
        </w:rPr>
        <w:t xml:space="preserve">2.  </w:t>
      </w:r>
      <w:r>
        <w:rPr>
          <w:rFonts w:ascii="Times New Roman" w:hAnsi="Times New Roman" w:eastAsia="Times New Roman"/>
          <w:b/>
          <w:i w:val="0"/>
        </w:rPr>
        <w:t>Gate G1</w:t>
      </w:r>
      <w:r>
        <w:rPr>
          <w:rFonts w:ascii="Times New Roman" w:hAnsi="Times New Roman" w:eastAsia="Times New Roman"/>
          <w:b w:val="0"/>
          <w:i w:val="0"/>
        </w:rPr>
        <w:t xml:space="preserve"> (</w:t>
      </w:r>
      <w:r>
        <w:rPr>
          <w:rFonts w:ascii="Times New Roman" w:hAnsi="Times New Roman" w:eastAsia="Times New Roman"/>
          <w:b w:val="0"/>
          <w:i w:val="0"/>
        </w:rPr>
        <w:t>15–30 min</w:t>
      </w:r>
      <w:r>
        <w:rPr>
          <w:rFonts w:ascii="Times New Roman" w:hAnsi="Times New Roman" w:eastAsia="Times New Roman"/>
          <w:b w:val="0"/>
          <w:i w:val="0"/>
        </w:rPr>
        <w:t>). Run unclumped IVW using the full instrument set.</w:t>
      </w:r>
    </w:p>
    <w:p>
      <w:pPr>
        <w:spacing w:before="0" w:after="120" w:line="480" w:lineRule="auto"/>
        <w:ind w:left="425" w:hanging="425"/>
      </w:pPr>
      <w:r>
        <w:rPr>
          <w:rFonts w:ascii="Times New Roman" w:hAnsi="Times New Roman" w:eastAsia="Times New Roman"/>
          <w:b w:val="0"/>
          <w:i w:val="0"/>
        </w:rPr>
        <w:t xml:space="preserve">3.  </w:t>
      </w:r>
      <w:r>
        <w:rPr>
          <w:rFonts w:ascii="Times New Roman" w:hAnsi="Times New Roman" w:eastAsia="Times New Roman"/>
          <w:b/>
          <w:i w:val="0"/>
        </w:rPr>
        <w:t>Gate G2</w:t>
      </w:r>
      <w:r>
        <w:rPr>
          <w:rFonts w:ascii="Times New Roman" w:hAnsi="Times New Roman" w:eastAsia="Times New Roman"/>
          <w:b w:val="0"/>
          <w:i w:val="0"/>
        </w:rPr>
        <w:t xml:space="preserve"> (</w:t>
      </w:r>
      <w:r>
        <w:rPr>
          <w:rFonts w:ascii="Times New Roman" w:hAnsi="Times New Roman" w:eastAsia="Times New Roman"/>
          <w:b w:val="0"/>
          <w:i w:val="0"/>
        </w:rPr>
        <w:t>2–4 h</w:t>
      </w:r>
      <w:r>
        <w:rPr>
          <w:rFonts w:ascii="Times New Roman" w:hAnsi="Times New Roman" w:eastAsia="Times New Roman"/>
          <w:b w:val="0"/>
          <w:i w:val="0"/>
        </w:rPr>
        <w:t xml:space="preserve">, includes CAUSE MCMC fitting). Perform LD clumping at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xml:space="preserve"> within </w:t>
      </w:r>
      <w:r>
        <w:rPr>
          <w:rFonts w:ascii="Times New Roman" w:hAnsi="Times New Roman" w:eastAsia="Times New Roman"/>
          <w:b w:val="0"/>
          <w:i w:val="0"/>
        </w:rPr>
        <w:t>10,000 kb</w:t>
      </w:r>
      <w:r>
        <w:rPr>
          <w:rFonts w:ascii="Times New Roman" w:hAnsi="Times New Roman" w:eastAsia="Times New Roman"/>
          <w:b w:val="0"/>
          <w:i w:val="0"/>
        </w:rPr>
        <w:t xml:space="preserve">, and repeat at the stricter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xml:space="preserve"> tier; re-estimate IVW on clumped instruments; run MR-Egger and Cochran </w:t>
      </w:r>
      <w:r>
        <w:rPr>
          <w:rFonts w:ascii="Times New Roman" w:hAnsi="Times New Roman" w:eastAsia="Times New Roman"/>
          <w:b w:val="0"/>
          <w:i/>
        </w:rPr>
        <w:t>Q</w:t>
      </w:r>
      <w:r>
        <w:rPr>
          <w:rFonts w:ascii="Times New Roman" w:hAnsi="Times New Roman" w:eastAsia="Times New Roman"/>
          <w:b w:val="0"/>
          <w:i w:val="0"/>
        </w:rPr>
        <w:t xml:space="preserve"> tests; calculate MRlap corrections using the cross-trait LDSC intercept; fit CAUSE models. </w:t>
      </w:r>
      <w:r>
        <w:rPr>
          <w:rFonts w:ascii="Times New Roman" w:hAnsi="Times New Roman" w:eastAsia="Times New Roman"/>
          <w:b w:val="0"/>
          <w:i/>
        </w:rPr>
        <w:t>Pause point 2:</w:t>
      </w:r>
      <w:r>
        <w:rPr>
          <w:rFonts w:ascii="Times New Roman" w:hAnsi="Times New Roman" w:eastAsia="Times New Roman"/>
          <w:b w:val="0"/>
          <w:i w:val="0"/>
        </w:rPr>
        <w:t xml:space="preserve"> save clumped instrument set, MRlap output, and CAUSE posteriors.</w:t>
      </w:r>
    </w:p>
    <w:p>
      <w:pPr>
        <w:spacing w:before="0" w:after="120" w:line="480" w:lineRule="auto"/>
        <w:ind w:left="425" w:hanging="425"/>
      </w:pPr>
      <w:r>
        <w:rPr>
          <w:rFonts w:ascii="Times New Roman" w:hAnsi="Times New Roman" w:eastAsia="Times New Roman"/>
          <w:b w:val="0"/>
          <w:i w:val="0"/>
        </w:rPr>
        <w:t xml:space="preserve">4.  </w:t>
      </w:r>
      <w:r>
        <w:rPr>
          <w:rFonts w:ascii="Times New Roman" w:hAnsi="Times New Roman" w:eastAsia="Times New Roman"/>
          <w:b/>
          <w:i w:val="0"/>
        </w:rPr>
        <w:t>Gate G3</w:t>
      </w:r>
      <w:r>
        <w:rPr>
          <w:rFonts w:ascii="Times New Roman" w:hAnsi="Times New Roman" w:eastAsia="Times New Roman"/>
          <w:b w:val="0"/>
          <w:i w:val="0"/>
        </w:rPr>
        <w:t xml:space="preserve"> (</w:t>
      </w:r>
      <w:r>
        <w:rPr>
          <w:rFonts w:ascii="Times New Roman" w:hAnsi="Times New Roman" w:eastAsia="Times New Roman"/>
          <w:b w:val="0"/>
          <w:i w:val="0"/>
        </w:rPr>
        <w:t>1–2 h</w:t>
      </w:r>
      <w:r>
        <w:rPr>
          <w:rFonts w:ascii="Times New Roman" w:hAnsi="Times New Roman" w:eastAsia="Times New Roman"/>
          <w:b w:val="0"/>
          <w:i w:val="0"/>
        </w:rPr>
        <w:t xml:space="preserve">). Munge summary statistics; compute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via LDSC; perform per-locus colocalization across independent loci with </w:t>
      </w:r>
      <w:r>
        <w:rPr>
          <w:rFonts w:ascii="Times New Roman" w:hAnsi="Times New Roman" w:eastAsia="Times New Roman"/>
          <w:b w:val="0"/>
          <w:i/>
        </w:rPr>
        <w:t>PP</w:t>
      </w:r>
      <w:r>
        <w:rPr>
          <w:rFonts w:ascii="Times New Roman" w:hAnsi="Times New Roman" w:eastAsia="Times New Roman"/>
          <w:b w:val="0"/>
          <w:i w:val="0"/>
        </w:rPr>
        <w:t>.</w:t>
      </w:r>
      <w:r>
        <w:rPr>
          <w:rFonts w:ascii="Times New Roman" w:hAnsi="Times New Roman" w:eastAsia="Times New Roman"/>
          <w:b w:val="0"/>
          <w:i/>
        </w:rPr>
        <w:t>H</w:t>
      </w:r>
      <w:r>
        <w:rPr>
          <w:rFonts w:ascii="Times New Roman" w:hAnsi="Times New Roman" w:eastAsia="Times New Roman"/>
          <w:b w:val="0"/>
          <w:i w:val="0"/>
        </w:rPr>
        <w:t>4 ≥ 0.80</w:t>
      </w:r>
      <w:r>
        <w:rPr>
          <w:rFonts w:ascii="Times New Roman" w:hAnsi="Times New Roman" w:eastAsia="Times New Roman"/>
          <w:b w:val="0"/>
          <w:i w:val="0"/>
        </w:rPr>
        <w:t xml:space="preserve">. </w:t>
      </w:r>
      <w:r>
        <w:rPr>
          <w:rFonts w:ascii="Times New Roman" w:hAnsi="Times New Roman" w:eastAsia="Times New Roman"/>
          <w:b w:val="0"/>
          <w:i/>
        </w:rPr>
        <w:t>Pause point 3:</w:t>
      </w:r>
      <w:r>
        <w:rPr>
          <w:rFonts w:ascii="Times New Roman" w:hAnsi="Times New Roman" w:eastAsia="Times New Roman"/>
          <w:b w:val="0"/>
          <w:i w:val="0"/>
        </w:rPr>
        <w:t xml:space="preserve"> save LDSC log files and colocalization matrices.</w:t>
      </w:r>
    </w:p>
    <w:p>
      <w:pPr>
        <w:spacing w:before="0" w:after="120" w:line="480" w:lineRule="auto"/>
        <w:ind w:left="425" w:hanging="425"/>
      </w:pPr>
      <w:r>
        <w:rPr>
          <w:rFonts w:ascii="Times New Roman" w:hAnsi="Times New Roman" w:eastAsia="Times New Roman"/>
          <w:b w:val="0"/>
          <w:i w:val="0"/>
        </w:rPr>
        <w:t xml:space="preserve">5.  </w:t>
      </w:r>
      <w:r>
        <w:rPr>
          <w:rFonts w:ascii="Times New Roman" w:hAnsi="Times New Roman" w:eastAsia="Times New Roman"/>
          <w:b/>
          <w:i w:val="0"/>
        </w:rPr>
        <w:t>Gate G4</w:t>
      </w:r>
      <w:r>
        <w:rPr>
          <w:rFonts w:ascii="Times New Roman" w:hAnsi="Times New Roman" w:eastAsia="Times New Roman"/>
          <w:b w:val="0"/>
          <w:i w:val="0"/>
        </w:rPr>
        <w:t xml:space="preserve"> (</w:t>
      </w:r>
      <w:r>
        <w:rPr>
          <w:rFonts w:ascii="Times New Roman" w:hAnsi="Times New Roman" w:eastAsia="Times New Roman"/>
          <w:b w:val="0"/>
          <w:i w:val="0"/>
        </w:rPr>
        <w:t>30–45 min</w:t>
      </w:r>
      <w:r>
        <w:rPr>
          <w:rFonts w:ascii="Times New Roman" w:hAnsi="Times New Roman" w:eastAsia="Times New Roman"/>
          <w:b w:val="0"/>
          <w:i w:val="0"/>
        </w:rPr>
        <w:t xml:space="preserve">). Fit multivariable MR models including specified confounders; calculate conditional </w:t>
      </w:r>
      <w:r>
        <w:rPr>
          <w:rFonts w:ascii="Times New Roman" w:hAnsi="Times New Roman" w:eastAsia="Times New Roman"/>
          <w:b w:val="0"/>
          <w:i/>
        </w:rPr>
        <w:t>F</w:t>
      </w:r>
      <w:r>
        <w:rPr>
          <w:rFonts w:ascii="Times New Roman" w:hAnsi="Times New Roman" w:eastAsia="Times New Roman"/>
          <w:b w:val="0"/>
          <w:i w:val="0"/>
        </w:rPr>
        <w:t xml:space="preserve">-statistics. </w:t>
      </w:r>
      <w:r>
        <w:rPr>
          <w:rFonts w:ascii="Times New Roman" w:hAnsi="Times New Roman" w:eastAsia="Times New Roman"/>
          <w:b w:val="0"/>
          <w:i/>
        </w:rPr>
        <w:t>Pause point 4:</w:t>
      </w:r>
      <w:r>
        <w:rPr>
          <w:rFonts w:ascii="Times New Roman" w:hAnsi="Times New Roman" w:eastAsia="Times New Roman"/>
          <w:b w:val="0"/>
          <w:i w:val="0"/>
        </w:rPr>
        <w:t xml:space="preserve"> export multivariable MR coefficients and conditional </w:t>
      </w:r>
      <w:r>
        <w:rPr>
          <w:rFonts w:ascii="Times New Roman" w:hAnsi="Times New Roman" w:eastAsia="Times New Roman"/>
          <w:b w:val="0"/>
          <w:i/>
        </w:rPr>
        <w:t>F</w:t>
      </w:r>
      <w:r>
        <w:rPr>
          <w:rFonts w:ascii="Times New Roman" w:hAnsi="Times New Roman" w:eastAsia="Times New Roman"/>
          <w:b w:val="0"/>
          <w:i w:val="0"/>
        </w:rPr>
        <w:t>-statistics.</w:t>
      </w:r>
    </w:p>
    <w:p>
      <w:pPr>
        <w:spacing w:before="0" w:after="120" w:line="480" w:lineRule="auto"/>
        <w:ind w:left="425" w:hanging="425"/>
      </w:pPr>
      <w:r>
        <w:rPr>
          <w:rFonts w:ascii="Times New Roman" w:hAnsi="Times New Roman" w:eastAsia="Times New Roman"/>
          <w:b w:val="0"/>
          <w:i w:val="0"/>
        </w:rPr>
        <w:t xml:space="preserve">6.  </w:t>
      </w:r>
      <w:r>
        <w:rPr>
          <w:rFonts w:ascii="Times New Roman" w:hAnsi="Times New Roman" w:eastAsia="Times New Roman"/>
          <w:b/>
          <w:i w:val="0"/>
        </w:rPr>
        <w:t>Gate G5</w:t>
      </w:r>
      <w:r>
        <w:rPr>
          <w:rFonts w:ascii="Times New Roman" w:hAnsi="Times New Roman" w:eastAsia="Times New Roman"/>
          <w:b w:val="0"/>
          <w:i w:val="0"/>
        </w:rPr>
        <w:t xml:space="preserve"> (</w:t>
      </w:r>
      <w:r>
        <w:rPr>
          <w:rFonts w:ascii="Times New Roman" w:hAnsi="Times New Roman" w:eastAsia="Times New Roman"/>
          <w:b w:val="0"/>
          <w:i w:val="0"/>
        </w:rPr>
        <w:t>3–6 h</w:t>
      </w:r>
      <w:r>
        <w:rPr>
          <w:rFonts w:ascii="Times New Roman" w:hAnsi="Times New Roman" w:eastAsia="Times New Roman"/>
          <w:b w:val="0"/>
          <w:i w:val="0"/>
        </w:rPr>
        <w:t xml:space="preserve">, includes bootstrap). Execute two-step MR across the mediator panel; apply Benjamini–Hochberg FDR adjustments; derive </w:t>
      </w:r>
      <w:r>
        <w:rPr>
          <w:rFonts w:ascii="Times New Roman" w:hAnsi="Times New Roman" w:eastAsia="Times New Roman"/>
          <w:b w:val="0"/>
          <w:i w:val="0"/>
        </w:rPr>
        <w:t>10,000</w:t>
      </w:r>
      <w:r>
        <w:rPr>
          <w:rFonts w:ascii="Times New Roman" w:hAnsi="Times New Roman" w:eastAsia="Times New Roman"/>
          <w:b w:val="0"/>
          <w:i w:val="0"/>
        </w:rPr>
        <w:t xml:space="preserve">-replicate bootstrap confidence intervals for indirect effects. </w:t>
      </w:r>
      <w:r>
        <w:rPr>
          <w:rFonts w:ascii="Times New Roman" w:hAnsi="Times New Roman" w:eastAsia="Times New Roman"/>
          <w:b w:val="0"/>
          <w:i/>
        </w:rPr>
        <w:t>Pause point 5:</w:t>
      </w:r>
      <w:r>
        <w:rPr>
          <w:rFonts w:ascii="Times New Roman" w:hAnsi="Times New Roman" w:eastAsia="Times New Roman"/>
          <w:b w:val="0"/>
          <w:i w:val="0"/>
        </w:rPr>
        <w:t xml:space="preserve"> save FDR-adjusted mediation tables.</w:t>
      </w:r>
    </w:p>
    <w:p>
      <w:pPr>
        <w:spacing w:before="0" w:after="120" w:line="480" w:lineRule="auto"/>
        <w:ind w:left="425" w:hanging="425"/>
      </w:pPr>
      <w:r>
        <w:rPr>
          <w:rFonts w:ascii="Times New Roman" w:hAnsi="Times New Roman" w:eastAsia="Times New Roman"/>
          <w:b w:val="0"/>
          <w:i w:val="0"/>
        </w:rPr>
        <w:t xml:space="preserve">7.  </w:t>
      </w:r>
      <w:r>
        <w:rPr>
          <w:rFonts w:ascii="Times New Roman" w:hAnsi="Times New Roman" w:eastAsia="Times New Roman"/>
          <w:b/>
          <w:i w:val="0"/>
        </w:rPr>
        <w:t>Gate G6</w:t>
      </w:r>
      <w:r>
        <w:rPr>
          <w:rFonts w:ascii="Times New Roman" w:hAnsi="Times New Roman" w:eastAsia="Times New Roman"/>
          <w:b w:val="0"/>
          <w:i w:val="0"/>
        </w:rPr>
        <w:t xml:space="preserve"> (</w:t>
      </w:r>
      <w:r>
        <w:rPr>
          <w:rFonts w:ascii="Times New Roman" w:hAnsi="Times New Roman" w:eastAsia="Times New Roman"/>
          <w:b w:val="0"/>
          <w:i w:val="0"/>
        </w:rPr>
        <w:t>1–2 h</w:t>
      </w:r>
      <w:r>
        <w:rPr>
          <w:rFonts w:ascii="Times New Roman" w:hAnsi="Times New Roman" w:eastAsia="Times New Roman"/>
          <w:b w:val="0"/>
          <w:i w:val="0"/>
        </w:rPr>
        <w:t xml:space="preserve">). Conduct cross-ancestry replication using ancestry-matched LD clumping; calculate validation-cohort grades. </w:t>
      </w:r>
      <w:r>
        <w:rPr>
          <w:rFonts w:ascii="Times New Roman" w:hAnsi="Times New Roman" w:eastAsia="Times New Roman"/>
          <w:b w:val="0"/>
          <w:i/>
        </w:rPr>
        <w:t>End:</w:t>
      </w:r>
      <w:r>
        <w:rPr>
          <w:rFonts w:ascii="Times New Roman" w:hAnsi="Times New Roman" w:eastAsia="Times New Roman"/>
          <w:b w:val="0"/>
          <w:i w:val="0"/>
        </w:rPr>
        <w:t xml:space="preserve"> sum the </w:t>
      </w:r>
      <w:r>
        <w:rPr>
          <w:rFonts w:ascii="Times New Roman" w:hAnsi="Times New Roman" w:eastAsia="Times New Roman"/>
          <w:b w:val="0"/>
          <w:i w:val="0"/>
        </w:rPr>
        <w:t>0–12</w:t>
      </w:r>
      <w:r>
        <w:rPr>
          <w:rFonts w:ascii="Times New Roman" w:hAnsi="Times New Roman" w:eastAsia="Times New Roman"/>
          <w:b w:val="0"/>
          <w:i w:val="0"/>
        </w:rPr>
        <w:t xml:space="preserve"> score and map the total to grades A–D.</w:t>
      </w:r>
    </w:p>
    <w:p>
      <w:pPr>
        <w:spacing w:before="280" w:after="120" w:line="240" w:lineRule="auto"/>
      </w:pPr>
      <w:r>
        <w:rPr>
          <w:rFonts w:ascii="Times New Roman" w:hAnsi="Times New Roman" w:eastAsia="Times New Roman"/>
          <w:b/>
          <w:i/>
          <w:sz w:val="24"/>
        </w:rPr>
        <w:t>Simulation-based validation: design and data-generating process</w:t>
      </w:r>
    </w:p>
    <w:p>
      <w:pPr>
        <w:spacing w:before="0" w:after="120" w:line="480" w:lineRule="auto"/>
      </w:pPr>
      <w:r>
        <w:rPr>
          <w:rFonts w:ascii="Times New Roman" w:hAnsi="Times New Roman" w:eastAsia="Times New Roman"/>
          <w:b w:val="0"/>
          <w:i w:val="0"/>
        </w:rPr>
        <w:t xml:space="preserve">Because the framework is prescriptive, the behaviour of its scoring rule requires quantitative evaluation prior to empirical deployment. We generated polygenic two-sample MR summary statistics under known ground truth, varying: causal effect size </w:t>
      </w:r>
      <w:r>
        <w:rPr>
          <w:rFonts w:ascii="Times New Roman" w:hAnsi="Times New Roman" w:eastAsia="Times New Roman"/>
          <w:b w:val="0"/>
          <w:i/>
        </w:rPr>
        <w:t>β</w:t>
      </w:r>
      <w:r>
        <w:rPr>
          <w:rFonts w:ascii="Times New Roman" w:hAnsi="Times New Roman" w:eastAsia="Times New Roman"/>
          <w:b w:val="0"/>
          <w:i w:val="0"/>
        </w:rPr>
        <w:t xml:space="preserve"> ∈ {0, 0.08, 0.15}</w:t>
      </w:r>
      <w:r>
        <w:rPr>
          <w:rFonts w:ascii="Times New Roman" w:hAnsi="Times New Roman" w:eastAsia="Times New Roman"/>
          <w:b w:val="0"/>
          <w:i w:val="0"/>
        </w:rPr>
        <w:t xml:space="preserve"> per standard deviation; the number of clumping blocks over which instruments were partitioned (</w:t>
      </w:r>
      <w:r>
        <w:rPr>
          <w:rFonts w:ascii="Times New Roman" w:hAnsi="Times New Roman" w:eastAsia="Times New Roman"/>
          <w:b w:val="0"/>
          <w:i w:val="0"/>
        </w:rPr>
        <w:t>5</w:t>
      </w:r>
      <w:r>
        <w:rPr>
          <w:rFonts w:ascii="Times New Roman" w:hAnsi="Times New Roman" w:eastAsia="Times New Roman"/>
          <w:b w:val="0"/>
          <w:i w:val="0"/>
        </w:rPr>
        <w:t xml:space="preserve">, </w:t>
      </w:r>
      <w:r>
        <w:rPr>
          <w:rFonts w:ascii="Times New Roman" w:hAnsi="Times New Roman" w:eastAsia="Times New Roman"/>
          <w:b w:val="0"/>
          <w:i w:val="0"/>
        </w:rPr>
        <w:t>12</w:t>
      </w:r>
      <w:r>
        <w:rPr>
          <w:rFonts w:ascii="Times New Roman" w:hAnsi="Times New Roman" w:eastAsia="Times New Roman"/>
          <w:b w:val="0"/>
          <w:i w:val="0"/>
        </w:rPr>
        <w:t xml:space="preserve">, or </w:t>
      </w:r>
      <w:r>
        <w:rPr>
          <w:rFonts w:ascii="Times New Roman" w:hAnsi="Times New Roman" w:eastAsia="Times New Roman"/>
          <w:b w:val="0"/>
          <w:i w:val="0"/>
        </w:rPr>
        <w:t>40</w:t>
      </w:r>
      <w:r>
        <w:rPr>
          <w:rFonts w:ascii="Times New Roman" w:hAnsi="Times New Roman" w:eastAsia="Times New Roman"/>
          <w:b w:val="0"/>
          <w:i w:val="0"/>
        </w:rPr>
        <w:t>); pleiotropy mode (none, balanced, directional); sample overlap (</w:t>
      </w:r>
      <w:r>
        <w:rPr>
          <w:rFonts w:ascii="Times New Roman" w:hAnsi="Times New Roman" w:eastAsia="Times New Roman"/>
          <w:b w:val="0"/>
          <w:i w:val="0"/>
        </w:rPr>
        <w:t>0%</w:t>
      </w:r>
      <w:r>
        <w:rPr>
          <w:rFonts w:ascii="Times New Roman" w:hAnsi="Times New Roman" w:eastAsia="Times New Roman"/>
          <w:b w:val="0"/>
          <w:i w:val="0"/>
        </w:rPr>
        <w:t xml:space="preserve"> or </w:t>
      </w:r>
      <w:r>
        <w:rPr>
          <w:rFonts w:ascii="Times New Roman" w:hAnsi="Times New Roman" w:eastAsia="Times New Roman"/>
          <w:b w:val="0"/>
          <w:i w:val="0"/>
        </w:rPr>
        <w:t>30%</w:t>
      </w:r>
      <w:r>
        <w:rPr>
          <w:rFonts w:ascii="Times New Roman" w:hAnsi="Times New Roman" w:eastAsia="Times New Roman"/>
          <w:b w:val="0"/>
          <w:i w:val="0"/>
        </w:rPr>
        <w:t>); and instrument count (</w:t>
      </w:r>
      <w:r>
        <w:rPr>
          <w:rFonts w:ascii="Times New Roman" w:hAnsi="Times New Roman" w:eastAsia="Times New Roman"/>
          <w:b w:val="0"/>
          <w:i w:val="0"/>
        </w:rPr>
        <w:t>20</w:t>
      </w:r>
      <w:r>
        <w:rPr>
          <w:rFonts w:ascii="Times New Roman" w:hAnsi="Times New Roman" w:eastAsia="Times New Roman"/>
          <w:b w:val="0"/>
          <w:i w:val="0"/>
        </w:rPr>
        <w:t xml:space="preserve"> or </w:t>
      </w:r>
      <w:r>
        <w:rPr>
          <w:rFonts w:ascii="Times New Roman" w:hAnsi="Times New Roman" w:eastAsia="Times New Roman"/>
          <w:b w:val="0"/>
          <w:i w:val="0"/>
        </w:rPr>
        <w:t>60</w:t>
      </w:r>
      <w:r>
        <w:rPr>
          <w:rFonts w:ascii="Times New Roman" w:hAnsi="Times New Roman" w:eastAsia="Times New Roman"/>
          <w:b w:val="0"/>
          <w:i w:val="0"/>
        </w:rPr>
        <w:t xml:space="preserve">). Instrument effects were sampled with mean per-variant </w:t>
      </w:r>
      <w:r>
        <w:rPr>
          <w:rFonts w:ascii="Times New Roman" w:hAnsi="Times New Roman" w:eastAsia="Times New Roman"/>
          <w:b w:val="0"/>
          <w:i/>
        </w:rPr>
        <w:t>F</w:t>
      </w:r>
      <w:r>
        <w:rPr>
          <w:rFonts w:ascii="Times New Roman" w:hAnsi="Times New Roman" w:eastAsia="Times New Roman"/>
          <w:b w:val="0"/>
          <w:i w:val="0"/>
        </w:rPr>
        <w:t xml:space="preserve"> ≈ 36</w:t>
      </w:r>
      <w:r>
        <w:rPr>
          <w:rFonts w:ascii="Times New Roman" w:hAnsi="Times New Roman" w:eastAsia="Times New Roman"/>
          <w:b w:val="0"/>
          <w:i w:val="0"/>
        </w:rPr>
        <w:t xml:space="preserve">. Grid values were chosen to bracket the settings reported in applied studies rather than to centre on them. Instrument counts of 20 and 60 span the range typical of complex-trait exposures, and the 12-case cohort itself ranges from 37 to 312 clumped variants. Effect sizes of 0, 0.08 and 0.15 per SD represent a null, a small effect close to the median reported for behavioural exposures, and a medium effect at the upper end of what genetic liability to insomnia plausibly exerts on AD risk; 0.15 sits just below the 0.226 threshold at which the worked example reaches 80% power, so every grid point lies below that boundary; the design samples the underpowered range, in which a scoring rule is most likely to be misled, rather than spanning detectable and undetectable effects. A per-variant </w:t>
      </w:r>
      <w:r>
        <w:rPr>
          <w:rFonts w:ascii="Times New Roman" w:hAnsi="Times New Roman" w:eastAsia="Times New Roman"/>
          <w:b w:val="0"/>
          <w:i/>
        </w:rPr>
        <w:t>F</w:t>
      </w:r>
      <w:r>
        <w:rPr>
          <w:rFonts w:ascii="Times New Roman" w:hAnsi="Times New Roman" w:eastAsia="Times New Roman"/>
          <w:b w:val="0"/>
          <w:i w:val="0"/>
        </w:rPr>
        <w:t xml:space="preserve"> ≈ 36</w:t>
      </w:r>
      <w:r>
        <w:rPr>
          <w:rFonts w:ascii="Times New Roman" w:hAnsi="Times New Roman" w:eastAsia="Times New Roman"/>
          <w:b w:val="0"/>
          <w:i w:val="0"/>
        </w:rPr>
        <w:t xml:space="preserve"> corresponds to strong instruments that are still not so strong as to render every replicate detectable. Block counts of 5, 12 and 40 span coarse to fine partitions of a genome-wide-significant set. Each parameter combination was replicated </w:t>
      </w:r>
      <w:r>
        <w:rPr>
          <w:rFonts w:ascii="Times New Roman" w:hAnsi="Times New Roman" w:eastAsia="Times New Roman"/>
          <w:b w:val="0"/>
          <w:i w:val="0"/>
        </w:rPr>
        <w:t>400</w:t>
      </w:r>
      <w:r>
        <w:rPr>
          <w:rFonts w:ascii="Times New Roman" w:hAnsi="Times New Roman" w:eastAsia="Times New Roman"/>
          <w:b w:val="0"/>
          <w:i w:val="0"/>
        </w:rPr>
        <w:t xml:space="preserve"> times (</w:t>
      </w:r>
      <w:r>
        <w:rPr>
          <w:rFonts w:ascii="Times New Roman" w:hAnsi="Times New Roman" w:eastAsia="Times New Roman"/>
          <w:b w:val="0"/>
          <w:i w:val="0"/>
        </w:rPr>
        <w:t>3 × 3 × 3 × 2 × 2 × 400 = 43,200</w:t>
      </w:r>
      <w:r>
        <w:rPr>
          <w:rFonts w:ascii="Times New Roman" w:hAnsi="Times New Roman" w:eastAsia="Times New Roman"/>
          <w:b w:val="0"/>
          <w:i w:val="0"/>
        </w:rPr>
        <w:t xml:space="preserve"> total iterations). Every replicate was evaluated through all six gates and assigned a grade using the </w:t>
      </w:r>
      <w:r>
        <w:rPr>
          <w:rFonts w:ascii="Times New Roman" w:hAnsi="Times New Roman" w:eastAsia="Times New Roman"/>
          <w:b w:val="0"/>
          <w:i w:val="0"/>
        </w:rPr>
        <w:t>0–12</w:t>
      </w:r>
      <w:r>
        <w:rPr>
          <w:rFonts w:ascii="Times New Roman" w:hAnsi="Times New Roman" w:eastAsia="Times New Roman"/>
          <w:b w:val="0"/>
          <w:i w:val="0"/>
        </w:rPr>
        <w:t xml:space="preserve"> rubric, with the decisive-failure rule applied exactly as in the empirical scoring: a replicate that scored 0 at G2 had its total capped at 6 before the grade was assigned. Because LD score regression, colocalization, multivariable MR with confounders, CAUSE and MRlap all require external genomic reference resources, none of them can be instantiated in a simulated setting. Each gate was therefore implemented as a proxy that preserves its discriminating logic but not its estimator (Table 1, right-hand column). The benchmark consequently characterises the scoring-and-grading rule and not the operating characteristics of the individual genomic methods. Two further properties of the proxy design limit interpretation. First, instrument effects were drawn independently, so no residual correlation exists between instruments; the block partition enters only through the clumping step, which retains the strongest variant per block. Second, for that reason the block-coverage proxy for G3 attains its maximum whenever a signal is detected (G3 scored 2 in 100% of the replicates in which G1 was non-zero), and the leave-one-out proxy for G4 coincides with a significant clumped estimate in 99.1% of replicates. G3 and G4 therefore carry no independent information in the benchmark, which in effect evaluates a four-signal scoring rule (G1, G2, G5, G6) mapped onto the same </w:t>
      </w:r>
      <w:r>
        <w:rPr>
          <w:rFonts w:ascii="Times New Roman" w:hAnsi="Times New Roman" w:eastAsia="Times New Roman"/>
          <w:b w:val="0"/>
          <w:i w:val="0"/>
        </w:rPr>
        <w:t>0–12</w:t>
      </w:r>
      <w:r>
        <w:rPr>
          <w:rFonts w:ascii="Times New Roman" w:hAnsi="Times New Roman" w:eastAsia="Times New Roman"/>
          <w:b w:val="0"/>
          <w:i w:val="0"/>
        </w:rPr>
        <w:t xml:space="preserve"> scale. Empirical FDR was computed across the full effect-size mixture (one-third null and two-thirds non-null replicates per parameter cell), reflecting the framework's intended usage in which null and candidate claims are evaluated together; the marginal FDR is the unweighted mean of the twelve cell-level FDRs, and all reported ranges are minima and maxima across those twelve cells.</w:t>
      </w:r>
    </w:p>
    <w:p>
      <w:pPr>
        <w:spacing w:before="0" w:after="120" w:line="480" w:lineRule="auto"/>
      </w:pPr>
      <w:r>
        <w:rPr>
          <w:rFonts w:ascii="Times New Roman" w:hAnsi="Times New Roman" w:eastAsia="Times New Roman"/>
          <w:b w:val="0"/>
          <w:i w:val="0"/>
        </w:rPr>
        <w:t xml:space="preserve">The full data-generating process is defined in the archived code repository (Zenodo DOI: 10.5281/zenodo.23733172). Key features include instruments partitioned into </w:t>
      </w:r>
      <w:r>
        <w:rPr>
          <w:rFonts w:ascii="Times New Roman" w:hAnsi="Times New Roman" w:eastAsia="Times New Roman"/>
          <w:b w:val="0"/>
          <w:i w:val="0"/>
        </w:rPr>
        <w:t>5</w:t>
      </w:r>
      <w:r>
        <w:rPr>
          <w:rFonts w:ascii="Times New Roman" w:hAnsi="Times New Roman" w:eastAsia="Times New Roman"/>
          <w:b w:val="0"/>
          <w:i w:val="0"/>
        </w:rPr>
        <w:t xml:space="preserve">, </w:t>
      </w:r>
      <w:r>
        <w:rPr>
          <w:rFonts w:ascii="Times New Roman" w:hAnsi="Times New Roman" w:eastAsia="Times New Roman"/>
          <w:b w:val="0"/>
          <w:i w:val="0"/>
        </w:rPr>
        <w:t>12</w:t>
      </w:r>
      <w:r>
        <w:rPr>
          <w:rFonts w:ascii="Times New Roman" w:hAnsi="Times New Roman" w:eastAsia="Times New Roman"/>
          <w:b w:val="0"/>
          <w:i w:val="0"/>
        </w:rPr>
        <w:t xml:space="preserve"> or </w:t>
      </w:r>
      <w:r>
        <w:rPr>
          <w:rFonts w:ascii="Times New Roman" w:hAnsi="Times New Roman" w:eastAsia="Times New Roman"/>
          <w:b w:val="0"/>
          <w:i w:val="0"/>
        </w:rPr>
        <w:t>40</w:t>
      </w:r>
      <w:r>
        <w:rPr>
          <w:rFonts w:ascii="Times New Roman" w:hAnsi="Times New Roman" w:eastAsia="Times New Roman"/>
          <w:b w:val="0"/>
          <w:i w:val="0"/>
        </w:rPr>
        <w:t xml:space="preserve"> blocks for the clumping step (no between-instrument correlation was simulated), balanced pleiotropy represented as independent, symmetric effects on the outcome, directional pleiotropy modeled as a systematic bias aligned with the exposure effect, and sample overlap induced by introducing correlated residual noise between the exposure and outcome samples — a dependence between the two samples' residuals, not among instruments, which are drawn independently throughout. Evaluated metrics include specificity (</w:t>
      </w:r>
      <w:r>
        <w:rPr>
          <w:rFonts w:ascii="Times New Roman" w:hAnsi="Times New Roman" w:eastAsia="Times New Roman"/>
          <w:b w:val="0"/>
          <w:i w:val="0"/>
        </w:rPr>
        <w:t>1 - Type I error</w:t>
      </w:r>
      <w:r>
        <w:rPr>
          <w:rFonts w:ascii="Times New Roman" w:hAnsi="Times New Roman" w:eastAsia="Times New Roman"/>
          <w:b w:val="0"/>
          <w:i w:val="0"/>
        </w:rPr>
        <w:t>), sensitivity (power), empirical FDR, and monotonicity of grade calibration across effect sizes.</w:t>
      </w:r>
    </w:p>
    <w:p>
      <w:pPr>
        <w:spacing w:before="360" w:after="160" w:line="240" w:lineRule="auto"/>
      </w:pPr>
      <w:r>
        <w:rPr>
          <w:rFonts w:ascii="Times New Roman" w:hAnsi="Times New Roman" w:eastAsia="Times New Roman"/>
          <w:b/>
          <w:i w:val="0"/>
          <w:sz w:val="28"/>
        </w:rPr>
        <w:t>Results</w:t>
      </w:r>
    </w:p>
    <w:p>
      <w:pPr>
        <w:spacing w:before="280" w:after="120" w:line="240" w:lineRule="auto"/>
      </w:pPr>
      <w:r>
        <w:rPr>
          <w:rFonts w:ascii="Times New Roman" w:hAnsi="Times New Roman" w:eastAsia="Times New Roman"/>
          <w:b/>
          <w:i/>
          <w:sz w:val="24"/>
        </w:rPr>
        <w:t>Operating characteristics of the scoring rule (43,200-simulation benchmark)</w:t>
      </w:r>
    </w:p>
    <w:p>
      <w:pPr>
        <w:spacing w:before="0" w:after="120" w:line="480" w:lineRule="auto"/>
      </w:pPr>
      <w:r>
        <w:rPr>
          <w:rFonts w:ascii="Times New Roman" w:hAnsi="Times New Roman" w:eastAsia="Times New Roman"/>
          <w:b w:val="0"/>
          <w:i w:val="0"/>
        </w:rPr>
        <w:t>At the null (</w:t>
      </w:r>
      <w:r>
        <w:rPr>
          <w:rFonts w:ascii="Times New Roman" w:hAnsi="Times New Roman" w:eastAsia="Times New Roman"/>
          <w:b w:val="0"/>
          <w:i/>
        </w:rPr>
        <w:t>β</w:t>
      </w:r>
      <w:r>
        <w:rPr>
          <w:rFonts w:ascii="Times New Roman" w:hAnsi="Times New Roman" w:eastAsia="Times New Roman"/>
          <w:b w:val="0"/>
          <w:i w:val="0"/>
        </w:rPr>
        <w:t xml:space="preserve"> = 0</w:t>
      </w:r>
      <w:r>
        <w:rPr>
          <w:rFonts w:ascii="Times New Roman" w:hAnsi="Times New Roman" w:eastAsia="Times New Roman"/>
          <w:b w:val="0"/>
          <w:i w:val="0"/>
        </w:rPr>
        <w:t>), the scoring rule assigned Grade D to every replicate and returned a zero false discovery rate (</w:t>
      </w:r>
      <w:r>
        <w:rPr>
          <w:rFonts w:ascii="Times New Roman" w:hAnsi="Times New Roman" w:eastAsia="Times New Roman"/>
          <w:b w:val="0"/>
          <w:i w:val="0"/>
        </w:rPr>
        <w:t>FDR = 0</w:t>
      </w:r>
      <w:r>
        <w:rPr>
          <w:rFonts w:ascii="Times New Roman" w:hAnsi="Times New Roman" w:eastAsia="Times New Roman"/>
          <w:b w:val="0"/>
          <w:i w:val="0"/>
        </w:rPr>
        <w:t>) in the absence of pleiotropy, indicating no false-positive inflation in the ideal parameter space. Under balanced pleiotropy, marginal specificity under the D-only convention was 0.80 (scenario range 0.77–0.84) with a marginal FDR of 0.10 (scenario range 0.06–0.15). Directional pleiotropy increased the marginal FDR to 0.15 (scenario range 0.10–0.20), whose highest cells reach but do not exceed the nominal 0.20 decision threshold. For the largest effect size tested (</w:t>
      </w:r>
      <w:r>
        <w:rPr>
          <w:rFonts w:ascii="Times New Roman" w:hAnsi="Times New Roman" w:eastAsia="Times New Roman"/>
          <w:b w:val="0"/>
          <w:i/>
        </w:rPr>
        <w:t>β</w:t>
      </w:r>
      <w:r>
        <w:rPr>
          <w:rFonts w:ascii="Times New Roman" w:hAnsi="Times New Roman" w:eastAsia="Times New Roman"/>
          <w:b w:val="0"/>
          <w:i w:val="0"/>
        </w:rPr>
        <w:t xml:space="preserve"> = 0.15</w:t>
      </w:r>
      <w:r>
        <w:rPr>
          <w:rFonts w:ascii="Times New Roman" w:hAnsi="Times New Roman" w:eastAsia="Times New Roman"/>
          <w:b w:val="0"/>
          <w:i w:val="0"/>
        </w:rPr>
        <w:t xml:space="preserve">), marginal sensitivity was 0.88 (scenario range 0.61–1.00) without pleiotropy, declining to 0.72 (scenario range 0.52–0.95) under balanced pleiotropy and 0.69 (scenario range 0.52–0.89) under directional pleiotropy. At </w:t>
      </w:r>
      <w:r>
        <w:rPr>
          <w:rFonts w:ascii="Times New Roman" w:hAnsi="Times New Roman" w:eastAsia="Times New Roman"/>
          <w:b w:val="0"/>
          <w:i/>
        </w:rPr>
        <w:t>β</w:t>
      </w:r>
      <w:r>
        <w:rPr>
          <w:rFonts w:ascii="Times New Roman" w:hAnsi="Times New Roman" w:eastAsia="Times New Roman"/>
          <w:b w:val="0"/>
          <w:i w:val="0"/>
        </w:rPr>
        <w:t xml:space="preserve"> = 0.08</w:t>
      </w:r>
      <w:r>
        <w:rPr>
          <w:rFonts w:ascii="Times New Roman" w:hAnsi="Times New Roman" w:eastAsia="Times New Roman"/>
          <w:b w:val="0"/>
          <w:i w:val="0"/>
        </w:rPr>
        <w:t xml:space="preserve">, sensitivity fell to 0.22 without pleiotropy and to 0.38–0.41 in the two pleiotropic regimes, an ordering that inverts relative to </w:t>
      </w:r>
      <w:r>
        <w:rPr>
          <w:rFonts w:ascii="Times New Roman" w:hAnsi="Times New Roman" w:eastAsia="Times New Roman"/>
          <w:b w:val="0"/>
          <w:i/>
        </w:rPr>
        <w:t>β</w:t>
      </w:r>
      <w:r>
        <w:rPr>
          <w:rFonts w:ascii="Times New Roman" w:hAnsi="Times New Roman" w:eastAsia="Times New Roman"/>
          <w:b w:val="0"/>
          <w:i w:val="0"/>
        </w:rPr>
        <w:t xml:space="preserve"> = 0.15</w:t>
      </w:r>
      <w:r>
        <w:rPr>
          <w:rFonts w:ascii="Times New Roman" w:hAnsi="Times New Roman" w:eastAsia="Times New Roman"/>
          <w:b w:val="0"/>
          <w:i w:val="0"/>
        </w:rPr>
        <w:t xml:space="preserve"> and that has a structural explanation: at this effect size 78% of replicates without pleiotropy fail G2, against 62% and 59% in the pleiotropic regimes, because pleiotropic variants push the clumped estimate away from the null and leave the robustness gate open. Those failures are scored at the cap rather than at their additive total, so at weak effect sizes sensitivity is limited by the power of the clumped estimate and not by the diagnostic architecture. Grade assignment scaled monotonically with effect size. Without pleiotropy, marginal Grade A frequency increased from 0 at the null to 0.88 at </w:t>
      </w:r>
      <w:r>
        <w:rPr>
          <w:rFonts w:ascii="Times New Roman" w:hAnsi="Times New Roman" w:eastAsia="Times New Roman"/>
          <w:b w:val="0"/>
          <w:i/>
        </w:rPr>
        <w:t>β</w:t>
      </w:r>
      <w:r>
        <w:rPr>
          <w:rFonts w:ascii="Times New Roman" w:hAnsi="Times New Roman" w:eastAsia="Times New Roman"/>
          <w:b w:val="0"/>
          <w:i w:val="0"/>
        </w:rPr>
        <w:t xml:space="preserve"> = 0.15</w:t>
      </w:r>
      <w:r>
        <w:rPr>
          <w:rFonts w:ascii="Times New Roman" w:hAnsi="Times New Roman" w:eastAsia="Times New Roman"/>
          <w:b w:val="0"/>
          <w:i w:val="0"/>
        </w:rPr>
        <w:t xml:space="preserve"> (scenario range 0.61–1.00), falling to 0.72 under balanced pleiotropy (scenario range 0.51–0.95) and 0.67 under directional pleiotropy. Under null conditions without pleiotropy, 100% of replicates received Grade D, compared with 0.80 under balanced pleiotropy and 0.68 under directional pleiotropy. Because a Grade C verdict also asserts the absence of a directed causal effect, we additionally report specificity under the C/D convention, in which both falsified grades count as correct negatives: 1.00 without pleiotropy, 0.88 under balanced pleiotropy and 0.81 under directional pleiotropy (Table 2). No null replicate received Grade A in the absence of pleiotropy, whereas 6% under balanced pleiotropy and 5% under directional pleiotropy were assigned Grade A. The 0.20 FDR threshold is a pre-specified tolerance for a screening instrument rather than a confirmatory test: it is four times the conventional 0.05 because the framework is designed to triage claims for further study, not to license a causal conclusion, and every Grade A or B verdict is intended to be followed by the gate-specific analyses that the grade summarises. FDR is not a fixed property of the rule: it depends on the proportion of true nulls in the evaluated batch, which the simulation fixes at one-third. Re-weighting the same per-cell estimates to a one-half null mixture raises the marginal FDR from 0.10 to 0.18 under balanced pleiotropy and from 0.15 to 0.26 under directional pleiotropy, the latter exceeding the 0.20 threshold, so users evaluating null-enriched batches should expect the higher figures (Limitations). Complete operating characteristics, with 95% Wilson intervals, are provided in Supplementary Table S9, Table 2, and Figure 2.</w:t>
      </w:r>
    </w:p>
    <w:p>
      <w:pPr>
        <w:spacing w:before="0" w:after="120" w:line="480" w:lineRule="auto"/>
      </w:pPr>
      <w:r>
        <w:rPr>
          <w:rFonts w:ascii="Times New Roman" w:hAnsi="Times New Roman" w:eastAsia="Times New Roman"/>
          <w:b/>
          <w:i w:val="0"/>
        </w:rPr>
        <w:t>Interpretation for users.</w:t>
      </w:r>
      <w:r>
        <w:rPr>
          <w:rFonts w:ascii="Times New Roman" w:hAnsi="Times New Roman" w:eastAsia="Times New Roman"/>
          <w:b w:val="0"/>
          <w:i w:val="0"/>
        </w:rPr>
        <w:t xml:space="preserve"> A grade of A–B indicates that the claim aligns with a directed causal effect at the framework's measured sensitivity for the tested effect size. A grade of C–D indicates that the claim is falsified or supported exclusively by shared-liability evidence. Borderline assignments (B/C) represent provisional findings requiring further empirical validation.</w:t>
      </w:r>
    </w:p>
    <w:p>
      <w:pPr>
        <w:spacing w:before="280" w:after="120" w:line="240" w:lineRule="auto"/>
      </w:pPr>
      <w:r>
        <w:rPr>
          <w:rFonts w:ascii="Times New Roman" w:hAnsi="Times New Roman" w:eastAsia="Times New Roman"/>
          <w:b/>
          <w:i/>
          <w:sz w:val="24"/>
        </w:rPr>
        <w:t>Example of application: the insomnia–AD proof-of-concept</w:t>
      </w:r>
    </w:p>
    <w:p>
      <w:pPr>
        <w:spacing w:before="0" w:after="120" w:line="480" w:lineRule="auto"/>
      </w:pPr>
      <w:r>
        <w:rPr>
          <w:rFonts w:ascii="Times New Roman" w:hAnsi="Times New Roman" w:eastAsia="Times New Roman"/>
          <w:b/>
          <w:i w:val="0"/>
        </w:rPr>
        <w:t>Data.</w:t>
      </w:r>
      <w:r>
        <w:rPr>
          <w:rFonts w:ascii="Times New Roman" w:hAnsi="Times New Roman" w:eastAsia="Times New Roman"/>
          <w:b w:val="0"/>
          <w:i w:val="0"/>
        </w:rPr>
        <w:t xml:space="preserve"> Insomnia: ukb-b-3957 (</w:t>
      </w:r>
      <w:r>
        <w:rPr>
          <w:rFonts w:ascii="Times New Roman" w:hAnsi="Times New Roman" w:eastAsia="Times New Roman"/>
          <w:b w:val="0"/>
          <w:i/>
        </w:rPr>
        <w:t>n</w:t>
      </w:r>
      <w:r>
        <w:rPr>
          <w:rFonts w:ascii="Times New Roman" w:hAnsi="Times New Roman" w:eastAsia="Times New Roman"/>
          <w:b w:val="0"/>
          <w:i w:val="0"/>
        </w:rPr>
        <w:t xml:space="preserve"> = 462,341</w:t>
      </w:r>
      <w:r>
        <w:rPr>
          <w:rFonts w:ascii="Times New Roman" w:hAnsi="Times New Roman" w:eastAsia="Times New Roman"/>
          <w:b w:val="0"/>
          <w:i w:val="0"/>
        </w:rPr>
        <w:t>, continuous trait; cf. Jansen et al., 2019; Lane et al., 2019). Alzheimer's disease (AD): ieu-b-2 (Kunkle et al., 2019; 21,982 cases, 41,944 controls) as the primary outcome, with ebi-a-GCST90027158 (Bellenguez et al., 2022; 85,934 cases, 401,577 controls) as a sensitivity outcome. Educational attainment: ieu-a-1239 (</w:t>
      </w:r>
      <w:r>
        <w:rPr>
          <w:rFonts w:ascii="Times New Roman" w:hAnsi="Times New Roman" w:eastAsia="Times New Roman"/>
          <w:b w:val="0"/>
          <w:i/>
        </w:rPr>
        <w:t>n</w:t>
      </w:r>
      <w:r>
        <w:rPr>
          <w:rFonts w:ascii="Times New Roman" w:hAnsi="Times New Roman" w:eastAsia="Times New Roman"/>
          <w:b w:val="0"/>
          <w:i w:val="0"/>
        </w:rPr>
        <w:t xml:space="preserve"> = 766,345</w:t>
      </w:r>
      <w:r>
        <w:rPr>
          <w:rFonts w:ascii="Times New Roman" w:hAnsi="Times New Roman" w:eastAsia="Times New Roman"/>
          <w:b w:val="0"/>
          <w:i w:val="0"/>
        </w:rPr>
        <w:t xml:space="preserve">). Protein pQTLs from the INTERVAL panel (Sun et al., 2018; </w:t>
      </w:r>
      <w:r>
        <w:rPr>
          <w:rFonts w:ascii="Times New Roman" w:hAnsi="Times New Roman" w:eastAsia="Times New Roman"/>
          <w:b w:val="0"/>
          <w:i/>
        </w:rPr>
        <w:t>n</w:t>
      </w:r>
      <w:r>
        <w:rPr>
          <w:rFonts w:ascii="Times New Roman" w:hAnsi="Times New Roman" w:eastAsia="Times New Roman"/>
          <w:b w:val="0"/>
          <w:i w:val="0"/>
        </w:rPr>
        <w:t xml:space="preserve"> = 3,301</w:t>
      </w:r>
      <w:r>
        <w:rPr>
          <w:rFonts w:ascii="Times New Roman" w:hAnsi="Times New Roman" w:eastAsia="Times New Roman"/>
          <w:b w:val="0"/>
          <w:i w:val="0"/>
        </w:rPr>
        <w:t xml:space="preserve">) and NMR metabolites from Kettunen et al. (2016). East Asian sensitivity evaluations incorporated GARD AD (NG00182; </w:t>
      </w:r>
      <w:r>
        <w:rPr>
          <w:rFonts w:ascii="Times New Roman" w:hAnsi="Times New Roman" w:eastAsia="Times New Roman"/>
          <w:b w:val="0"/>
          <w:i/>
        </w:rPr>
        <w:t>n</w:t>
      </w:r>
      <w:r>
        <w:rPr>
          <w:rFonts w:ascii="Times New Roman" w:hAnsi="Times New Roman" w:eastAsia="Times New Roman"/>
          <w:b w:val="0"/>
          <w:i w:val="0"/>
        </w:rPr>
        <w:t xml:space="preserve"> = 6,518</w:t>
      </w:r>
      <w:r>
        <w:rPr>
          <w:rFonts w:ascii="Times New Roman" w:hAnsi="Times New Roman" w:eastAsia="Times New Roman"/>
          <w:b w:val="0"/>
          <w:i w:val="0"/>
        </w:rPr>
        <w:t>) and BioBank Japan summary statistics (Koyama et al., 2020; Kang et al., 2021). All datasets were harmonized on GRCh37.</w:t>
      </w:r>
    </w:p>
    <w:p>
      <w:pPr>
        <w:spacing w:before="0" w:after="120" w:line="480" w:lineRule="auto"/>
      </w:pPr>
      <w:r>
        <w:rPr>
          <w:rFonts w:ascii="Times New Roman" w:hAnsi="Times New Roman" w:eastAsia="Times New Roman"/>
          <w:b/>
          <w:i w:val="0"/>
        </w:rPr>
        <w:t>G1: association.</w:t>
      </w:r>
      <w:r>
        <w:rPr>
          <w:rFonts w:ascii="Times New Roman" w:hAnsi="Times New Roman" w:eastAsia="Times New Roman"/>
          <w:b w:val="0"/>
          <w:i w:val="0"/>
        </w:rPr>
        <w:t xml:space="preserve"> Unclumped inverse-variance weighted (IVW) analysis yielded </w:t>
      </w:r>
      <w:r>
        <w:rPr>
          <w:rFonts w:ascii="Times New Roman" w:hAnsi="Times New Roman" w:eastAsia="Times New Roman"/>
          <w:b w:val="0"/>
          <w:i/>
        </w:rPr>
        <w:t>β</w:t>
      </w:r>
      <w:r>
        <w:rPr>
          <w:rFonts w:ascii="Times New Roman" w:hAnsi="Times New Roman" w:eastAsia="Times New Roman"/>
          <w:b w:val="0"/>
          <w:i w:val="0"/>
        </w:rPr>
        <w:t xml:space="preserve"> = +0.104</w:t>
      </w:r>
      <w:r>
        <w:rPr>
          <w:rFonts w:ascii="Times New Roman" w:hAnsi="Times New Roman" w:eastAsia="Times New Roman"/>
          <w:b w:val="0"/>
          <w:i w:val="0"/>
        </w:rPr>
        <w:t xml:space="preserve"> (</w:t>
      </w:r>
      <w:r>
        <w:rPr>
          <w:rFonts w:ascii="Times New Roman" w:hAnsi="Times New Roman" w:eastAsia="Times New Roman"/>
          <w:b w:val="0"/>
          <w:i w:val="0"/>
        </w:rPr>
        <w:t>SE = 0.031</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9.3 × 10</w:t>
      </w:r>
      <w:r>
        <w:rPr>
          <w:rFonts w:ascii="Times New Roman" w:hAnsi="Times New Roman" w:eastAsia="Times New Roman"/>
          <w:b w:val="0"/>
          <w:i w:val="0"/>
          <w:vertAlign w:val="superscript"/>
        </w:rPr>
        <w:t>-4</w:t>
      </w:r>
      <w:r>
        <w:rPr>
          <w:rFonts w:ascii="Times New Roman" w:hAnsi="Times New Roman" w:eastAsia="Times New Roman"/>
          <w:b w:val="0"/>
          <w:i w:val="0"/>
        </w:rPr>
        <w:t>; 2,462 instruments), reproducing the published positive association (Figure 3A).</w:t>
      </w:r>
    </w:p>
    <w:p>
      <w:pPr>
        <w:spacing w:before="0" w:after="120" w:line="480" w:lineRule="auto"/>
      </w:pPr>
      <w:r>
        <w:rPr>
          <w:rFonts w:ascii="Times New Roman" w:hAnsi="Times New Roman" w:eastAsia="Times New Roman"/>
          <w:b/>
          <w:i w:val="0"/>
        </w:rPr>
        <w:t>G2: robustness.</w:t>
      </w:r>
      <w:r>
        <w:rPr>
          <w:rFonts w:ascii="Times New Roman" w:hAnsi="Times New Roman" w:eastAsia="Times New Roman"/>
          <w:b w:val="0"/>
          <w:i w:val="0"/>
        </w:rPr>
        <w:t xml:space="preserve"> LD clumping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10,000 kb window) reduced the instrument set to 54 variants and attenuated the estimate to the null (</w:t>
      </w:r>
      <w:r>
        <w:rPr>
          <w:rFonts w:ascii="Times New Roman" w:hAnsi="Times New Roman" w:eastAsia="Times New Roman"/>
          <w:b w:val="0"/>
          <w:i/>
        </w:rPr>
        <w:t>β</w:t>
      </w:r>
      <w:r>
        <w:rPr>
          <w:rFonts w:ascii="Times New Roman" w:hAnsi="Times New Roman" w:eastAsia="Times New Roman"/>
          <w:b w:val="0"/>
          <w:i w:val="0"/>
        </w:rPr>
        <w:t xml:space="preserve"> = -0.130</w:t>
      </w:r>
      <w:r>
        <w:rPr>
          <w:rFonts w:ascii="Times New Roman" w:hAnsi="Times New Roman" w:eastAsia="Times New Roman"/>
          <w:b w:val="0"/>
          <w:i w:val="0"/>
        </w:rPr>
        <w:t xml:space="preserve">, </w:t>
      </w:r>
      <w:r>
        <w:rPr>
          <w:rFonts w:ascii="Times New Roman" w:hAnsi="Times New Roman" w:eastAsia="Times New Roman"/>
          <w:b w:val="0"/>
          <w:i w:val="0"/>
        </w:rPr>
        <w:t>SE = 0.203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0.52</w:t>
      </w:r>
      <w:r>
        <w:rPr>
          <w:rFonts w:ascii="Times New Roman" w:hAnsi="Times New Roman" w:eastAsia="Times New Roman"/>
          <w:b w:val="0"/>
          <w:i w:val="0"/>
        </w:rPr>
        <w:t xml:space="preserve">). Tightening to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xml:space="preserve"> at the same window left 37 harmonised variants with a consistent null estimate (</w:t>
      </w:r>
      <w:r>
        <w:rPr>
          <w:rFonts w:ascii="Times New Roman" w:hAnsi="Times New Roman" w:eastAsia="Times New Roman"/>
          <w:b w:val="0"/>
          <w:i/>
        </w:rPr>
        <w:t>β</w:t>
      </w:r>
      <w:r>
        <w:rPr>
          <w:rFonts w:ascii="Times New Roman" w:hAnsi="Times New Roman" w:eastAsia="Times New Roman"/>
          <w:b w:val="0"/>
          <w:i w:val="0"/>
        </w:rPr>
        <w:t xml:space="preserve"> = -0.111</w:t>
      </w:r>
      <w:r>
        <w:rPr>
          <w:rFonts w:ascii="Times New Roman" w:hAnsi="Times New Roman" w:eastAsia="Times New Roman"/>
          <w:b w:val="0"/>
          <w:i w:val="0"/>
        </w:rPr>
        <w:t xml:space="preserve">, </w:t>
      </w:r>
      <w:r>
        <w:rPr>
          <w:rFonts w:ascii="Times New Roman" w:hAnsi="Times New Roman" w:eastAsia="Times New Roman"/>
          <w:b w:val="0"/>
          <w:i w:val="0"/>
        </w:rPr>
        <w:t>SE = 0.236</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0.64</w:t>
      </w:r>
      <w:r>
        <w:rPr>
          <w:rFonts w:ascii="Times New Roman" w:hAnsi="Times New Roman" w:eastAsia="Times New Roman"/>
          <w:b w:val="0"/>
          <w:i w:val="0"/>
        </w:rPr>
        <w:t>), and a 5,000-kb window at that threshold gave the same estimate. Correcting for sample overlap via MRlap sustained the null (</w:t>
      </w:r>
      <w:r>
        <w:rPr>
          <w:rFonts w:ascii="Times New Roman" w:hAnsi="Times New Roman" w:eastAsia="Times New Roman"/>
          <w:b w:val="0"/>
          <w:i/>
        </w:rPr>
        <w:t>β</w:t>
      </w:r>
      <w:r>
        <w:rPr>
          <w:rFonts w:ascii="Times New Roman" w:hAnsi="Times New Roman" w:eastAsia="Times New Roman"/>
          <w:b w:val="0"/>
          <w:i w:val="0"/>
        </w:rPr>
        <w:t xml:space="preserve"> = -0.078</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0.43</w:t>
      </w:r>
      <w:r>
        <w:rPr>
          <w:rFonts w:ascii="Times New Roman" w:hAnsi="Times New Roman" w:eastAsia="Times New Roman"/>
          <w:b w:val="0"/>
          <w:i w:val="0"/>
        </w:rPr>
        <w:t xml:space="preserve">); MRlap was given the full shared-variant set and performs its own LD pruning internally, so its instrument set differs from the clumped IVW set. CAUSE was likewise not fitted to the clumped set: it used the 15,564 variants with exposure </w:t>
      </w:r>
      <w:r>
        <w:rPr>
          <w:rFonts w:ascii="Times New Roman" w:hAnsi="Times New Roman" w:eastAsia="Times New Roman"/>
          <w:b w:val="0"/>
          <w:i/>
        </w:rPr>
        <w:t>P</w:t>
      </w:r>
      <w:r>
        <w:rPr>
          <w:rFonts w:ascii="Times New Roman" w:hAnsi="Times New Roman" w:eastAsia="Times New Roman"/>
          <w:b w:val="0"/>
          <w:i w:val="0"/>
        </w:rPr>
        <w:t xml:space="preserve"> &lt;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passing its pre-filter, with 1,000 MCMC samples. CAUSE retained a boundary forward CAUSAL classification in both AD sources (Kunkle: causal </w:t>
      </w:r>
      <w:r>
        <w:rPr>
          <w:rFonts w:ascii="Times New Roman" w:hAnsi="Times New Roman" w:eastAsia="Times New Roman"/>
          <w:b w:val="0"/>
          <w:i/>
        </w:rPr>
        <w:t>P</w:t>
      </w:r>
      <w:r>
        <w:rPr>
          <w:rFonts w:ascii="Times New Roman" w:hAnsi="Times New Roman" w:eastAsia="Times New Roman"/>
          <w:b w:val="0"/>
          <w:i w:val="0"/>
        </w:rPr>
        <w:t xml:space="preserve"> = 0.039</w:t>
      </w:r>
      <w:r>
        <w:rPr>
          <w:rFonts w:ascii="Times New Roman" w:hAnsi="Times New Roman" w:eastAsia="Times New Roman"/>
          <w:b w:val="0"/>
          <w:i w:val="0"/>
        </w:rPr>
        <w:t xml:space="preserve">; Bellenguez: causal </w:t>
      </w:r>
      <w:r>
        <w:rPr>
          <w:rFonts w:ascii="Times New Roman" w:hAnsi="Times New Roman" w:eastAsia="Times New Roman"/>
          <w:b w:val="0"/>
          <w:i/>
        </w:rPr>
        <w:t>P</w:t>
      </w:r>
      <w:r>
        <w:rPr>
          <w:rFonts w:ascii="Times New Roman" w:hAnsi="Times New Roman" w:eastAsia="Times New Roman"/>
          <w:b w:val="0"/>
          <w:i w:val="0"/>
        </w:rPr>
        <w:t xml:space="preserve"> = 0.002</w:t>
      </w:r>
      <w:r>
        <w:rPr>
          <w:rFonts w:ascii="Times New Roman" w:hAnsi="Times New Roman" w:eastAsia="Times New Roman"/>
          <w:b w:val="0"/>
          <w:i w:val="0"/>
        </w:rPr>
        <w:t>), whereas both reverse analyses were classified as pleiotropy or sharing (</w:t>
      </w:r>
      <w:r>
        <w:rPr>
          <w:rFonts w:ascii="Times New Roman" w:hAnsi="Times New Roman" w:eastAsia="Times New Roman"/>
          <w:b w:val="0"/>
          <w:i/>
        </w:rPr>
        <w:t>P</w:t>
      </w:r>
      <w:r>
        <w:rPr>
          <w:rFonts w:ascii="Times New Roman" w:hAnsi="Times New Roman" w:eastAsia="Times New Roman"/>
          <w:b w:val="0"/>
          <w:i w:val="0"/>
        </w:rPr>
        <w:t xml:space="preserve"> = 0.08</w:t>
      </w:r>
      <w:r>
        <w:rPr>
          <w:rFonts w:ascii="Times New Roman" w:hAnsi="Times New Roman" w:eastAsia="Times New Roman"/>
          <w:b w:val="0"/>
          <w:i w:val="0"/>
        </w:rPr>
        <w:t xml:space="preserve"> and </w:t>
      </w:r>
      <w:r>
        <w:rPr>
          <w:rFonts w:ascii="Times New Roman" w:hAnsi="Times New Roman" w:eastAsia="Times New Roman"/>
          <w:b w:val="0"/>
          <w:i/>
        </w:rPr>
        <w:t>P</w:t>
      </w:r>
      <w:r>
        <w:rPr>
          <w:rFonts w:ascii="Times New Roman" w:hAnsi="Times New Roman" w:eastAsia="Times New Roman"/>
          <w:b w:val="0"/>
          <w:i w:val="0"/>
        </w:rPr>
        <w:t xml:space="preserve"> = 0.63</w:t>
      </w:r>
      <w:r>
        <w:rPr>
          <w:rFonts w:ascii="Times New Roman" w:hAnsi="Times New Roman" w:eastAsia="Times New Roman"/>
          <w:b w:val="0"/>
          <w:i w:val="0"/>
        </w:rPr>
        <w:t xml:space="preserve">). The Bellenguez classification must be interpreted cautiously, because that AD source showed extreme heterogeneity in related analyses (Cochran </w:t>
      </w:r>
      <w:r>
        <w:rPr>
          <w:rFonts w:ascii="Times New Roman" w:hAnsi="Times New Roman" w:eastAsia="Times New Roman"/>
          <w:b w:val="0"/>
          <w:i/>
        </w:rPr>
        <w:t>Q</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1.7 × 10</w:t>
      </w:r>
      <w:r>
        <w:rPr>
          <w:rFonts w:ascii="Times New Roman" w:hAnsi="Times New Roman" w:eastAsia="Times New Roman"/>
          <w:b w:val="0"/>
          <w:i w:val="0"/>
          <w:vertAlign w:val="superscript"/>
        </w:rPr>
        <w:t>-11</w:t>
      </w:r>
      <w:r>
        <w:rPr>
          <w:rFonts w:ascii="Times New Roman" w:hAnsi="Times New Roman" w:eastAsia="Times New Roman"/>
          <w:b w:val="0"/>
          <w:i w:val="0"/>
        </w:rPr>
        <w:t>; Supplementary Table S4), rendering its estimates unreliable. CAUSE therefore constitutes a single method-level disagreement against three analyses that did not support the original positive hypothesis: clumped IVW and MRlap were null (</w:t>
      </w:r>
      <w:r>
        <w:rPr>
          <w:rFonts w:ascii="Times New Roman" w:hAnsi="Times New Roman" w:eastAsia="Times New Roman"/>
          <w:b w:val="0"/>
          <w:i/>
        </w:rPr>
        <w:t>P</w:t>
      </w:r>
      <w:r>
        <w:rPr>
          <w:rFonts w:ascii="Times New Roman" w:hAnsi="Times New Roman" w:eastAsia="Times New Roman"/>
          <w:b w:val="0"/>
          <w:i w:val="0"/>
        </w:rPr>
        <w:t xml:space="preserve"> = 0.52</w:t>
      </w:r>
      <w:r>
        <w:rPr>
          <w:rFonts w:ascii="Times New Roman" w:hAnsi="Times New Roman" w:eastAsia="Times New Roman"/>
          <w:b w:val="0"/>
          <w:i w:val="0"/>
        </w:rPr>
        <w:t xml:space="preserve"> and </w:t>
      </w:r>
      <w:r>
        <w:rPr>
          <w:rFonts w:ascii="Times New Roman" w:hAnsi="Times New Roman" w:eastAsia="Times New Roman"/>
          <w:b w:val="0"/>
          <w:i/>
        </w:rPr>
        <w:t>P</w:t>
      </w:r>
      <w:r>
        <w:rPr>
          <w:rFonts w:ascii="Times New Roman" w:hAnsi="Times New Roman" w:eastAsia="Times New Roman"/>
          <w:b w:val="0"/>
          <w:i w:val="0"/>
        </w:rPr>
        <w:t xml:space="preserve"> = 0.43</w:t>
      </w:r>
      <w:r>
        <w:rPr>
          <w:rFonts w:ascii="Times New Roman" w:hAnsi="Times New Roman" w:eastAsia="Times New Roman"/>
          <w:b w:val="0"/>
          <w:i w:val="0"/>
        </w:rPr>
        <w:t>), whereas the MVMR direct effect below was nominally negative rather than null. We report this disagreement explicitly rather than treating the boundary CAUSAL label as evidence for a directed effect. The attenuation is not attributable to chromosome 19 alone: excluding 118 chromosome-19 instruments retained the unclumped association (</w:t>
      </w:r>
      <w:r>
        <w:rPr>
          <w:rFonts w:ascii="Times New Roman" w:hAnsi="Times New Roman" w:eastAsia="Times New Roman"/>
          <w:b w:val="0"/>
          <w:i/>
        </w:rPr>
        <w:t>β</w:t>
      </w:r>
      <w:r>
        <w:rPr>
          <w:rFonts w:ascii="Times New Roman" w:hAnsi="Times New Roman" w:eastAsia="Times New Roman"/>
          <w:b w:val="0"/>
          <w:i w:val="0"/>
        </w:rPr>
        <w:t xml:space="preserve"> = 0.094</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0.003</w:t>
      </w:r>
      <w:r>
        <w:rPr>
          <w:rFonts w:ascii="Times New Roman" w:hAnsi="Times New Roman" w:eastAsia="Times New Roman"/>
          <w:b w:val="0"/>
          <w:i w:val="0"/>
        </w:rPr>
        <w:t xml:space="preserve">; G3 sets out why this exclusion cannot isolate the </w:t>
      </w:r>
      <w:r>
        <w:rPr>
          <w:rFonts w:ascii="Times New Roman" w:hAnsi="Times New Roman" w:eastAsia="Times New Roman"/>
          <w:b w:val="0"/>
          <w:i/>
        </w:rPr>
        <w:t>APOE</w:t>
      </w:r>
      <w:r>
        <w:rPr>
          <w:rFonts w:ascii="Times New Roman" w:hAnsi="Times New Roman" w:eastAsia="Times New Roman"/>
          <w:b w:val="0"/>
          <w:i w:val="0"/>
        </w:rPr>
        <w:t xml:space="preserve"> region). These two observations operate at different levels: the unclumped precision reflects genome-wide instrument correlation, whereas the colocalization signal localizes to the </w:t>
      </w:r>
      <w:r>
        <w:rPr>
          <w:rFonts w:ascii="Times New Roman" w:hAnsi="Times New Roman" w:eastAsia="Times New Roman"/>
          <w:b w:val="0"/>
          <w:i/>
        </w:rPr>
        <w:t>APOE</w:t>
      </w:r>
      <w:r>
        <w:rPr>
          <w:rFonts w:ascii="Times New Roman" w:hAnsi="Times New Roman" w:eastAsia="Times New Roman"/>
          <w:b w:val="0"/>
          <w:i w:val="0"/>
        </w:rPr>
        <w:t xml:space="preserve"> region; the former concerns instrument redundancy, the latter locus-specific shared liability, and they are not contradictory. Statistical power at the achieved instrument strength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0.0022</w:t>
      </w:r>
      <w:r>
        <w:rPr>
          <w:rFonts w:ascii="Times New Roman" w:hAnsi="Times New Roman" w:eastAsia="Times New Roman"/>
          <w:b w:val="0"/>
          <w:i w:val="0"/>
        </w:rPr>
        <w:t xml:space="preserve"> across 44 window-clumped loci; mean </w:t>
      </w:r>
      <w:r>
        <w:rPr>
          <w:rFonts w:ascii="Times New Roman" w:hAnsi="Times New Roman" w:eastAsia="Times New Roman"/>
          <w:b w:val="0"/>
          <w:i/>
        </w:rPr>
        <w:t>F</w:t>
      </w:r>
      <w:r>
        <w:rPr>
          <w:rFonts w:ascii="Times New Roman" w:hAnsi="Times New Roman" w:eastAsia="Times New Roman"/>
          <w:b w:val="0"/>
          <w:i w:val="0"/>
        </w:rPr>
        <w:t xml:space="preserve"> = 44.3</w:t>
      </w:r>
      <w:r>
        <w:rPr>
          <w:rFonts w:ascii="Times New Roman" w:hAnsi="Times New Roman" w:eastAsia="Times New Roman"/>
          <w:b w:val="0"/>
          <w:i w:val="0"/>
        </w:rPr>
        <w:t xml:space="preserve">, minimum </w:t>
      </w:r>
      <w:r>
        <w:rPr>
          <w:rFonts w:ascii="Times New Roman" w:hAnsi="Times New Roman" w:eastAsia="Times New Roman"/>
          <w:b w:val="0"/>
          <w:i/>
        </w:rPr>
        <w:t>F</w:t>
      </w:r>
      <w:r>
        <w:rPr>
          <w:rFonts w:ascii="Times New Roman" w:hAnsi="Times New Roman" w:eastAsia="Times New Roman"/>
          <w:b w:val="0"/>
          <w:i w:val="0"/>
        </w:rPr>
        <w:t xml:space="preserve"> = 29.8</w:t>
      </w:r>
      <w:r>
        <w:rPr>
          <w:rFonts w:ascii="Times New Roman" w:hAnsi="Times New Roman" w:eastAsia="Times New Roman"/>
          <w:b w:val="0"/>
          <w:i w:val="0"/>
        </w:rPr>
        <w:t xml:space="preserve">) was 24% for </w:t>
      </w:r>
      <w:r>
        <w:rPr>
          <w:rFonts w:ascii="Times New Roman" w:hAnsi="Times New Roman" w:eastAsia="Times New Roman"/>
          <w:b w:val="0"/>
          <w:i/>
        </w:rPr>
        <w:t>β</w:t>
      </w:r>
      <w:r>
        <w:rPr>
          <w:rFonts w:ascii="Times New Roman" w:hAnsi="Times New Roman" w:eastAsia="Times New Roman"/>
          <w:b w:val="0"/>
          <w:i w:val="0"/>
        </w:rPr>
        <w:t xml:space="preserve"> = 0.10</w:t>
      </w:r>
      <w:r>
        <w:rPr>
          <w:rFonts w:ascii="Times New Roman" w:hAnsi="Times New Roman" w:eastAsia="Times New Roman"/>
          <w:b w:val="0"/>
          <w:i w:val="0"/>
        </w:rPr>
        <w:t xml:space="preserve">. Achieving 80% power required </w:t>
      </w:r>
      <w:r>
        <w:rPr>
          <w:rFonts w:ascii="Times New Roman" w:hAnsi="Times New Roman" w:eastAsia="Times New Roman"/>
          <w:b w:val="0"/>
          <w:i/>
        </w:rPr>
        <w:t>β</w:t>
      </w:r>
      <w:r>
        <w:rPr>
          <w:rFonts w:ascii="Times New Roman" w:hAnsi="Times New Roman" w:eastAsia="Times New Roman"/>
          <w:b w:val="0"/>
          <w:i w:val="0"/>
        </w:rPr>
        <w:t xml:space="preserve"> ≥ 0.226</w:t>
      </w:r>
      <w:r>
        <w:rPr>
          <w:rFonts w:ascii="Times New Roman" w:hAnsi="Times New Roman" w:eastAsia="Times New Roman"/>
          <w:b w:val="0"/>
          <w:i w:val="0"/>
        </w:rPr>
        <w:t xml:space="preserve"> (</w:t>
      </w:r>
      <w:r>
        <w:rPr>
          <w:rFonts w:ascii="Times New Roman" w:hAnsi="Times New Roman" w:eastAsia="Times New Roman"/>
          <w:b w:val="0"/>
          <w:i w:val="0"/>
        </w:rPr>
        <w:t>OR ≥ 1.25</w:t>
      </w:r>
      <w:r>
        <w:rPr>
          <w:rFonts w:ascii="Times New Roman" w:hAnsi="Times New Roman" w:eastAsia="Times New Roman"/>
          <w:b w:val="0"/>
          <w:i w:val="0"/>
        </w:rPr>
        <w:t xml:space="preserve"> per standard deviation of insomnia liability; mRnd binary-outcome approximation with outcome GWAS sample size </w:t>
      </w:r>
      <w:r>
        <w:rPr>
          <w:rFonts w:ascii="Times New Roman" w:hAnsi="Times New Roman" w:eastAsia="Times New Roman"/>
          <w:b w:val="0"/>
          <w:i/>
        </w:rPr>
        <w:t>n</w:t>
      </w:r>
      <w:r>
        <w:rPr>
          <w:rFonts w:ascii="Times New Roman" w:hAnsi="Times New Roman" w:eastAsia="Times New Roman"/>
          <w:b w:val="0"/>
          <w:i w:val="0"/>
        </w:rPr>
        <w:t xml:space="preserve"> = 63,926</w:t>
      </w:r>
      <w:r>
        <w:rPr>
          <w:rFonts w:ascii="Times New Roman" w:hAnsi="Times New Roman" w:eastAsia="Times New Roman"/>
          <w:b w:val="0"/>
          <w:i w:val="0"/>
        </w:rPr>
        <w:t xml:space="preserve">; Brion et al., 2013; Deng et al., 2020; Supplementary power tables). For transparency, the instrument count chain is: 2,462 unclumped instruments (Gate G1) </w:t>
      </w:r>
      <w:r>
        <w:rPr>
          <w:rFonts w:ascii="Times New Roman" w:hAnsi="Times New Roman" w:eastAsia="Times New Roman"/>
          <w:b w:val="0"/>
          <w:i w:val="0"/>
        </w:rPr>
        <w:t>→</w:t>
      </w:r>
      <w:r>
        <w:rPr>
          <w:rFonts w:ascii="Times New Roman" w:hAnsi="Times New Roman" w:eastAsia="Times New Roman"/>
          <w:b w:val="0"/>
          <w:i w:val="0"/>
        </w:rPr>
        <w:t xml:space="preserve"> 54 LD-independent instruments after clumping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xml:space="preserve">, 10,000 kb) </w:t>
      </w:r>
      <w:r>
        <w:rPr>
          <w:rFonts w:ascii="Times New Roman" w:hAnsi="Times New Roman" w:eastAsia="Times New Roman"/>
          <w:b w:val="0"/>
          <w:i w:val="0"/>
        </w:rPr>
        <w:t>→</w:t>
      </w:r>
      <w:r>
        <w:rPr>
          <w:rFonts w:ascii="Times New Roman" w:hAnsi="Times New Roman" w:eastAsia="Times New Roman"/>
          <w:b w:val="0"/>
          <w:i w:val="0"/>
        </w:rPr>
        <w:t xml:space="preserve"> 44 window-clumped loci (1-Mb window) retained for power estimation and confounder screening </w:t>
      </w:r>
      <w:r>
        <w:rPr>
          <w:rFonts w:ascii="Times New Roman" w:hAnsi="Times New Roman" w:eastAsia="Times New Roman"/>
          <w:b w:val="0"/>
          <w:i w:val="0"/>
        </w:rPr>
        <w:t>→</w:t>
      </w:r>
      <w:r>
        <w:rPr>
          <w:rFonts w:ascii="Times New Roman" w:hAnsi="Times New Roman" w:eastAsia="Times New Roman"/>
          <w:b w:val="0"/>
          <w:i w:val="0"/>
        </w:rPr>
        <w:t xml:space="preserve"> 38 after removing six confounder-associated variants </w:t>
      </w:r>
      <w:r>
        <w:rPr>
          <w:rFonts w:ascii="Times New Roman" w:hAnsi="Times New Roman" w:eastAsia="Times New Roman"/>
          <w:b w:val="0"/>
          <w:i w:val="0"/>
        </w:rPr>
        <w:t>→</w:t>
      </w:r>
      <w:r>
        <w:rPr>
          <w:rFonts w:ascii="Times New Roman" w:hAnsi="Times New Roman" w:eastAsia="Times New Roman"/>
          <w:b w:val="0"/>
          <w:i w:val="0"/>
        </w:rPr>
        <w:t xml:space="preserve"> 33 harmonized instruments. The 54-versus-40 difference with the cross-ancestry step (Gate G6 below) has two sources: the primary European clumping used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xml:space="preserve">, whereas the trans-ethnic re-clumping applied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and the LD reference panel was updated between the two runs. The two counts are therefore not a like-for-like comparison, and the trans-ethnic step is reported as an underpowered directional screen rather than as a replication test. Of the 40 variants extracted for that step, 30 matched positionally in the East Asian summary statistics after harmonisation and entered the fit. An instrument–confounder screen (GWAS Catalog IV-PheWAS across all 44 independent loci; a priori domains: smoking, alcohol, education/cognition, adiposity, depression/anxiety/neuroticism) identified six variants with documented associations in these domains, matching a negative-control framework (Sanderson et al., 2021b). Removing these variants maintained the null (</w:t>
      </w:r>
      <w:r>
        <w:rPr>
          <w:rFonts w:ascii="Times New Roman" w:hAnsi="Times New Roman" w:eastAsia="Times New Roman"/>
          <w:b w:val="0"/>
          <w:i/>
        </w:rPr>
        <w:t>β</w:t>
      </w:r>
      <w:r>
        <w:rPr>
          <w:rFonts w:ascii="Times New Roman" w:hAnsi="Times New Roman" w:eastAsia="Times New Roman"/>
          <w:b w:val="0"/>
          <w:i w:val="0"/>
        </w:rPr>
        <w:t xml:space="preserve"> = -0.106</w:t>
      </w:r>
      <w:r>
        <w:rPr>
          <w:rFonts w:ascii="Times New Roman" w:hAnsi="Times New Roman" w:eastAsia="Times New Roman"/>
          <w:b w:val="0"/>
          <w:i w:val="0"/>
        </w:rPr>
        <w:t xml:space="preserve">, </w:t>
      </w:r>
      <w:r>
        <w:rPr>
          <w:rFonts w:ascii="Times New Roman" w:hAnsi="Times New Roman" w:eastAsia="Times New Roman"/>
          <w:b w:val="0"/>
          <w:i w:val="0"/>
        </w:rPr>
        <w:t>SE = 0.252</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0.67</w:t>
      </w:r>
      <w:r>
        <w:rPr>
          <w:rFonts w:ascii="Times New Roman" w:hAnsi="Times New Roman" w:eastAsia="Times New Roman"/>
          <w:b w:val="0"/>
          <w:i w:val="0"/>
        </w:rPr>
        <w:t xml:space="preserve">; 33 harmonized instruments; Supplementary Table S7). Heterogeneity diagnostics reflected this instrument-correlation pattern: on the unclumped set, Cochran's </w:t>
      </w:r>
      <w:r>
        <w:rPr>
          <w:rFonts w:ascii="Times New Roman" w:hAnsi="Times New Roman" w:eastAsia="Times New Roman"/>
          <w:b w:val="0"/>
          <w:i/>
        </w:rPr>
        <w:t>Q</w:t>
      </w:r>
      <w:r>
        <w:rPr>
          <w:rFonts w:ascii="Times New Roman" w:hAnsi="Times New Roman" w:eastAsia="Times New Roman"/>
          <w:b w:val="0"/>
          <w:i w:val="0"/>
        </w:rPr>
        <w:t xml:space="preserve"> was extreme (</w:t>
      </w:r>
      <w:r>
        <w:rPr>
          <w:rFonts w:ascii="Times New Roman" w:hAnsi="Times New Roman" w:eastAsia="Times New Roman"/>
          <w:b w:val="0"/>
          <w:i/>
        </w:rPr>
        <w:t>Q</w:t>
      </w:r>
      <w:r>
        <w:rPr>
          <w:rFonts w:ascii="Times New Roman" w:hAnsi="Times New Roman" w:eastAsia="Times New Roman"/>
          <w:b w:val="0"/>
          <w:i w:val="0"/>
        </w:rPr>
        <w:t xml:space="preserve"> = 3.66 × 10</w:t>
      </w:r>
      <w:r>
        <w:rPr>
          <w:rFonts w:ascii="Times New Roman" w:hAnsi="Times New Roman" w:eastAsia="Times New Roman"/>
          <w:b w:val="0"/>
          <w:i w:val="0"/>
          <w:vertAlign w:val="superscript"/>
        </w:rPr>
        <w:t>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1.25 × 10</w:t>
      </w:r>
      <w:r>
        <w:rPr>
          <w:rFonts w:ascii="Times New Roman" w:hAnsi="Times New Roman" w:eastAsia="Times New Roman"/>
          <w:b w:val="0"/>
          <w:i w:val="0"/>
          <w:vertAlign w:val="superscript"/>
        </w:rPr>
        <w:t>-50</w:t>
      </w:r>
      <w:r>
        <w:rPr>
          <w:rFonts w:ascii="Times New Roman" w:hAnsi="Times New Roman" w:eastAsia="Times New Roman"/>
          <w:b w:val="0"/>
          <w:i w:val="0"/>
        </w:rPr>
        <w:t>), consistent with precision inflation from correlated instruments, whereas MR-Egger and the weighted-median/mode estimators were not separately reported for the clumped subsets (Supplementary Table S2).</w:t>
      </w:r>
    </w:p>
    <w:p>
      <w:pPr>
        <w:spacing w:before="0" w:after="120" w:line="480" w:lineRule="auto"/>
      </w:pPr>
      <w:r>
        <w:rPr>
          <w:rFonts w:ascii="Times New Roman" w:hAnsi="Times New Roman" w:eastAsia="Times New Roman"/>
          <w:b/>
          <w:i w:val="0"/>
        </w:rPr>
        <w:t>What LD correction changes: precision, not only direction.</w:t>
      </w:r>
      <w:r>
        <w:rPr>
          <w:rFonts w:ascii="Times New Roman" w:hAnsi="Times New Roman" w:eastAsia="Times New Roman"/>
          <w:b w:val="0"/>
          <w:i w:val="0"/>
        </w:rPr>
        <w:t xml:space="preserve"> The three instrument tiers make the effect of clumping explicit (Supplementary Table S11). Unclumped estimation returned </w:t>
      </w:r>
      <w:r>
        <w:rPr>
          <w:rFonts w:ascii="Times New Roman" w:hAnsi="Times New Roman" w:eastAsia="Times New Roman"/>
          <w:b w:val="0"/>
          <w:i/>
        </w:rPr>
        <w:t>β</w:t>
      </w:r>
      <w:r>
        <w:rPr>
          <w:rFonts w:ascii="Times New Roman" w:hAnsi="Times New Roman" w:eastAsia="Times New Roman"/>
          <w:b w:val="0"/>
          <w:i w:val="0"/>
        </w:rPr>
        <w:t xml:space="preserve"> = +0.104</w:t>
      </w:r>
      <w:r>
        <w:rPr>
          <w:rFonts w:ascii="Times New Roman" w:hAnsi="Times New Roman" w:eastAsia="Times New Roman"/>
          <w:b w:val="0"/>
          <w:i w:val="0"/>
        </w:rPr>
        <w:t xml:space="preserve"> (</w:t>
      </w:r>
      <w:r>
        <w:rPr>
          <w:rFonts w:ascii="Times New Roman" w:hAnsi="Times New Roman" w:eastAsia="Times New Roman"/>
          <w:b w:val="0"/>
          <w:i w:val="0"/>
        </w:rPr>
        <w:t>SE = 0.031</w:t>
      </w:r>
      <w:r>
        <w:rPr>
          <w:rFonts w:ascii="Times New Roman" w:hAnsi="Times New Roman" w:eastAsia="Times New Roman"/>
          <w:b w:val="0"/>
          <w:i w:val="0"/>
        </w:rPr>
        <w:t xml:space="preserve">) from 2,462 correlated variants. After clumping, the standard error widened 6.5-fold at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0.1</w:t>
      </w:r>
      <w:r>
        <w:rPr>
          <w:rFonts w:ascii="Times New Roman" w:hAnsi="Times New Roman" w:eastAsia="Times New Roman"/>
          <w:b w:val="0"/>
          <w:i w:val="0"/>
        </w:rPr>
        <w:t xml:space="preserve"> (</w:t>
      </w:r>
      <w:r>
        <w:rPr>
          <w:rFonts w:ascii="Times New Roman" w:hAnsi="Times New Roman" w:eastAsia="Times New Roman"/>
          <w:b w:val="0"/>
          <w:i w:val="0"/>
        </w:rPr>
        <w:t>SE = 0.203</w:t>
      </w:r>
      <w:r>
        <w:rPr>
          <w:rFonts w:ascii="Times New Roman" w:hAnsi="Times New Roman" w:eastAsia="Times New Roman"/>
          <w:b w:val="0"/>
          <w:i w:val="0"/>
        </w:rPr>
        <w:t xml:space="preserve">, 54 variants) and 7.5-fold at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xml:space="preserve"> (</w:t>
      </w:r>
      <w:r>
        <w:rPr>
          <w:rFonts w:ascii="Times New Roman" w:hAnsi="Times New Roman" w:eastAsia="Times New Roman"/>
          <w:b w:val="0"/>
          <w:i w:val="0"/>
        </w:rPr>
        <w:t>SE = 0.236</w:t>
      </w:r>
      <w:r>
        <w:rPr>
          <w:rFonts w:ascii="Times New Roman" w:hAnsi="Times New Roman" w:eastAsia="Times New Roman"/>
          <w:b w:val="0"/>
          <w:i w:val="0"/>
        </w:rPr>
        <w:t>, 37 variants), while the point estimate changed sign in both tiers (</w:t>
      </w:r>
      <w:r>
        <w:rPr>
          <w:rFonts w:ascii="Times New Roman" w:hAnsi="Times New Roman" w:eastAsia="Times New Roman"/>
          <w:b w:val="0"/>
          <w:i/>
        </w:rPr>
        <w:t>β</w:t>
      </w:r>
      <w:r>
        <w:rPr>
          <w:rFonts w:ascii="Times New Roman" w:hAnsi="Times New Roman" w:eastAsia="Times New Roman"/>
          <w:b w:val="0"/>
          <w:i w:val="0"/>
        </w:rPr>
        <w:t xml:space="preserve"> = -0.130</w:t>
      </w:r>
      <w:r>
        <w:rPr>
          <w:rFonts w:ascii="Times New Roman" w:hAnsi="Times New Roman" w:eastAsia="Times New Roman"/>
          <w:b w:val="0"/>
          <w:i w:val="0"/>
        </w:rPr>
        <w:t xml:space="preserve"> and </w:t>
      </w:r>
      <w:r>
        <w:rPr>
          <w:rFonts w:ascii="Times New Roman" w:hAnsi="Times New Roman" w:eastAsia="Times New Roman"/>
          <w:b w:val="0"/>
          <w:i w:val="0"/>
        </w:rPr>
        <w:t>-0.111</w:t>
      </w:r>
      <w:r>
        <w:rPr>
          <w:rFonts w:ascii="Times New Roman" w:hAnsi="Times New Roman" w:eastAsia="Times New Roman"/>
          <w:b w:val="0"/>
          <w:i w:val="0"/>
        </w:rPr>
        <w:t>). The apparent significance of the unclumped estimate (</w:t>
      </w:r>
      <w:r>
        <w:rPr>
          <w:rFonts w:ascii="Times New Roman" w:hAnsi="Times New Roman" w:eastAsia="Times New Roman"/>
          <w:b w:val="0"/>
          <w:i/>
        </w:rPr>
        <w:t>P</w:t>
      </w:r>
      <w:r>
        <w:rPr>
          <w:rFonts w:ascii="Times New Roman" w:hAnsi="Times New Roman" w:eastAsia="Times New Roman"/>
          <w:b w:val="0"/>
          <w:i w:val="0"/>
        </w:rPr>
        <w:t xml:space="preserve"> = 9.3 × 10</w:t>
      </w:r>
      <w:r>
        <w:rPr>
          <w:rFonts w:ascii="Times New Roman" w:hAnsi="Times New Roman" w:eastAsia="Times New Roman"/>
          <w:b w:val="0"/>
          <w:i w:val="0"/>
          <w:vertAlign w:val="superscript"/>
        </w:rPr>
        <w:t>-4</w:t>
      </w:r>
      <w:r>
        <w:rPr>
          <w:rFonts w:ascii="Times New Roman" w:hAnsi="Times New Roman" w:eastAsia="Times New Roman"/>
          <w:b w:val="0"/>
          <w:i w:val="0"/>
        </w:rPr>
        <w:t>) is therefore attributable to the instrument set rather than to the exposure–outcome relationship: correlated instruments removed variance without adding information, understating the standard error by a factor of 6.5 to 7.5. LD correction thus does not merely attenuate a coefficient: clumping changed both the instrument set and the reported standard error, and although the resulting SE ratios do not by themselves identify the sampling variance of the original set, the apparent significance does not survive at Gate G2. Supplementary Table S10 disaggregates the same verdict in the opposite direction, removing one gate at a time from the 12-case cohort: no single gate changes more than 7 of 12 grades, and removing G6 changes none, so the falsification of this claim is not an artefact of any one criterion.</w:t>
      </w:r>
    </w:p>
    <w:p>
      <w:pPr>
        <w:spacing w:before="0" w:after="120" w:line="480" w:lineRule="auto"/>
      </w:pPr>
      <w:r>
        <w:rPr>
          <w:rFonts w:ascii="Times New Roman" w:hAnsi="Times New Roman" w:eastAsia="Times New Roman"/>
          <w:b/>
          <w:i w:val="0"/>
        </w:rPr>
        <w:t>G3: genetic architecture.</w:t>
      </w:r>
      <w:r>
        <w:rPr>
          <w:rFonts w:ascii="Times New Roman" w:hAnsi="Times New Roman" w:eastAsia="Times New Roman"/>
          <w:b w:val="0"/>
          <w:i w:val="0"/>
        </w:rPr>
        <w:t xml:space="preserve"> Cross-trait LD Score regression (LDSC) yielded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 -0.028</w:t>
      </w:r>
      <w:r>
        <w:rPr>
          <w:rFonts w:ascii="Times New Roman" w:hAnsi="Times New Roman" w:eastAsia="Times New Roman"/>
          <w:b w:val="0"/>
          <w:i w:val="0"/>
        </w:rPr>
        <w:t xml:space="preserve"> (</w:t>
      </w:r>
      <w:r>
        <w:rPr>
          <w:rFonts w:ascii="Times New Roman" w:hAnsi="Times New Roman" w:eastAsia="Times New Roman"/>
          <w:b w:val="0"/>
          <w:i w:val="0"/>
        </w:rPr>
        <w:t>SE = 0.050</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0.57</w:t>
      </w:r>
      <w:r>
        <w:rPr>
          <w:rFonts w:ascii="Times New Roman" w:hAnsi="Times New Roman" w:eastAsia="Times New Roman"/>
          <w:b w:val="0"/>
          <w:i w:val="0"/>
        </w:rPr>
        <w:t>), which is not significantly different from zero; excluding chromosome 19 gave a comparably null estimate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xml:space="preserve"> = -0.031</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0.53</w:t>
      </w:r>
      <w:r>
        <w:rPr>
          <w:rFonts w:ascii="Times New Roman" w:hAnsi="Times New Roman" w:eastAsia="Times New Roman"/>
          <w:b w:val="0"/>
          <w:i w:val="0"/>
        </w:rPr>
        <w:t xml:space="preserve">), not a numerically identical one; both are consistent with the absence of genome-wide shared polygenic architecture. That exclusion removes the whole of chromosome 19 rather than the </w:t>
      </w:r>
      <w:r>
        <w:rPr>
          <w:rFonts w:ascii="Times New Roman" w:hAnsi="Times New Roman" w:eastAsia="Times New Roman"/>
          <w:b w:val="0"/>
          <w:i/>
        </w:rPr>
        <w:t>APOE</w:t>
      </w:r>
      <w:r>
        <w:rPr>
          <w:rFonts w:ascii="Times New Roman" w:hAnsi="Times New Roman" w:eastAsia="Times New Roman"/>
          <w:b w:val="0"/>
          <w:i w:val="0"/>
        </w:rPr>
        <w:t xml:space="preserve"> region specifically, because </w:t>
      </w:r>
      <w:r>
        <w:rPr>
          <w:rFonts w:ascii="Times New Roman" w:hAnsi="Times New Roman" w:eastAsia="Times New Roman"/>
          <w:b w:val="0"/>
          <w:i/>
        </w:rPr>
        <w:t>APOE</w:t>
      </w:r>
      <w:r>
        <w:rPr>
          <w:rFonts w:ascii="Times New Roman" w:hAnsi="Times New Roman" w:eastAsia="Times New Roman"/>
          <w:b w:val="0"/>
          <w:i w:val="0"/>
        </w:rPr>
        <w:t xml:space="preserve"> lies at 19q13.32 and cannot be isolated by chromosome-level filtering; we therefore make no </w:t>
      </w:r>
      <w:r>
        <w:rPr>
          <w:rFonts w:ascii="Times New Roman" w:hAnsi="Times New Roman" w:eastAsia="Times New Roman"/>
          <w:b w:val="0"/>
          <w:i/>
        </w:rPr>
        <w:t>APOE</w:t>
      </w:r>
      <w:r>
        <w:rPr>
          <w:rFonts w:ascii="Times New Roman" w:hAnsi="Times New Roman" w:eastAsia="Times New Roman"/>
          <w:b w:val="0"/>
          <w:i w:val="0"/>
        </w:rPr>
        <w:t>-specific claim from it. The persistence of the nominal unclumped association without chromosome 19 (</w:t>
      </w:r>
      <w:r>
        <w:rPr>
          <w:rFonts w:ascii="Times New Roman" w:hAnsi="Times New Roman" w:eastAsia="Times New Roman"/>
          <w:b w:val="0"/>
          <w:i/>
        </w:rPr>
        <w:t>β</w:t>
      </w:r>
      <w:r>
        <w:rPr>
          <w:rFonts w:ascii="Times New Roman" w:hAnsi="Times New Roman" w:eastAsia="Times New Roman"/>
          <w:b w:val="0"/>
          <w:i w:val="0"/>
        </w:rPr>
        <w:t xml:space="preserve"> = 0.094</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0.003</w:t>
      </w:r>
      <w:r>
        <w:rPr>
          <w:rFonts w:ascii="Times New Roman" w:hAnsi="Times New Roman" w:eastAsia="Times New Roman"/>
          <w:b w:val="0"/>
          <w:i w:val="0"/>
        </w:rPr>
        <w:t>) shows only that the unclumped signal is not confined to that chromosome. Colocalization was run in both directions, with windows built around LD-independent lead variants: 47 insomnia leads tested against AD windows (forward) and 32 AD leads tested against insomnia windows (reverse). The two lead sets share no variant, so the scans are disjoint rather than re-classifications of the same regions. Strong support (</w:t>
      </w:r>
      <w:r>
        <w:rPr>
          <w:rFonts w:ascii="Times New Roman" w:hAnsi="Times New Roman" w:eastAsia="Times New Roman"/>
          <w:b w:val="0"/>
          <w:i w:val="0"/>
        </w:rPr>
        <w:t>PP.H4 ≥ 0.80</w:t>
      </w:r>
      <w:r>
        <w:rPr>
          <w:rFonts w:ascii="Times New Roman" w:hAnsi="Times New Roman" w:eastAsia="Times New Roman"/>
          <w:b w:val="0"/>
          <w:i w:val="0"/>
        </w:rPr>
        <w:t xml:space="preserve">) was obtained for 18 of 32 reverse loci against 1 of 47 forward loci (Figure 3B); 16 of the 18 reverse loci fall within the </w:t>
      </w:r>
      <w:r>
        <w:rPr>
          <w:rFonts w:ascii="Times New Roman" w:hAnsi="Times New Roman" w:eastAsia="Times New Roman"/>
          <w:b w:val="0"/>
          <w:i/>
        </w:rPr>
        <w:t>APOE</w:t>
      </w:r>
      <w:r>
        <w:rPr>
          <w:rFonts w:ascii="Times New Roman" w:hAnsi="Times New Roman" w:eastAsia="Times New Roman"/>
          <w:b w:val="0"/>
          <w:i w:val="0"/>
        </w:rPr>
        <w:t xml:space="preserve"> region (GRCh37 chr19:45.06–45.82 Mb, </w:t>
      </w:r>
      <w:r>
        <w:rPr>
          <w:rFonts w:ascii="Times New Roman" w:hAnsi="Times New Roman" w:eastAsia="Times New Roman"/>
          <w:b w:val="0"/>
          <w:i w:val="0"/>
        </w:rPr>
        <w:t>PP.H4 &gt; 0.98</w:t>
      </w:r>
      <w:r>
        <w:rPr>
          <w:rFonts w:ascii="Times New Roman" w:hAnsi="Times New Roman" w:eastAsia="Times New Roman"/>
          <w:b w:val="0"/>
          <w:i w:val="0"/>
        </w:rPr>
        <w:t xml:space="preserve">) and the remaining two lie at chr11p11.2. This asymmetry indicates locus-specific, </w:t>
      </w:r>
      <w:r>
        <w:rPr>
          <w:rFonts w:ascii="Times New Roman" w:hAnsi="Times New Roman" w:eastAsia="Times New Roman"/>
          <w:b w:val="0"/>
          <w:i/>
        </w:rPr>
        <w:t>APOE</w:t>
      </w:r>
      <w:r>
        <w:rPr>
          <w:rFonts w:ascii="Times New Roman" w:hAnsi="Times New Roman" w:eastAsia="Times New Roman"/>
          <w:b w:val="0"/>
          <w:i w:val="0"/>
        </w:rPr>
        <w:t>-centered genetic sharing (Supplementary Table S1; Figure 4). Colocalization identifies a shared causal variant for the two traits and does not by itself establish causal direction; the directional reading rests on the conjunction of this asymmetry, the null forward LDSC and the clumped MR results, not on colocalization alone.</w:t>
      </w:r>
    </w:p>
    <w:p>
      <w:pPr>
        <w:spacing w:before="0" w:after="120" w:line="480" w:lineRule="auto"/>
      </w:pPr>
      <w:r>
        <w:rPr>
          <w:rFonts w:ascii="Times New Roman" w:hAnsi="Times New Roman" w:eastAsia="Times New Roman"/>
          <w:b/>
          <w:i w:val="0"/>
        </w:rPr>
        <w:t>G4: direct effect.</w:t>
      </w:r>
      <w:r>
        <w:rPr>
          <w:rFonts w:ascii="Times New Roman" w:hAnsi="Times New Roman" w:eastAsia="Times New Roman"/>
          <w:b w:val="0"/>
          <w:i w:val="0"/>
        </w:rPr>
        <w:t xml:space="preserve"> Multivariable MR (MVMR) incorporating insomnia, education, depression, and LDL cholesterol revealed a protective direct effect for educational attainment (</w:t>
      </w:r>
      <w:r>
        <w:rPr>
          <w:rFonts w:ascii="Times New Roman" w:hAnsi="Times New Roman" w:eastAsia="Times New Roman"/>
          <w:b w:val="0"/>
          <w:i/>
        </w:rPr>
        <w:t>β</w:t>
      </w:r>
      <w:r>
        <w:rPr>
          <w:rFonts w:ascii="Times New Roman" w:hAnsi="Times New Roman" w:eastAsia="Times New Roman"/>
          <w:b w:val="0"/>
          <w:i w:val="0"/>
        </w:rPr>
        <w:t xml:space="preserve"> = -1.29</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0.008</w:t>
      </w:r>
      <w:r>
        <w:rPr>
          <w:rFonts w:ascii="Times New Roman" w:hAnsi="Times New Roman" w:eastAsia="Times New Roman"/>
          <w:b w:val="0"/>
          <w:i w:val="0"/>
        </w:rPr>
        <w:t>, loose clump). The direct effect of insomnia was negative (</w:t>
      </w:r>
      <w:r>
        <w:rPr>
          <w:rFonts w:ascii="Times New Roman" w:hAnsi="Times New Roman" w:eastAsia="Times New Roman"/>
          <w:b w:val="0"/>
          <w:i/>
        </w:rPr>
        <w:t>β</w:t>
      </w:r>
      <w:r>
        <w:rPr>
          <w:rFonts w:ascii="Times New Roman" w:hAnsi="Times New Roman" w:eastAsia="Times New Roman"/>
          <w:b w:val="0"/>
          <w:i w:val="0"/>
        </w:rPr>
        <w:t xml:space="preserve"> = -0.57</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0.045</w:t>
      </w:r>
      <w:r>
        <w:rPr>
          <w:rFonts w:ascii="Times New Roman" w:hAnsi="Times New Roman" w:eastAsia="Times New Roman"/>
          <w:b w:val="0"/>
          <w:i w:val="0"/>
        </w:rPr>
        <w:t>), opposite in direction to the original claim that insomnia elevates AD risk, further supporting falsification rather than a protective interpretation given the low power of this direct-effect model. Educational attainment PheWAS confirmed protective associations against AD (</w:t>
      </w:r>
      <w:r>
        <w:rPr>
          <w:rFonts w:ascii="Times New Roman" w:hAnsi="Times New Roman" w:eastAsia="Times New Roman"/>
          <w:b w:val="0"/>
          <w:i/>
        </w:rPr>
        <w:t>β</w:t>
      </w:r>
      <w:r>
        <w:rPr>
          <w:rFonts w:ascii="Times New Roman" w:hAnsi="Times New Roman" w:eastAsia="Times New Roman"/>
          <w:b w:val="0"/>
          <w:i w:val="0"/>
        </w:rPr>
        <w:t xml:space="preserve"> = -0.33</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1.1 × 10</w:t>
      </w:r>
      <w:r>
        <w:rPr>
          <w:rFonts w:ascii="Times New Roman" w:hAnsi="Times New Roman" w:eastAsia="Times New Roman"/>
          <w:b w:val="0"/>
          <w:i w:val="0"/>
          <w:vertAlign w:val="superscript"/>
        </w:rPr>
        <w:t>-5</w:t>
      </w:r>
      <w:r>
        <w:rPr>
          <w:rFonts w:ascii="Times New Roman" w:hAnsi="Times New Roman" w:eastAsia="Times New Roman"/>
          <w:b w:val="0"/>
          <w:i w:val="0"/>
        </w:rPr>
        <w:t>; cf. Seyedsalehi et al., 2023) and Parkinson's disease (</w:t>
      </w:r>
      <w:r>
        <w:rPr>
          <w:rFonts w:ascii="Times New Roman" w:hAnsi="Times New Roman" w:eastAsia="Times New Roman"/>
          <w:b w:val="0"/>
          <w:i/>
        </w:rPr>
        <w:t>β</w:t>
      </w:r>
      <w:r>
        <w:rPr>
          <w:rFonts w:ascii="Times New Roman" w:hAnsi="Times New Roman" w:eastAsia="Times New Roman"/>
          <w:b w:val="0"/>
          <w:i w:val="0"/>
        </w:rPr>
        <w:t xml:space="preserve"> = -0.39</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7.2 × 10</w:t>
      </w:r>
      <w:r>
        <w:rPr>
          <w:rFonts w:ascii="Times New Roman" w:hAnsi="Times New Roman" w:eastAsia="Times New Roman"/>
          <w:b w:val="0"/>
          <w:i w:val="0"/>
          <w:vertAlign w:val="superscript"/>
        </w:rPr>
        <w:t>-6</w:t>
      </w:r>
      <w:r>
        <w:rPr>
          <w:rFonts w:ascii="Times New Roman" w:hAnsi="Times New Roman" w:eastAsia="Times New Roman"/>
          <w:b w:val="0"/>
          <w:i w:val="0"/>
        </w:rPr>
        <w:t>; Nalls et al., 2019), but not multiple sclerosis (</w:t>
      </w:r>
      <w:r>
        <w:rPr>
          <w:rFonts w:ascii="Times New Roman" w:hAnsi="Times New Roman" w:eastAsia="Times New Roman"/>
          <w:b w:val="0"/>
          <w:i/>
        </w:rPr>
        <w:t>β</w:t>
      </w:r>
      <w:r>
        <w:rPr>
          <w:rFonts w:ascii="Times New Roman" w:hAnsi="Times New Roman" w:eastAsia="Times New Roman"/>
          <w:b w:val="0"/>
          <w:i w:val="0"/>
        </w:rPr>
        <w:t xml:space="preserve"> = +0.015</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0.90</w:t>
      </w:r>
      <w:r>
        <w:rPr>
          <w:rFonts w:ascii="Times New Roman" w:hAnsi="Times New Roman" w:eastAsia="Times New Roman"/>
          <w:b w:val="0"/>
          <w:i w:val="0"/>
        </w:rPr>
        <w:t xml:space="preserve">; Patsopoulos et al., 2019). Correlated estimates across the four exposures were handled by fitting them jointly in a single model rather than by pooling separate univariable estimates, and correlated variants were removed by clumping before the joint fit, so the model's variant set is LD-independent by construction. Conditional </w:t>
      </w:r>
      <w:r>
        <w:rPr>
          <w:rFonts w:ascii="Times New Roman" w:hAnsi="Times New Roman" w:eastAsia="Times New Roman"/>
          <w:b w:val="0"/>
          <w:i/>
        </w:rPr>
        <w:t>F</w:t>
      </w:r>
      <w:r>
        <w:rPr>
          <w:rFonts w:ascii="Times New Roman" w:hAnsi="Times New Roman" w:eastAsia="Times New Roman"/>
          <w:b w:val="0"/>
          <w:i w:val="0"/>
        </w:rPr>
        <w:t>-statistics were not retrieved from the archived MVIVW fits and are therefore not tabulated: the archived run records each model's variant count (44 loose-clump, 29–31 tight-clump) and the first-stage strength of the exposure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0.0022</w:t>
      </w:r>
      <w:r>
        <w:rPr>
          <w:rFonts w:ascii="Times New Roman" w:hAnsi="Times New Roman" w:eastAsia="Times New Roman"/>
          <w:b w:val="0"/>
          <w:i w:val="0"/>
        </w:rPr>
        <w:t xml:space="preserve">; mean </w:t>
      </w:r>
      <w:r>
        <w:rPr>
          <w:rFonts w:ascii="Times New Roman" w:hAnsi="Times New Roman" w:eastAsia="Times New Roman"/>
          <w:b w:val="0"/>
          <w:i/>
        </w:rPr>
        <w:t>F</w:t>
      </w:r>
      <w:r>
        <w:rPr>
          <w:rFonts w:ascii="Times New Roman" w:hAnsi="Times New Roman" w:eastAsia="Times New Roman"/>
          <w:b w:val="0"/>
          <w:i w:val="0"/>
        </w:rPr>
        <w:t xml:space="preserve"> = 44.3</w:t>
      </w:r>
      <w:r>
        <w:rPr>
          <w:rFonts w:ascii="Times New Roman" w:hAnsi="Times New Roman" w:eastAsia="Times New Roman"/>
          <w:b w:val="0"/>
          <w:i w:val="0"/>
        </w:rPr>
        <w:t xml:space="preserve">, minimum </w:t>
      </w:r>
      <w:r>
        <w:rPr>
          <w:rFonts w:ascii="Times New Roman" w:hAnsi="Times New Roman" w:eastAsia="Times New Roman"/>
          <w:b w:val="0"/>
          <w:i w:val="0"/>
        </w:rPr>
        <w:t>29.8</w:t>
      </w:r>
      <w:r>
        <w:rPr>
          <w:rFonts w:ascii="Times New Roman" w:hAnsi="Times New Roman" w:eastAsia="Times New Roman"/>
          <w:b w:val="0"/>
          <w:i w:val="0"/>
        </w:rPr>
        <w:t xml:space="preserve">), but not the conditional </w:t>
      </w:r>
      <w:r>
        <w:rPr>
          <w:rFonts w:ascii="Times New Roman" w:hAnsi="Times New Roman" w:eastAsia="Times New Roman"/>
          <w:b w:val="0"/>
          <w:i/>
        </w:rPr>
        <w:t>F</w:t>
      </w:r>
      <w:r>
        <w:rPr>
          <w:rFonts w:ascii="Times New Roman" w:hAnsi="Times New Roman" w:eastAsia="Times New Roman"/>
          <w:b w:val="0"/>
          <w:i w:val="0"/>
        </w:rPr>
        <w:t xml:space="preserve"> for each exposure within the joint model. This is a reporting gap rather than a computational failure, and it means that G4 scores in the validation cohort rest on the significance and direction of the MVMR estimates rather than on a verified conditional-strength threshold (Limitations).</w:t>
      </w:r>
    </w:p>
    <w:p>
      <w:pPr>
        <w:spacing w:before="0" w:after="120" w:line="480" w:lineRule="auto"/>
      </w:pPr>
      <w:r>
        <w:rPr>
          <w:rFonts w:ascii="Times New Roman" w:hAnsi="Times New Roman" w:eastAsia="Times New Roman"/>
          <w:b/>
          <w:i w:val="0"/>
        </w:rPr>
        <w:t>G5: biological mediation.</w:t>
      </w:r>
      <w:r>
        <w:rPr>
          <w:rFonts w:ascii="Times New Roman" w:hAnsi="Times New Roman" w:eastAsia="Times New Roman"/>
          <w:b w:val="0"/>
          <w:i w:val="0"/>
        </w:rPr>
        <w:t xml:space="preserve"> Protein mediation was absent along the insomnia </w:t>
      </w:r>
      <w:r>
        <w:rPr>
          <w:rFonts w:ascii="Times New Roman" w:hAnsi="Times New Roman" w:eastAsia="Times New Roman"/>
          <w:b w:val="0"/>
          <w:i w:val="0"/>
        </w:rPr>
        <w:t>→</w:t>
      </w:r>
      <w:r>
        <w:rPr>
          <w:rFonts w:ascii="Times New Roman" w:hAnsi="Times New Roman" w:eastAsia="Times New Roman"/>
          <w:b w:val="0"/>
          <w:i w:val="0"/>
        </w:rPr>
        <w:t xml:space="preserve"> protein </w:t>
      </w:r>
      <w:r>
        <w:rPr>
          <w:rFonts w:ascii="Times New Roman" w:hAnsi="Times New Roman" w:eastAsia="Times New Roman"/>
          <w:b w:val="0"/>
          <w:i w:val="0"/>
        </w:rPr>
        <w:t>→</w:t>
      </w:r>
      <w:r>
        <w:rPr>
          <w:rFonts w:ascii="Times New Roman" w:hAnsi="Times New Roman" w:eastAsia="Times New Roman"/>
          <w:b w:val="0"/>
          <w:i w:val="0"/>
        </w:rPr>
        <w:t xml:space="preserve"> AD pathway, as CRP and IL-6 indirect effects were null (overall </w:t>
      </w:r>
      <w:r>
        <w:rPr>
          <w:rFonts w:ascii="Times New Roman" w:hAnsi="Times New Roman" w:eastAsia="Times New Roman"/>
          <w:b w:val="0"/>
          <w:i w:val="0"/>
        </w:rPr>
        <w:t>FDR = 0.91</w:t>
      </w:r>
      <w:r>
        <w:rPr>
          <w:rFonts w:ascii="Times New Roman" w:hAnsi="Times New Roman" w:eastAsia="Times New Roman"/>
          <w:b w:val="0"/>
          <w:i w:val="0"/>
        </w:rPr>
        <w:t xml:space="preserve">). Screening 36 AD-relevant candidate proteins yielded no association at </w:t>
      </w:r>
      <w:r>
        <w:rPr>
          <w:rFonts w:ascii="Times New Roman" w:hAnsi="Times New Roman" w:eastAsia="Times New Roman"/>
          <w:b w:val="0"/>
          <w:i w:val="0"/>
        </w:rPr>
        <w:t>FDR &lt; 0.05</w:t>
      </w:r>
      <w:r>
        <w:rPr>
          <w:rFonts w:ascii="Times New Roman" w:hAnsi="Times New Roman" w:eastAsia="Times New Roman"/>
          <w:b w:val="0"/>
          <w:i w:val="0"/>
        </w:rPr>
        <w:t xml:space="preserve"> among the 25 that were evaluable; the 11 excluded proteins lacked a usable instrument set, defined a priori as fewer than three independent cis-pQTLs after clumping at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0.001</w:t>
      </w:r>
      <w:r>
        <w:rPr>
          <w:rFonts w:ascii="Times New Roman" w:hAnsi="Times New Roman" w:eastAsia="Times New Roman"/>
          <w:b w:val="0"/>
          <w:i w:val="0"/>
        </w:rPr>
        <w:t>. This rule and the excluded proteins are recorded in the archived screening output. Absence of mediation among 25 proteins does not exclude mediation through other proteins or pathways, and the gate scores the panel tested rather than the pathway as a whole. In the metabolite domain, circulating triglycerides mediated the protective effect of education: education lowered triglycerides (</w:t>
      </w:r>
      <w:r>
        <w:rPr>
          <w:rFonts w:ascii="Times New Roman" w:hAnsi="Times New Roman" w:eastAsia="Times New Roman"/>
          <w:b w:val="0"/>
          <w:i/>
        </w:rPr>
        <w:t>β</w:t>
      </w:r>
      <w:r>
        <w:rPr>
          <w:rFonts w:ascii="Times New Roman" w:hAnsi="Times New Roman" w:eastAsia="Times New Roman"/>
          <w:b w:val="0"/>
          <w:i w:val="0"/>
        </w:rPr>
        <w:t xml:space="preserve"> = -0.183</w:t>
      </w:r>
      <w:r>
        <w:rPr>
          <w:rFonts w:ascii="Times New Roman" w:hAnsi="Times New Roman" w:eastAsia="Times New Roman"/>
          <w:b w:val="0"/>
          <w:i w:val="0"/>
        </w:rPr>
        <w:t xml:space="preserve">, </w:t>
      </w:r>
      <w:r>
        <w:rPr>
          <w:rFonts w:ascii="Times New Roman" w:hAnsi="Times New Roman" w:eastAsia="Times New Roman"/>
          <w:b w:val="0"/>
          <w:i w:val="0"/>
        </w:rPr>
        <w:t>SE = 0.019</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2.5 × 10</w:t>
      </w:r>
      <w:r>
        <w:rPr>
          <w:rFonts w:ascii="Times New Roman" w:hAnsi="Times New Roman" w:eastAsia="Times New Roman"/>
          <w:b w:val="0"/>
          <w:i w:val="0"/>
          <w:vertAlign w:val="superscript"/>
        </w:rPr>
        <w:t>-22</w:t>
      </w:r>
      <w:r>
        <w:rPr>
          <w:rFonts w:ascii="Times New Roman" w:hAnsi="Times New Roman" w:eastAsia="Times New Roman"/>
          <w:b w:val="0"/>
          <w:i w:val="0"/>
        </w:rPr>
        <w:t>) and triglycerides were associated with higher AD risk (</w:t>
      </w:r>
      <w:r>
        <w:rPr>
          <w:rFonts w:ascii="Times New Roman" w:hAnsi="Times New Roman" w:eastAsia="Times New Roman"/>
          <w:b w:val="0"/>
          <w:i/>
        </w:rPr>
        <w:t>β</w:t>
      </w:r>
      <w:r>
        <w:rPr>
          <w:rFonts w:ascii="Times New Roman" w:hAnsi="Times New Roman" w:eastAsia="Times New Roman"/>
          <w:b w:val="0"/>
          <w:i w:val="0"/>
        </w:rPr>
        <w:t xml:space="preserve"> = +0.169</w:t>
      </w:r>
      <w:r>
        <w:rPr>
          <w:rFonts w:ascii="Times New Roman" w:hAnsi="Times New Roman" w:eastAsia="Times New Roman"/>
          <w:b w:val="0"/>
          <w:i w:val="0"/>
        </w:rPr>
        <w:t xml:space="preserve">, </w:t>
      </w:r>
      <w:r>
        <w:rPr>
          <w:rFonts w:ascii="Times New Roman" w:hAnsi="Times New Roman" w:eastAsia="Times New Roman"/>
          <w:b w:val="0"/>
          <w:i w:val="0"/>
        </w:rPr>
        <w:t>SE = 0.038</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9.7 × 10</w:t>
      </w:r>
      <w:r>
        <w:rPr>
          <w:rFonts w:ascii="Times New Roman" w:hAnsi="Times New Roman" w:eastAsia="Times New Roman"/>
          <w:b w:val="0"/>
          <w:i w:val="0"/>
          <w:vertAlign w:val="superscript"/>
        </w:rPr>
        <w:t>-6</w:t>
      </w:r>
      <w:r>
        <w:rPr>
          <w:rFonts w:ascii="Times New Roman" w:hAnsi="Times New Roman" w:eastAsia="Times New Roman"/>
          <w:b w:val="0"/>
          <w:i w:val="0"/>
        </w:rPr>
        <w:t xml:space="preserve">), giving an indirect effect of </w:t>
      </w:r>
      <w:r>
        <w:rPr>
          <w:rFonts w:ascii="Times New Roman" w:hAnsi="Times New Roman" w:eastAsia="Times New Roman"/>
          <w:b w:val="0"/>
          <w:i w:val="0"/>
        </w:rPr>
        <w:t>-0.031</w:t>
      </w:r>
      <w:r>
        <w:rPr>
          <w:rFonts w:ascii="Times New Roman" w:hAnsi="Times New Roman" w:eastAsia="Times New Roman"/>
          <w:b w:val="0"/>
          <w:i w:val="0"/>
        </w:rPr>
        <w:t xml:space="preserve"> (</w:t>
      </w:r>
      <w:r>
        <w:rPr>
          <w:rFonts w:ascii="Times New Roman" w:hAnsi="Times New Roman" w:eastAsia="Times New Roman"/>
          <w:b w:val="0"/>
          <w:i w:val="0"/>
        </w:rPr>
        <w:t>SE = 0.008</w:t>
      </w:r>
      <w:r>
        <w:rPr>
          <w:rFonts w:ascii="Times New Roman" w:hAnsi="Times New Roman" w:eastAsia="Times New Roman"/>
          <w:b w:val="0"/>
          <w:i w:val="0"/>
        </w:rPr>
        <w:t xml:space="preserve">, </w:t>
      </w:r>
      <w:r>
        <w:rPr>
          <w:rFonts w:ascii="Times New Roman" w:hAnsi="Times New Roman" w:eastAsia="Times New Roman"/>
          <w:b w:val="0"/>
          <w:i/>
        </w:rPr>
        <w:t>q</w:t>
      </w:r>
      <w:r>
        <w:rPr>
          <w:rFonts w:ascii="Times New Roman" w:hAnsi="Times New Roman" w:eastAsia="Times New Roman"/>
          <w:b w:val="0"/>
          <w:i w:val="0"/>
        </w:rPr>
        <w:t xml:space="preserve"> = 5.7 × 10</w:t>
      </w:r>
      <w:r>
        <w:rPr>
          <w:rFonts w:ascii="Times New Roman" w:hAnsi="Times New Roman" w:eastAsia="Times New Roman"/>
          <w:b w:val="0"/>
          <w:i w:val="0"/>
          <w:vertAlign w:val="superscript"/>
        </w:rPr>
        <w:t>-4</w:t>
      </w:r>
      <w:r>
        <w:rPr>
          <w:rFonts w:ascii="Times New Roman" w:hAnsi="Times New Roman" w:eastAsia="Times New Roman"/>
          <w:b w:val="0"/>
          <w:i w:val="0"/>
        </w:rPr>
        <w:t xml:space="preserve">; bootstrap 95% CI </w:t>
      </w:r>
      <w:r>
        <w:rPr>
          <w:rFonts w:ascii="Times New Roman" w:hAnsi="Times New Roman" w:eastAsia="Times New Roman"/>
          <w:b w:val="0"/>
          <w:i w:val="0"/>
        </w:rPr>
        <w:t>[-0.047, -0.017]</w:t>
      </w:r>
      <w:r>
        <w:rPr>
          <w:rFonts w:ascii="Times New Roman" w:hAnsi="Times New Roman" w:eastAsia="Times New Roman"/>
          <w:b w:val="0"/>
          <w:i w:val="0"/>
        </w:rPr>
        <w:t>). Expressed against the univariable total effect of education on AD (</w:t>
      </w:r>
      <w:r>
        <w:rPr>
          <w:rFonts w:ascii="Times New Roman" w:hAnsi="Times New Roman" w:eastAsia="Times New Roman"/>
          <w:b w:val="0"/>
          <w:i/>
        </w:rPr>
        <w:t>β</w:t>
      </w:r>
      <w:r>
        <w:rPr>
          <w:rFonts w:ascii="Times New Roman" w:hAnsi="Times New Roman" w:eastAsia="Times New Roman"/>
          <w:b w:val="0"/>
          <w:i w:val="0"/>
        </w:rPr>
        <w:t xml:space="preserve"> = -0.328</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1.1 × 10</w:t>
      </w:r>
      <w:r>
        <w:rPr>
          <w:rFonts w:ascii="Times New Roman" w:hAnsi="Times New Roman" w:eastAsia="Times New Roman"/>
          <w:b w:val="0"/>
          <w:i w:val="0"/>
          <w:vertAlign w:val="superscript"/>
        </w:rPr>
        <w:t>-5</w:t>
      </w:r>
      <w:r>
        <w:rPr>
          <w:rFonts w:ascii="Times New Roman" w:hAnsi="Times New Roman" w:eastAsia="Times New Roman"/>
          <w:b w:val="0"/>
          <w:i w:val="0"/>
        </w:rPr>
        <w:t>), this path accounts for 9.5% of the total, i.e. partial mediation; the remaining 90% is carried by paths not represented in the ten metabolites tested.</w:t>
      </w:r>
    </w:p>
    <w:p>
      <w:pPr>
        <w:spacing w:before="0" w:after="120" w:line="480" w:lineRule="auto"/>
      </w:pPr>
      <w:r>
        <w:rPr>
          <w:rFonts w:ascii="Times New Roman" w:hAnsi="Times New Roman" w:eastAsia="Times New Roman"/>
          <w:b/>
          <w:i w:val="0"/>
        </w:rPr>
        <w:t>G6: external validation.</w:t>
      </w:r>
      <w:r>
        <w:rPr>
          <w:rFonts w:ascii="Times New Roman" w:hAnsi="Times New Roman" w:eastAsia="Times New Roman"/>
          <w:b w:val="0"/>
          <w:i w:val="0"/>
        </w:rPr>
        <w:t xml:space="preserve"> Directional consistency was maintained across East Asian cohorts for established directions. Education associated inversely with T2D risk using East Asian education instruments (</w:t>
      </w:r>
      <w:r>
        <w:rPr>
          <w:rFonts w:ascii="Times New Roman" w:hAnsi="Times New Roman" w:eastAsia="Times New Roman"/>
          <w:b w:val="0"/>
          <w:i/>
        </w:rPr>
        <w:t>β</w:t>
      </w:r>
      <w:r>
        <w:rPr>
          <w:rFonts w:ascii="Times New Roman" w:hAnsi="Times New Roman" w:eastAsia="Times New Roman"/>
          <w:b w:val="0"/>
          <w:i w:val="0"/>
        </w:rPr>
        <w:t xml:space="preserve"> = -0.145</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0.012</w:t>
      </w:r>
      <w:r>
        <w:rPr>
          <w:rFonts w:ascii="Times New Roman" w:hAnsi="Times New Roman" w:eastAsia="Times New Roman"/>
          <w:b w:val="0"/>
          <w:i w:val="0"/>
        </w:rPr>
        <w:t xml:space="preserve">; cf. Chen et al., 2024), whereas the T2D </w:t>
      </w:r>
      <w:r>
        <w:rPr>
          <w:rFonts w:ascii="Times New Roman" w:hAnsi="Times New Roman" w:eastAsia="Times New Roman"/>
          <w:b w:val="0"/>
          <w:i w:val="0"/>
        </w:rPr>
        <w:t>→</w:t>
      </w:r>
      <w:r>
        <w:rPr>
          <w:rFonts w:ascii="Times New Roman" w:hAnsi="Times New Roman" w:eastAsia="Times New Roman"/>
          <w:b w:val="0"/>
          <w:i w:val="0"/>
        </w:rPr>
        <w:t xml:space="preserve"> AD pathway remained null (</w:t>
      </w:r>
      <w:r>
        <w:rPr>
          <w:rFonts w:ascii="Times New Roman" w:hAnsi="Times New Roman" w:eastAsia="Times New Roman"/>
          <w:b w:val="0"/>
          <w:i/>
        </w:rPr>
        <w:t>β</w:t>
      </w:r>
      <w:r>
        <w:rPr>
          <w:rFonts w:ascii="Times New Roman" w:hAnsi="Times New Roman" w:eastAsia="Times New Roman"/>
          <w:b w:val="0"/>
          <w:i w:val="0"/>
        </w:rPr>
        <w:t xml:space="preserve"> = +0.006</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0.93</w:t>
      </w:r>
      <w:r>
        <w:rPr>
          <w:rFonts w:ascii="Times New Roman" w:hAnsi="Times New Roman" w:eastAsia="Times New Roman"/>
          <w:b w:val="0"/>
          <w:i w:val="0"/>
        </w:rPr>
        <w:t xml:space="preserve">). The East Asian replication of education </w:t>
      </w:r>
      <w:r>
        <w:rPr>
          <w:rFonts w:ascii="Times New Roman" w:hAnsi="Times New Roman" w:eastAsia="Times New Roman"/>
          <w:b w:val="0"/>
          <w:i w:val="0"/>
        </w:rPr>
        <w:t>→</w:t>
      </w:r>
      <w:r>
        <w:rPr>
          <w:rFonts w:ascii="Times New Roman" w:hAnsi="Times New Roman" w:eastAsia="Times New Roman"/>
          <w:b w:val="0"/>
          <w:i w:val="0"/>
        </w:rPr>
        <w:t xml:space="preserve"> AD was directionally concordant but null (GARD; </w:t>
      </w:r>
      <w:r>
        <w:rPr>
          <w:rFonts w:ascii="Times New Roman" w:hAnsi="Times New Roman" w:eastAsia="Times New Roman"/>
          <w:b w:val="0"/>
          <w:i/>
        </w:rPr>
        <w:t>β</w:t>
      </w:r>
      <w:r>
        <w:rPr>
          <w:rFonts w:ascii="Times New Roman" w:hAnsi="Times New Roman" w:eastAsia="Times New Roman"/>
          <w:b w:val="0"/>
          <w:i w:val="0"/>
        </w:rPr>
        <w:t xml:space="preserve"> = -0.029</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0.85</w:t>
      </w:r>
      <w:r>
        <w:rPr>
          <w:rFonts w:ascii="Times New Roman" w:hAnsi="Times New Roman" w:eastAsia="Times New Roman"/>
          <w:b w:val="0"/>
          <w:i w:val="0"/>
        </w:rPr>
        <w:t xml:space="preserve"> at achieved power </w:t>
      </w:r>
      <w:r>
        <w:rPr>
          <w:rFonts w:ascii="Times New Roman" w:hAnsi="Times New Roman" w:eastAsia="Times New Roman"/>
          <w:b w:val="0"/>
          <w:i w:val="0"/>
        </w:rPr>
        <w:t>≥ 84%</w:t>
      </w:r>
      <w:r>
        <w:rPr>
          <w:rFonts w:ascii="Times New Roman" w:hAnsi="Times New Roman" w:eastAsia="Times New Roman"/>
          <w:b w:val="0"/>
          <w:i w:val="0"/>
        </w:rPr>
        <w:t>), so it did not score at this gate: direction concordance without replication is not external validation, and the gate requires both. Trans-ethnic evaluation (cf. Zheng et al., 2021) using 40 LD-independent European instruments (30 retained after harmonisation) in GARD East Asian AD summary statistics produced a negative IVW estimate (</w:t>
      </w:r>
      <w:r>
        <w:rPr>
          <w:rFonts w:ascii="Times New Roman" w:hAnsi="Times New Roman" w:eastAsia="Times New Roman"/>
          <w:b w:val="0"/>
          <w:i/>
        </w:rPr>
        <w:t>β</w:t>
      </w:r>
      <w:r>
        <w:rPr>
          <w:rFonts w:ascii="Times New Roman" w:hAnsi="Times New Roman" w:eastAsia="Times New Roman"/>
          <w:b w:val="0"/>
          <w:i w:val="0"/>
        </w:rPr>
        <w:t xml:space="preserve"> = -0.84</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0.28</w:t>
      </w:r>
      <w:r>
        <w:rPr>
          <w:rFonts w:ascii="Times New Roman" w:hAnsi="Times New Roman" w:eastAsia="Times New Roman"/>
          <w:b w:val="0"/>
          <w:i w:val="0"/>
        </w:rPr>
        <w:t>), aligning with the European clumped null. Because statistical power was low (</w:t>
      </w:r>
      <w:r>
        <w:rPr>
          <w:rFonts w:ascii="Times New Roman" w:hAnsi="Times New Roman" w:eastAsia="Times New Roman"/>
          <w:b w:val="0"/>
          <w:i w:val="0"/>
        </w:rPr>
        <w:t>&lt;6%</w:t>
      </w:r>
      <w:r>
        <w:rPr>
          <w:rFonts w:ascii="Times New Roman" w:hAnsi="Times New Roman" w:eastAsia="Times New Roman"/>
          <w:b w:val="0"/>
          <w:i w:val="0"/>
        </w:rPr>
        <w:t>), this step serves only for directional screening and contributes no scoring points (Supplementary Note 2). No East Asian LD reference panel was accessible at the time of analysis, so the step used European-derived LD-independent instruments instead of ancestry-matched re-clumping. Two biases follow: residual LD among imported instruments can understate the standard error, and differences in LD structure and allele frequency between ancestries can shift the estimate irrespective of biology. Both affect precision and the magnitude of the point estimate, and can affect its sign as well; the step is therefore read only for directional concordance, and the framework assigns it no points at the power achieved here. Across the 12-case validation cohort, the framework assigned Grade A to three cases (LDL–CAD, education–AD and BMI–T2D), Grade B to two (education–T2D and height–CAD), Grade C to four (insomnia–AD, HDL–CAD, BMI–stroke and depression–AD) and Grade D to three clean nulls (CRP–CAD, BMI–AD and T2D–AD). Two blinded scoring passes performed on the same evidence agreed on 11 of 12 grades (</w:t>
      </w:r>
      <w:r>
        <w:rPr>
          <w:rFonts w:ascii="Times New Roman" w:hAnsi="Times New Roman" w:eastAsia="Times New Roman"/>
          <w:b w:val="0"/>
          <w:i/>
        </w:rPr>
        <w:t>κ</w:t>
      </w:r>
      <w:r>
        <w:rPr>
          <w:rFonts w:ascii="Times New Roman" w:hAnsi="Times New Roman" w:eastAsia="Times New Roman"/>
          <w:b w:val="0"/>
          <w:i w:val="0"/>
        </w:rPr>
        <w:t xml:space="preserve"> = 0.89</w:t>
      </w:r>
      <w:r>
        <w:rPr>
          <w:rFonts w:ascii="Times New Roman" w:hAnsi="Times New Roman" w:eastAsia="Times New Roman"/>
          <w:b w:val="0"/>
          <w:i w:val="0"/>
        </w:rPr>
        <w:t xml:space="preserve">; quadratic-weighted </w:t>
      </w:r>
      <w:r>
        <w:rPr>
          <w:rFonts w:ascii="Times New Roman" w:hAnsi="Times New Roman" w:eastAsia="Times New Roman"/>
          <w:b w:val="0"/>
          <w:i/>
        </w:rPr>
        <w:t>κ</w:t>
      </w:r>
      <w:r>
        <w:rPr>
          <w:rFonts w:ascii="Times New Roman" w:hAnsi="Times New Roman" w:eastAsia="Times New Roman"/>
          <w:b w:val="0"/>
          <w:i w:val="0"/>
        </w:rPr>
        <w:t xml:space="preserve"> = 0.97</w:t>
      </w:r>
      <w:r>
        <w:rPr>
          <w:rFonts w:ascii="Times New Roman" w:hAnsi="Times New Roman" w:eastAsia="Times New Roman"/>
          <w:b w:val="0"/>
          <w:i w:val="0"/>
        </w:rPr>
        <w:t>; Supplementary Table S8; Figure 5); the single disagreement, education–T2D, moved between Grades B and A depending on whether the East Asian replication was read as supporting a direct effect. A formal East Asian replication of the depression–AD case was not feasible with currently accessible data (Supplementary Note 1).</w:t>
      </w:r>
    </w:p>
    <w:p>
      <w:pPr>
        <w:spacing w:before="0" w:after="120" w:line="480" w:lineRule="auto"/>
      </w:pPr>
      <w:r>
        <w:rPr>
          <w:rFonts w:ascii="Times New Roman" w:hAnsi="Times New Roman" w:eastAsia="Times New Roman"/>
          <w:b/>
          <w:i w:val="0"/>
        </w:rPr>
        <w:t>Integrated verdict.</w:t>
      </w:r>
      <w:r>
        <w:rPr>
          <w:rFonts w:ascii="Times New Roman" w:hAnsi="Times New Roman" w:eastAsia="Times New Roman"/>
          <w:b w:val="0"/>
          <w:i w:val="0"/>
        </w:rPr>
        <w:t xml:space="preserve"> The cumulative 0–12 score maps to </w:t>
      </w:r>
      <w:r>
        <w:rPr>
          <w:rFonts w:ascii="Times New Roman" w:hAnsi="Times New Roman" w:eastAsia="Times New Roman"/>
          <w:b/>
          <w:i w:val="0"/>
        </w:rPr>
        <w:t>Grade C: shared APOE-locus liability, no independent causal upstream.</w:t>
      </w:r>
      <w:r>
        <w:rPr>
          <w:rFonts w:ascii="Times New Roman" w:hAnsi="Times New Roman" w:eastAsia="Times New Roman"/>
          <w:b w:val="0"/>
          <w:i w:val="0"/>
        </w:rPr>
        <w:t xml:space="preserve"> This application shows how the framework re-evaluates a previously reported Mendelian randomization signal, yielding a graded verdict that accounts for pleiotropic confounding.</w:t>
      </w:r>
    </w:p>
    <w:p>
      <w:pPr>
        <w:spacing w:before="280" w:after="120" w:line="240" w:lineRule="auto"/>
      </w:pPr>
      <w:r>
        <w:rPr>
          <w:rFonts w:ascii="Times New Roman" w:hAnsi="Times New Roman" w:eastAsia="Times New Roman"/>
          <w:b/>
          <w:i/>
          <w:sz w:val="24"/>
        </w:rPr>
        <w:t>Precision, limits of detection, pitfalls, and troubleshooting</w:t>
      </w:r>
    </w:p>
    <w:p>
      <w:pPr>
        <w:spacing w:before="0" w:after="120" w:line="480" w:lineRule="auto"/>
      </w:pPr>
      <w:r>
        <w:rPr>
          <w:rFonts w:ascii="Times New Roman" w:hAnsi="Times New Roman" w:eastAsia="Times New Roman"/>
          <w:b w:val="0"/>
          <w:i w:val="0"/>
        </w:rPr>
        <w:t>The benchmarked operating characteristics above define the precision of the scoring rule. Limits of detection depend on statistical power. At instrument strengths typical of insomnia liability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 0.0022</w:t>
      </w:r>
      <w:r>
        <w:rPr>
          <w:rFonts w:ascii="Times New Roman" w:hAnsi="Times New Roman" w:eastAsia="Times New Roman"/>
          <w:b w:val="0"/>
          <w:i w:val="0"/>
        </w:rPr>
        <w:t>), the procedure detects medium-to-large causal effects (</w:t>
      </w:r>
      <w:r>
        <w:rPr>
          <w:rFonts w:ascii="Times New Roman" w:hAnsi="Times New Roman" w:eastAsia="Times New Roman"/>
          <w:b w:val="0"/>
          <w:i w:val="0"/>
        </w:rPr>
        <w:t>80%</w:t>
      </w:r>
      <w:r>
        <w:rPr>
          <w:rFonts w:ascii="Times New Roman" w:hAnsi="Times New Roman" w:eastAsia="Times New Roman"/>
          <w:b w:val="0"/>
          <w:i w:val="0"/>
        </w:rPr>
        <w:t xml:space="preserve"> power at </w:t>
      </w:r>
      <w:r>
        <w:rPr>
          <w:rFonts w:ascii="Times New Roman" w:hAnsi="Times New Roman" w:eastAsia="Times New Roman"/>
          <w:b w:val="0"/>
          <w:i w:val="0"/>
        </w:rPr>
        <w:t>OR ≥ 1.25</w:t>
      </w:r>
      <w:r>
        <w:rPr>
          <w:rFonts w:ascii="Times New Roman" w:hAnsi="Times New Roman" w:eastAsia="Times New Roman"/>
          <w:b w:val="0"/>
          <w:i w:val="0"/>
        </w:rPr>
        <w:t xml:space="preserve"> per standard deviation) but cannot exclude smaller effects. Consequently, cross-ancestry checks provide directional screening rather than definitive exclusion. Key methodological pitfalls and corrective actions are outlined in Table 5.</w:t>
      </w:r>
    </w:p>
    <w:p>
      <w:pPr>
        <w:spacing w:before="0" w:after="120" w:line="480" w:lineRule="auto"/>
      </w:pPr>
      <w:r>
        <w:rPr>
          <w:rFonts w:ascii="Times New Roman" w:hAnsi="Times New Roman" w:eastAsia="Times New Roman"/>
          <w:b/>
          <w:i w:val="0"/>
        </w:rPr>
        <w:t>Insufficient evidence versus evidence against.</w:t>
      </w:r>
      <w:r>
        <w:rPr>
          <w:rFonts w:ascii="Times New Roman" w:hAnsi="Times New Roman" w:eastAsia="Times New Roman"/>
          <w:b w:val="0"/>
          <w:i w:val="0"/>
        </w:rPr>
        <w:t xml:space="preserve"> The framework separates the two by direction and by convergence across gates, not by the </w:t>
      </w:r>
      <w:r>
        <w:rPr>
          <w:rFonts w:ascii="Times New Roman" w:hAnsi="Times New Roman" w:eastAsia="Times New Roman"/>
          <w:b w:val="0"/>
          <w:i/>
        </w:rPr>
        <w:t>P</w:t>
      </w:r>
      <w:r>
        <w:rPr>
          <w:rFonts w:ascii="Times New Roman" w:hAnsi="Times New Roman" w:eastAsia="Times New Roman"/>
          <w:b w:val="0"/>
          <w:i w:val="0"/>
        </w:rPr>
        <w:t xml:space="preserve"> value of any single estimate. With 44 clumped loci, power to detect </w:t>
      </w:r>
      <w:r>
        <w:rPr>
          <w:rFonts w:ascii="Times New Roman" w:hAnsi="Times New Roman" w:eastAsia="Times New Roman"/>
          <w:b w:val="0"/>
          <w:i/>
        </w:rPr>
        <w:t>β</w:t>
      </w:r>
      <w:r>
        <w:rPr>
          <w:rFonts w:ascii="Times New Roman" w:hAnsi="Times New Roman" w:eastAsia="Times New Roman"/>
          <w:b w:val="0"/>
          <w:i w:val="0"/>
        </w:rPr>
        <w:t xml:space="preserve"> = 0.10</w:t>
      </w:r>
      <w:r>
        <w:rPr>
          <w:rFonts w:ascii="Times New Roman" w:hAnsi="Times New Roman" w:eastAsia="Times New Roman"/>
          <w:b w:val="0"/>
          <w:i w:val="0"/>
        </w:rPr>
        <w:t xml:space="preserve"> was 24%, and the clumped estimate carried a 95% confidence interval of </w:t>
      </w:r>
      <w:r>
        <w:rPr>
          <w:rFonts w:ascii="Times New Roman" w:hAnsi="Times New Roman" w:eastAsia="Times New Roman"/>
          <w:b w:val="0"/>
          <w:i w:val="0"/>
        </w:rPr>
        <w:t>-0.53</w:t>
      </w:r>
      <w:r>
        <w:rPr>
          <w:rFonts w:ascii="Times New Roman" w:hAnsi="Times New Roman" w:eastAsia="Times New Roman"/>
          <w:b w:val="0"/>
          <w:i w:val="0"/>
        </w:rPr>
        <w:t xml:space="preserve"> to </w:t>
      </w:r>
      <w:r>
        <w:rPr>
          <w:rFonts w:ascii="Times New Roman" w:hAnsi="Times New Roman" w:eastAsia="Times New Roman"/>
          <w:b w:val="0"/>
          <w:i w:val="0"/>
        </w:rPr>
        <w:t>0.27</w:t>
      </w:r>
      <w:r>
        <w:rPr>
          <w:rFonts w:ascii="Times New Roman" w:hAnsi="Times New Roman" w:eastAsia="Times New Roman"/>
          <w:b w:val="0"/>
          <w:i w:val="0"/>
        </w:rPr>
        <w:t xml:space="preserve">; on its own, that interval excludes neither zero nor the </w:t>
      </w:r>
      <w:r>
        <w:rPr>
          <w:rFonts w:ascii="Times New Roman" w:hAnsi="Times New Roman" w:eastAsia="Times New Roman"/>
          <w:b w:val="0"/>
          <w:i/>
        </w:rPr>
        <w:t>β</w:t>
      </w:r>
      <w:r>
        <w:rPr>
          <w:rFonts w:ascii="Times New Roman" w:hAnsi="Times New Roman" w:eastAsia="Times New Roman"/>
          <w:b w:val="0"/>
          <w:i w:val="0"/>
        </w:rPr>
        <w:t xml:space="preserve"> = 0.10</w:t>
      </w:r>
      <w:r>
        <w:rPr>
          <w:rFonts w:ascii="Times New Roman" w:hAnsi="Times New Roman" w:eastAsia="Times New Roman"/>
          <w:b w:val="0"/>
          <w:i w:val="0"/>
        </w:rPr>
        <w:t xml:space="preserve"> originally proposed, so the clumped null establishes only that this dataset cannot resolve an effect of that size. The East Asian screen (power </w:t>
      </w:r>
      <w:r>
        <w:rPr>
          <w:rFonts w:ascii="Times New Roman" w:hAnsi="Times New Roman" w:eastAsia="Times New Roman"/>
          <w:b w:val="0"/>
          <w:i w:val="0"/>
        </w:rPr>
        <w:t>&lt;6%</w:t>
      </w:r>
      <w:r>
        <w:rPr>
          <w:rFonts w:ascii="Times New Roman" w:hAnsi="Times New Roman" w:eastAsia="Times New Roman"/>
          <w:b w:val="0"/>
          <w:i w:val="0"/>
        </w:rPr>
        <w:t>) is weaker still. What lifts the verdict above non-resolution is the conjunction of four observations: the point estimate changes sign after clumping (</w:t>
      </w:r>
      <w:r>
        <w:rPr>
          <w:rFonts w:ascii="Times New Roman" w:hAnsi="Times New Roman" w:eastAsia="Times New Roman"/>
          <w:b w:val="0"/>
          <w:i w:val="0"/>
        </w:rPr>
        <w:t>+0.104</w:t>
      </w:r>
      <w:r>
        <w:rPr>
          <w:rFonts w:ascii="Times New Roman" w:hAnsi="Times New Roman" w:eastAsia="Times New Roman"/>
          <w:b w:val="0"/>
          <w:i w:val="0"/>
        </w:rPr>
        <w:t xml:space="preserve"> to </w:t>
      </w:r>
      <w:r>
        <w:rPr>
          <w:rFonts w:ascii="Times New Roman" w:hAnsi="Times New Roman" w:eastAsia="Times New Roman"/>
          <w:b w:val="0"/>
          <w:i w:val="0"/>
        </w:rPr>
        <w:t>-0.130</w:t>
      </w:r>
      <w:r>
        <w:rPr>
          <w:rFonts w:ascii="Times New Roman" w:hAnsi="Times New Roman" w:eastAsia="Times New Roman"/>
          <w:b w:val="0"/>
          <w:i w:val="0"/>
        </w:rPr>
        <w:t xml:space="preserve">); the forward genetic architecture is null while the reverse direction yields 18 loci with </w:t>
      </w:r>
      <w:r>
        <w:rPr>
          <w:rFonts w:ascii="Times New Roman" w:hAnsi="Times New Roman" w:eastAsia="Times New Roman"/>
          <w:b w:val="0"/>
          <w:i w:val="0"/>
        </w:rPr>
        <w:t>PP.H4 ≥ 0.80</w:t>
      </w:r>
      <w:r>
        <w:rPr>
          <w:rFonts w:ascii="Times New Roman" w:hAnsi="Times New Roman" w:eastAsia="Times New Roman"/>
          <w:b w:val="0"/>
          <w:i w:val="0"/>
        </w:rPr>
        <w:t>; the MVMR direct effect is negative (</w:t>
      </w:r>
      <w:r>
        <w:rPr>
          <w:rFonts w:ascii="Times New Roman" w:hAnsi="Times New Roman" w:eastAsia="Times New Roman"/>
          <w:b w:val="0"/>
          <w:i/>
        </w:rPr>
        <w:t>β</w:t>
      </w:r>
      <w:r>
        <w:rPr>
          <w:rFonts w:ascii="Times New Roman" w:hAnsi="Times New Roman" w:eastAsia="Times New Roman"/>
          <w:b w:val="0"/>
          <w:i w:val="0"/>
        </w:rPr>
        <w:t xml:space="preserve"> = -0.57</w:t>
      </w:r>
      <w:r>
        <w:rPr>
          <w:rFonts w:ascii="Times New Roman" w:hAnsi="Times New Roman" w:eastAsia="Times New Roman"/>
          <w:b w:val="0"/>
          <w:i w:val="0"/>
        </w:rPr>
        <w:t xml:space="preserve">, </w:t>
      </w:r>
      <w:r>
        <w:rPr>
          <w:rFonts w:ascii="Times New Roman" w:hAnsi="Times New Roman" w:eastAsia="Times New Roman"/>
          <w:b w:val="0"/>
          <w:i/>
        </w:rPr>
        <w:t>P</w:t>
      </w:r>
      <w:r>
        <w:rPr>
          <w:rFonts w:ascii="Times New Roman" w:hAnsi="Times New Roman" w:eastAsia="Times New Roman"/>
          <w:b w:val="0"/>
          <w:i w:val="0"/>
        </w:rPr>
        <w:t xml:space="preserve"> = 0.045</w:t>
      </w:r>
      <w:r>
        <w:rPr>
          <w:rFonts w:ascii="Times New Roman" w:hAnsi="Times New Roman" w:eastAsia="Times New Roman"/>
          <w:b w:val="0"/>
          <w:i w:val="0"/>
        </w:rPr>
        <w:t>); and no protein mediator survives correction. Underpowering lowers resolution rather than biasing an estimate towards zero, so a single sign reversal is weak evidence on its own; what underpowering does not produce is locus-specific colocalization concentrated in the opposite direction. Grade C therefore asserts that no directed causal upstream is supported by these data — not that the true effect is exactly zero. A small effect below the detection limit remains compatible with the evidence and is stated as such in the Limitations.</w:t>
      </w:r>
    </w:p>
    <w:p>
      <w:pPr>
        <w:spacing w:before="0" w:after="120" w:line="480" w:lineRule="auto"/>
      </w:pPr>
      <w:r>
        <w:rPr>
          <w:rFonts w:ascii="Times New Roman" w:hAnsi="Times New Roman" w:eastAsia="Times New Roman"/>
          <w:b w:val="0"/>
          <w:i w:val="0"/>
        </w:rPr>
        <w:t>Principal operational challenges include:</w:t>
      </w:r>
    </w:p>
    <w:p>
      <w:pPr>
        <w:spacing w:before="0" w:after="120" w:line="480" w:lineRule="auto"/>
        <w:ind w:left="425" w:hanging="425"/>
      </w:pPr>
      <w:r>
        <w:rPr>
          <w:rFonts w:ascii="Times New Roman" w:hAnsi="Times New Roman" w:eastAsia="Times New Roman"/>
          <w:b w:val="0"/>
          <w:i w:val="0"/>
        </w:rPr>
        <w:t xml:space="preserve">1.  </w:t>
      </w:r>
      <w:r>
        <w:rPr>
          <w:rFonts w:ascii="Times New Roman" w:hAnsi="Times New Roman" w:eastAsia="Times New Roman"/>
          <w:b/>
          <w:i w:val="0"/>
        </w:rPr>
        <w:t>MRlap covariance non-positive-definiteness under substantial sample overlap and weak instruments:</w:t>
      </w:r>
      <w:r>
        <w:rPr>
          <w:rFonts w:ascii="Times New Roman" w:hAnsi="Times New Roman" w:eastAsia="Times New Roman"/>
          <w:b w:val="0"/>
          <w:i w:val="0"/>
        </w:rPr>
        <w:t xml:space="preserve"> Prune variant sets to per-SNP </w:t>
      </w:r>
      <w:r>
        <w:rPr>
          <w:rFonts w:ascii="Times New Roman" w:hAnsi="Times New Roman" w:eastAsia="Times New Roman"/>
          <w:b w:val="0"/>
          <w:i/>
        </w:rPr>
        <w:t>F</w:t>
      </w:r>
      <w:r>
        <w:rPr>
          <w:rFonts w:ascii="Times New Roman" w:hAnsi="Times New Roman" w:eastAsia="Times New Roman"/>
          <w:b w:val="0"/>
          <w:i w:val="0"/>
        </w:rPr>
        <w:t xml:space="preserve"> &gt; 20</w:t>
      </w:r>
      <w:r>
        <w:rPr>
          <w:rFonts w:ascii="Times New Roman" w:hAnsi="Times New Roman" w:eastAsia="Times New Roman"/>
          <w:b w:val="0"/>
          <w:i w:val="0"/>
        </w:rPr>
        <w:t xml:space="preserve"> and inspect the cross-trait LDSC intercept.</w:t>
      </w:r>
    </w:p>
    <w:p>
      <w:pPr>
        <w:spacing w:before="0" w:after="120" w:line="480" w:lineRule="auto"/>
        <w:ind w:left="425" w:hanging="425"/>
      </w:pPr>
      <w:r>
        <w:rPr>
          <w:rFonts w:ascii="Times New Roman" w:hAnsi="Times New Roman" w:eastAsia="Times New Roman"/>
          <w:b w:val="0"/>
          <w:i w:val="0"/>
        </w:rPr>
        <w:t xml:space="preserve">2.  </w:t>
      </w:r>
      <w:r>
        <w:rPr>
          <w:rFonts w:ascii="Times New Roman" w:hAnsi="Times New Roman" w:eastAsia="Times New Roman"/>
          <w:b/>
          <w:i w:val="0"/>
        </w:rPr>
        <w:t>CAUSE non-convergence with sparse variant panels:</w:t>
      </w:r>
      <w:r>
        <w:rPr>
          <w:rFonts w:ascii="Times New Roman" w:hAnsi="Times New Roman" w:eastAsia="Times New Roman"/>
          <w:b w:val="0"/>
          <w:i w:val="0"/>
        </w:rPr>
        <w:t xml:space="preserve"> Relax pre-pruning thresholds to </w:t>
      </w:r>
      <w:r>
        <w:rPr>
          <w:rFonts w:ascii="Times New Roman" w:hAnsi="Times New Roman" w:eastAsia="Times New Roman"/>
          <w:b w:val="0"/>
          <w:i/>
        </w:rPr>
        <w:t>r</w:t>
      </w:r>
      <w:r>
        <w:rPr>
          <w:rFonts w:ascii="Times New Roman" w:hAnsi="Times New Roman" w:eastAsia="Times New Roman"/>
          <w:b w:val="0"/>
          <w:i w:val="0"/>
          <w:vertAlign w:val="superscript"/>
        </w:rPr>
        <w:t>2</w:t>
      </w:r>
      <w:r>
        <w:rPr>
          <w:rFonts w:ascii="Times New Roman" w:hAnsi="Times New Roman" w:eastAsia="Times New Roman"/>
          <w:b w:val="0"/>
          <w:i w:val="0"/>
        </w:rPr>
        <w:t xml:space="preserve"> &lt; 0.05</w:t>
      </w:r>
      <w:r>
        <w:rPr>
          <w:rFonts w:ascii="Times New Roman" w:hAnsi="Times New Roman" w:eastAsia="Times New Roman"/>
          <w:b w:val="0"/>
          <w:i w:val="0"/>
        </w:rPr>
        <w:t xml:space="preserve"> or extend the MCMC sampling chain.</w:t>
      </w:r>
    </w:p>
    <w:p>
      <w:pPr>
        <w:spacing w:before="0" w:after="120" w:line="480" w:lineRule="auto"/>
        <w:ind w:left="425" w:hanging="425"/>
      </w:pPr>
      <w:r>
        <w:rPr>
          <w:rFonts w:ascii="Times New Roman" w:hAnsi="Times New Roman" w:eastAsia="Times New Roman"/>
          <w:b w:val="0"/>
          <w:i w:val="0"/>
        </w:rPr>
        <w:t xml:space="preserve">3.  </w:t>
      </w:r>
      <w:r>
        <w:rPr>
          <w:rFonts w:ascii="Times New Roman" w:hAnsi="Times New Roman" w:eastAsia="Times New Roman"/>
          <w:b/>
          <w:i w:val="0"/>
        </w:rPr>
        <w:t>Colocalization power loss from incomplete regional coverage:</w:t>
      </w:r>
      <w:r>
        <w:rPr>
          <w:rFonts w:ascii="Times New Roman" w:hAnsi="Times New Roman" w:eastAsia="Times New Roman"/>
          <w:b w:val="0"/>
          <w:i w:val="0"/>
        </w:rPr>
        <w:t xml:space="preserve"> Impute regional summary statistics using the 1000 Genomes reference panel.</w:t>
      </w:r>
    </w:p>
    <w:p>
      <w:pPr>
        <w:spacing w:before="0" w:after="120" w:line="480" w:lineRule="auto"/>
        <w:ind w:left="425" w:hanging="425"/>
      </w:pPr>
      <w:r>
        <w:rPr>
          <w:rFonts w:ascii="Times New Roman" w:hAnsi="Times New Roman" w:eastAsia="Times New Roman"/>
          <w:b w:val="0"/>
          <w:i w:val="0"/>
        </w:rPr>
        <w:t xml:space="preserve">4.  </w:t>
      </w:r>
      <w:r>
        <w:rPr>
          <w:rFonts w:ascii="Times New Roman" w:hAnsi="Times New Roman" w:eastAsia="Times New Roman"/>
          <w:b/>
          <w:i w:val="0"/>
        </w:rPr>
        <w:t xml:space="preserve">Conditional </w:t>
      </w:r>
      <w:r>
        <w:rPr>
          <w:rFonts w:ascii="Times New Roman" w:hAnsi="Times New Roman" w:eastAsia="Times New Roman"/>
          <w:b/>
          <w:i/>
        </w:rPr>
        <w:t>F</w:t>
      </w:r>
      <w:r>
        <w:rPr>
          <w:rFonts w:ascii="Times New Roman" w:hAnsi="Times New Roman" w:eastAsia="Times New Roman"/>
          <w:b/>
          <w:i w:val="0"/>
        </w:rPr>
        <w:t xml:space="preserve">-statistics </w:t>
      </w:r>
      <w:r>
        <w:rPr>
          <w:rFonts w:ascii="Times New Roman" w:hAnsi="Times New Roman" w:eastAsia="Times New Roman"/>
          <w:b/>
          <w:i w:val="0"/>
        </w:rPr>
        <w:t>&lt; 10</w:t>
      </w:r>
      <w:r>
        <w:rPr>
          <w:rFonts w:ascii="Times New Roman" w:hAnsi="Times New Roman" w:eastAsia="Times New Roman"/>
          <w:b/>
          <w:i w:val="0"/>
        </w:rPr>
        <w:t xml:space="preserve"> in MVMR due to collinearity:</w:t>
      </w:r>
      <w:r>
        <w:rPr>
          <w:rFonts w:ascii="Times New Roman" w:hAnsi="Times New Roman" w:eastAsia="Times New Roman"/>
          <w:b w:val="0"/>
          <w:i w:val="0"/>
        </w:rPr>
        <w:t xml:space="preserve"> Restrict instruments to variants associated exclusively with the targeted exposure.</w:t>
      </w:r>
    </w:p>
    <w:p>
      <w:pPr>
        <w:spacing w:before="0" w:after="120" w:line="480" w:lineRule="auto"/>
        <w:ind w:left="425" w:hanging="425"/>
      </w:pPr>
      <w:r>
        <w:rPr>
          <w:rFonts w:ascii="Times New Roman" w:hAnsi="Times New Roman" w:eastAsia="Times New Roman"/>
          <w:b w:val="0"/>
          <w:i w:val="0"/>
        </w:rPr>
        <w:t xml:space="preserve">5.  </w:t>
      </w:r>
      <w:r>
        <w:rPr>
          <w:rFonts w:ascii="Times New Roman" w:hAnsi="Times New Roman" w:eastAsia="Times New Roman"/>
          <w:b/>
          <w:i w:val="0"/>
        </w:rPr>
        <w:t>Cross-ancestry inflation driven by LD mismatch:</w:t>
      </w:r>
      <w:r>
        <w:rPr>
          <w:rFonts w:ascii="Times New Roman" w:hAnsi="Times New Roman" w:eastAsia="Times New Roman"/>
          <w:b w:val="0"/>
          <w:i w:val="0"/>
        </w:rPr>
        <w:t xml:space="preserve"> Re-clump summary statistics using an ancestry-matched reference panel.</w:t>
      </w:r>
    </w:p>
    <w:p>
      <w:pPr>
        <w:spacing w:before="360" w:after="160" w:line="240" w:lineRule="auto"/>
      </w:pPr>
      <w:r>
        <w:rPr>
          <w:rFonts w:ascii="Times New Roman" w:hAnsi="Times New Roman" w:eastAsia="Times New Roman"/>
          <w:b/>
          <w:i w:val="0"/>
          <w:sz w:val="28"/>
        </w:rPr>
        <w:t>Discussion</w:t>
      </w:r>
    </w:p>
    <w:p>
      <w:pPr>
        <w:spacing w:before="0" w:after="120" w:line="480" w:lineRule="auto"/>
      </w:pPr>
      <w:r>
        <w:rPr>
          <w:rFonts w:ascii="Times New Roman" w:hAnsi="Times New Roman" w:eastAsia="Times New Roman"/>
          <w:b w:val="0"/>
          <w:i w:val="0"/>
        </w:rPr>
        <w:t>The insomnia–AD findings demonstrate how a replicated Mendelian randomization (MR) signal can arise as an artifact of locus-driven confounding. They also show how a sequence of falsification gates translates that signal into a graded verdict with quantified statistical properties. Methodologically, the framework operationalizes six common MR failure modes as distinct gates, assigns evidence grades by fixed rules rather than subjective judgment, and reports the operating characteristics of its scoring rule across 43,200 simulated replicates. This calibration allows the grade-assignment rule to be evaluated through measured specificity and sensitivity under proxy gate implementations, rather than through asserted confidence, and it makes explicit which parts of the framework the benchmark does and does not inform.</w:t>
      </w:r>
    </w:p>
    <w:p>
      <w:pPr>
        <w:spacing w:before="0" w:after="120" w:line="480" w:lineRule="auto"/>
      </w:pPr>
      <w:r>
        <w:rPr>
          <w:rFonts w:ascii="Times New Roman" w:hAnsi="Times New Roman" w:eastAsia="Times New Roman"/>
          <w:b w:val="0"/>
          <w:i w:val="0"/>
        </w:rPr>
        <w:t>The APOE result reflects a broader pattern in complex-trait genetics: when a single locus dominates genetic variance, genome-wide genetic correlation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and clumped MR can be null even while standard MR yields a positive signal. Analyses that omit clumping, sample-overlap correction, and architectural assessment remain susceptible to this artifact. Benchmarking established specific operating parameters for the scoring rule: a specificity of 1.00 under the null without pleiotropy, a marginal false discovery rate (FDR) of approximately 0.10 under balanced pleiotropy, and sensitivity of 0.88 at the upper effect grid in the absence of pleiotropy. These figures describe the behaviour of the score-to-grade mapping when gate signals are generated by a proxy data-generating process; they are not estimates of the power or error rates of LD score regression, colocalization, multivariable MR or sample-overlap correction in real data. The monotonic grade calibration indicates that intermediate grades (B/C) reflect claims with provisional evidence.</w:t>
      </w:r>
    </w:p>
    <w:p>
      <w:pPr>
        <w:spacing w:before="0" w:after="120" w:line="480" w:lineRule="auto"/>
      </w:pPr>
      <w:r>
        <w:rPr>
          <w:rFonts w:ascii="Times New Roman" w:hAnsi="Times New Roman" w:eastAsia="Times New Roman"/>
          <w:b/>
          <w:i w:val="0"/>
        </w:rPr>
        <w:t>Complementarity with reporting standards.</w:t>
      </w:r>
      <w:r>
        <w:rPr>
          <w:rFonts w:ascii="Times New Roman" w:hAnsi="Times New Roman" w:eastAsia="Times New Roman"/>
          <w:b w:val="0"/>
          <w:i w:val="0"/>
        </w:rPr>
        <w:t xml:space="preserve"> While STROBE-MR defines reporting requirements, this framework evaluates whether reported evidence supports a causal claim at a specific grade. The combined approach targets two persistent challenges in polygenic epidemiology: incomplete pipeline reporting and over-confident evidence interpretation.</w:t>
      </w:r>
    </w:p>
    <w:p>
      <w:pPr>
        <w:spacing w:before="0" w:after="120" w:line="480" w:lineRule="auto"/>
      </w:pPr>
      <w:r>
        <w:rPr>
          <w:rFonts w:ascii="Times New Roman" w:hAnsi="Times New Roman" w:eastAsia="Times New Roman"/>
          <w:b/>
          <w:i w:val="0"/>
        </w:rPr>
        <w:t>Generalizability of the template.</w:t>
      </w:r>
      <w:r>
        <w:rPr>
          <w:rFonts w:ascii="Times New Roman" w:hAnsi="Times New Roman" w:eastAsia="Times New Roman"/>
          <w:b w:val="0"/>
          <w:i w:val="0"/>
        </w:rPr>
        <w:t xml:space="preserve"> Although insomnia–AD was chosen as a case study due to the extreme locus concentration at APOE, the framework functions independently of the underlying biological locus. It applies directly to other complex-trait pairs, including psychiatric exposures and cardiometabolic outcomes where pleiotropic instruments and sample overlap frequently occur. The codebase, simulation grid, and grading rubric are implemented in R 4.5.2 via </w:t>
      </w:r>
      <w:r>
        <w:rPr>
          <w:rFonts w:ascii="Consolas" w:hAnsi="Consolas" w:eastAsia="Consolas"/>
          <w:b w:val="0"/>
          <w:i w:val="0"/>
          <w:sz w:val="22"/>
        </w:rPr>
        <w:t>renv.lock</w:t>
      </w:r>
      <w:r>
        <w:rPr>
          <w:rFonts w:ascii="Times New Roman" w:hAnsi="Times New Roman" w:eastAsia="Times New Roman"/>
          <w:b w:val="0"/>
          <w:i w:val="0"/>
        </w:rPr>
        <w:t xml:space="preserve"> and archived for reuse (Zenodo DOI 10.5281/zenodo.23733172). Investigators can apply the same gate sequence to pre-specified hypotheses using harmonized summary statistics and a suitable LD reference without individual-level data.</w:t>
      </w:r>
    </w:p>
    <w:p>
      <w:pPr>
        <w:spacing w:before="0" w:after="120" w:line="480" w:lineRule="auto"/>
      </w:pPr>
      <w:r>
        <w:rPr>
          <w:rFonts w:ascii="Times New Roman" w:hAnsi="Times New Roman" w:eastAsia="Times New Roman"/>
          <w:b/>
          <w:i w:val="0"/>
        </w:rPr>
        <w:t>Implications for drug-target prioritization.</w:t>
      </w:r>
      <w:r>
        <w:rPr>
          <w:rFonts w:ascii="Times New Roman" w:hAnsi="Times New Roman" w:eastAsia="Times New Roman"/>
          <w:b w:val="0"/>
          <w:i w:val="0"/>
        </w:rPr>
        <w:t xml:space="preserve"> Distinguishing directed causation from locus-driven shared liability directly informs translational decisions. Claims that score Grade A under the current rubric, such as LDL-cholesterol and coronary artery disease (Allara et al., 2019), align with drug targets whose efficacy was confirmed in clinical trials. Conversely, claims that fail robustness gates despite replication, such as HDL-raising therapies, correspond to target interventions that failed in trials. The framework offers a preclinical triage system: Grade A–B signals prioritize trait-level hypotheses for target-specific follow-up, whereas Grade C–D signals indicate shared liability or confounding and are insufficient to justify interventional drug development. Moving from a trait-level claim to a target-level claim, however, requires steps that the framework does not supply. A cis-pQTL, coding variant or expression QTL must anchor the signal to a specific gene product, because an LDL–coronary association establishes that LDL cholesterol is causal without identifying which protein a drug should inhibit. The relevant tissue must express the target, and the expected direction of modulation must be specified: lowering LDL-cholesterol activity is protective, whereas for many neuroinflammatory targets the beneficial direction of inhibition or activation is unknown, and a genetic association alone cannot settle it. Safety and druggability are then assessed independently, since germline genetic evidence does not speak to on-target toxicity in peripheral tissues or to whether a small molecule can engage the target at tolerable exposure. We therefore present grade-based prediction of drug-development success as a hypothesis to be tested prospectively against trial outcomes, not as a demonstrated capability of the framework.</w:t>
      </w:r>
    </w:p>
    <w:p>
      <w:pPr>
        <w:spacing w:before="0" w:after="120" w:line="480" w:lineRule="auto"/>
      </w:pPr>
      <w:r>
        <w:rPr>
          <w:rFonts w:ascii="Times New Roman" w:hAnsi="Times New Roman" w:eastAsia="Times New Roman"/>
          <w:b/>
          <w:i w:val="0"/>
        </w:rPr>
        <w:t>Limitations.</w:t>
      </w:r>
      <w:r>
        <w:rPr>
          <w:rFonts w:ascii="Times New Roman" w:hAnsi="Times New Roman" w:eastAsia="Times New Roman"/>
          <w:b w:val="0"/>
          <w:i w:val="0"/>
        </w:rPr>
        <w:t xml:space="preserve"> Several methodological boundaries apply. First, the framework was evaluated on 12 trait pairs enriched for borderline grades, requiring larger validation sets. Second, while the simulation grid covers 43,200 replicates, it evaluates a proxy implementation of the gates rather than the gates themselves: instruments were drawn independently, so the simulation contains no inter-instrument LD and cannot quantify the benefit of LD clumping, and LD score regression, colocalization, multivariable MR with confounders, CAUSE and MRlap are not instantiated at all. The block-coverage and leave-one-out proxies additionally render G3 and G4 uninformative in the benchmark, so the operating characteristics reported here pertain in practice to the four remaining gate signals mapped onto the 0–12 scale. Because the decisive-failure cap converts a missed clumped estimate into a Grade C verdict, sensitivity at weak effects is governed by the power of the clumped estimate rather than by the diagnostic gates: at </w:t>
      </w:r>
      <w:r>
        <w:rPr>
          <w:rFonts w:ascii="Times New Roman" w:hAnsi="Times New Roman" w:eastAsia="Times New Roman"/>
          <w:b w:val="0"/>
          <w:i/>
        </w:rPr>
        <w:t>β</w:t>
      </w:r>
      <w:r>
        <w:rPr>
          <w:rFonts w:ascii="Times New Roman" w:hAnsi="Times New Roman" w:eastAsia="Times New Roman"/>
          <w:b w:val="0"/>
          <w:i w:val="0"/>
        </w:rPr>
        <w:t xml:space="preserve"> = 0.08</w:t>
      </w:r>
      <w:r>
        <w:rPr>
          <w:rFonts w:ascii="Times New Roman" w:hAnsi="Times New Roman" w:eastAsia="Times New Roman"/>
          <w:b w:val="0"/>
          <w:i w:val="0"/>
        </w:rPr>
        <w:t xml:space="preserve"> the cap lowers marginal sensitivity from 0.51 to 0.22 in the absence of pleiotropy (Supplementary Table S12.5). For the same reason, directional pleiotropy at the magnitude of APOE cannot be represented, since a dominant locus cannot arise when instrument effects are drawn independently. Third, the primary case study achieved 80% power only for medium-to-large effects (</w:t>
      </w:r>
      <w:r>
        <w:rPr>
          <w:rFonts w:ascii="Times New Roman" w:hAnsi="Times New Roman" w:eastAsia="Times New Roman"/>
          <w:b w:val="0"/>
          <w:i/>
        </w:rPr>
        <w:t>OR</w:t>
      </w:r>
      <w:r>
        <w:rPr>
          <w:rFonts w:ascii="Times New Roman" w:hAnsi="Times New Roman" w:eastAsia="Times New Roman"/>
          <w:b w:val="0"/>
          <w:i w:val="0"/>
        </w:rPr>
        <w:t xml:space="preserve"> ≥ 1.25</w:t>
      </w:r>
      <w:r>
        <w:rPr>
          <w:rFonts w:ascii="Times New Roman" w:hAnsi="Times New Roman" w:eastAsia="Times New Roman"/>
          <w:b w:val="0"/>
          <w:i w:val="0"/>
        </w:rPr>
        <w:t xml:space="preserve"> per SD of insomnia liability), meaning small causal effects cannot be ruled out, and the trans-ethnic evaluation serves strictly as a directional screen. Fourth, the marginal FDR is not a fixed property of the rule: it scales with the proportion of true nulls in the evaluated batch, rising from 0.10 to 0.18 under balanced pleiotropy and from 0.15 to 0.26 under directional pleiotropy as that proportion goes from one-third to one-half, so the 0.20 tolerance is exceeded in null-enriched batches (Supplementary Table S9; </w:t>
      </w:r>
      <w:r>
        <w:rPr>
          <w:rFonts w:ascii="Consolas" w:hAnsi="Consolas" w:eastAsia="Consolas"/>
          <w:b w:val="0"/>
          <w:i w:val="0"/>
          <w:sz w:val="22"/>
        </w:rPr>
        <w:t>fdr_null_fraction_sensitivity.csv</w:t>
      </w:r>
      <w:r>
        <w:rPr>
          <w:rFonts w:ascii="Times New Roman" w:hAnsi="Times New Roman" w:eastAsia="Times New Roman"/>
          <w:b w:val="0"/>
          <w:i w:val="0"/>
        </w:rPr>
        <w:t xml:space="preserve">). Fifth, the grade-boundary cutoffs (10–12, 7–9, 4–6, 0–3) are pre-specified reporting conventions rather than estimated quantities, and their consequences are quantified in Supplementary Table S12. Three properties are relevant. Moving any single cutoff by one point reverses the polarity of no case in the cohort (positive call, A/B; negative call, C/D): the three Grade A cases would fall to Grade B if the A boundary moved to 11, whereas moving it to 9 would promote education–T2D to Grade A; the three cases scoring 5 would rise to Grade B only if the B boundary moved to 5, and the primary case would move from Grade C to Grade D only if the C boundary moved to 5, which leaves its negative call intact. Across all 220 monotone four-band partitions of the 0–12 scale, the primary case retains its negative call in 89% of the non-degenerate partitions and requires the A/B boundary to move three points before changing side. On the benchmark's own ROC, the three boundaries sit at false-positive rates of 3.6%, 10.3% and 17.5%, so they are nested false-positive levels rather than isolated numbers, although we checked this correspondence retrospectively rather than specifying the cutoffs that way. The decisive-failure cap cannot bind in this cohort, because no case both fails G2 and exceeds 6; its position follows from its definition as the upper bound of Grade C. The total score is therefore the datum and the band a label: both are reported for every case, and assignments within one point of a boundary should be read as provisional. Sixth, Steiger directional tests could not establish a reliable direction (the inferred direction flipped with the choice of </w:t>
      </w:r>
      <w:r>
        <w:rPr>
          <w:rFonts w:ascii="Times New Roman" w:hAnsi="Times New Roman" w:eastAsia="Times New Roman"/>
          <w:b w:val="0"/>
          <w:i/>
        </w:rPr>
        <w:t>r</w:t>
      </w:r>
      <w:r>
        <w:rPr>
          <w:rFonts w:ascii="Times New Roman" w:hAnsi="Times New Roman" w:eastAsia="Times New Roman"/>
          <w:b w:val="0"/>
          <w:i w:val="0"/>
        </w:rPr>
        <w:t xml:space="preserve"> construction; median </w:t>
      </w:r>
      <w:r>
        <w:rPr>
          <w:rFonts w:ascii="Times New Roman" w:hAnsi="Times New Roman" w:eastAsia="Times New Roman"/>
          <w:b w:val="0"/>
          <w:i w:val="0"/>
        </w:rPr>
        <w:t>|</w:t>
      </w:r>
      <w:r>
        <w:rPr>
          <w:rFonts w:ascii="Times New Roman" w:hAnsi="Times New Roman" w:eastAsia="Times New Roman"/>
          <w:b w:val="0"/>
          <w:i/>
        </w:rPr>
        <w:t>r</w:t>
      </w:r>
      <w:r>
        <w:rPr>
          <w:rFonts w:ascii="Times New Roman" w:hAnsi="Times New Roman" w:eastAsia="Times New Roman"/>
          <w:b w:val="0"/>
          <w:i w:val="0"/>
        </w:rPr>
        <w:t>| ≈ 0.002</w:t>
      </w:r>
      <w:r>
        <w:rPr>
          <w:rFonts w:ascii="Times New Roman" w:hAnsi="Times New Roman" w:eastAsia="Times New Roman"/>
          <w:b w:val="0"/>
          <w:i w:val="0"/>
        </w:rPr>
        <w:t xml:space="preserve">), so directionality was not scored in this application and should be interpreted with caution. Seventh, two reporting gaps should be stated plainly. Conditional </w:t>
      </w:r>
      <w:r>
        <w:rPr>
          <w:rFonts w:ascii="Times New Roman" w:hAnsi="Times New Roman" w:eastAsia="Times New Roman"/>
          <w:b w:val="0"/>
          <w:i/>
        </w:rPr>
        <w:t>F</w:t>
      </w:r>
      <w:r>
        <w:rPr>
          <w:rFonts w:ascii="Times New Roman" w:hAnsi="Times New Roman" w:eastAsia="Times New Roman"/>
          <w:b w:val="0"/>
          <w:i w:val="0"/>
        </w:rPr>
        <w:t>-statistics for the multivariable models were not extracted from the archived fits, so G4 scores rest on the significance and direction of the direct effects rather than on a verified conditional-strength threshold. And for 10 of the 12 validation cases the underlying GWAS summary statistics are not held in the project archive, so those cases are re-scorings of published evidence summaries rather than re-analyses: their gate scores can be audited against the cited sources but cannot be recomputed from raw data here. Finally, upstream summary-statistic quality and build harmonization remain critical prerequisites, as upstream errors alter downstream gate decisions.</w:t>
      </w:r>
    </w:p>
    <w:p>
      <w:pPr>
        <w:spacing w:before="0" w:after="120" w:line="480" w:lineRule="auto"/>
      </w:pPr>
      <w:r>
        <w:rPr>
          <w:rFonts w:ascii="Times New Roman" w:hAnsi="Times New Roman" w:eastAsia="Times New Roman"/>
          <w:b/>
          <w:i w:val="0"/>
        </w:rPr>
        <w:t>Conclusions.</w:t>
      </w:r>
      <w:r>
        <w:rPr>
          <w:rFonts w:ascii="Times New Roman" w:hAnsi="Times New Roman" w:eastAsia="Times New Roman"/>
          <w:b w:val="0"/>
          <w:i w:val="0"/>
        </w:rPr>
        <w:t xml:space="preserve"> A six-gate falsification framework, whose scoring rule has been quantified under a 43,200-replicate benchmark, reclassifies locus-driven MR artifacts into graded causal verdicts. In the insomnia–AD case study, the framework identifies a replicated MR signal as shared APOE-locus liability, offering a calibrated template for causal inference across polygenic traits.</w:t>
      </w:r>
    </w:p>
    <w:p>
      <w:pPr>
        <w:spacing w:before="360" w:after="160" w:line="240" w:lineRule="auto"/>
      </w:pPr>
      <w:r>
        <w:rPr>
          <w:rFonts w:ascii="Times New Roman" w:hAnsi="Times New Roman" w:eastAsia="Times New Roman"/>
          <w:b/>
          <w:i w:val="0"/>
          <w:sz w:val="28"/>
        </w:rPr>
        <w:t>Declarations</w:t>
      </w:r>
    </w:p>
    <w:p>
      <w:pPr>
        <w:spacing w:before="0" w:after="120" w:line="480" w:lineRule="auto"/>
      </w:pPr>
      <w:r>
        <w:rPr>
          <w:rFonts w:ascii="Times New Roman" w:hAnsi="Times New Roman" w:eastAsia="Times New Roman"/>
          <w:b/>
          <w:i w:val="0"/>
        </w:rPr>
        <w:t>Data availability statement.</w:t>
      </w:r>
      <w:r>
        <w:rPr>
          <w:rFonts w:ascii="Times New Roman" w:hAnsi="Times New Roman" w:eastAsia="Times New Roman"/>
          <w:b w:val="0"/>
          <w:i w:val="0"/>
        </w:rPr>
        <w:t xml:space="preserve"> All GWAS summary statistics used in this study are publicly available via IEU OpenGWAS under the accessions listed in the Materials and Equipment section. Derived results, simulation scripts, and analysis code are archived on Zenodo (DOI 10.5281/zenodo.23733172); source code is maintained at GitHub (ming13333/iad-falsification-framework).</w:t>
      </w:r>
    </w:p>
    <w:p>
      <w:pPr>
        <w:spacing w:before="0" w:after="120" w:line="480" w:lineRule="auto"/>
      </w:pPr>
      <w:r>
        <w:rPr>
          <w:rFonts w:ascii="Times New Roman" w:hAnsi="Times New Roman" w:eastAsia="Times New Roman"/>
          <w:b/>
          <w:i w:val="0"/>
        </w:rPr>
        <w:t>Ethics statement.</w:t>
      </w:r>
      <w:r>
        <w:rPr>
          <w:rFonts w:ascii="Times New Roman" w:hAnsi="Times New Roman" w:eastAsia="Times New Roman"/>
          <w:b w:val="0"/>
          <w:i w:val="0"/>
        </w:rPr>
        <w:t xml:space="preserve"> This study is a secondary analysis of publicly available GWAS summary statistics. No individual-level data were used and no new data were collected; therefore, no ethics approval was required. The study was conducted in accordance with the Declaration of Helsinki.</w:t>
      </w:r>
    </w:p>
    <w:p>
      <w:pPr>
        <w:spacing w:before="0" w:after="120" w:line="480" w:lineRule="auto"/>
      </w:pPr>
      <w:r>
        <w:rPr>
          <w:rFonts w:ascii="Times New Roman" w:hAnsi="Times New Roman" w:eastAsia="Times New Roman"/>
          <w:b/>
          <w:i w:val="0"/>
        </w:rPr>
        <w:t>Author contributions.</w:t>
      </w:r>
      <w:r>
        <w:rPr>
          <w:rFonts w:ascii="Times New Roman" w:hAnsi="Times New Roman" w:eastAsia="Times New Roman"/>
          <w:b w:val="0"/>
          <w:i w:val="0"/>
        </w:rPr>
        <w:t xml:space="preserve"> QL and WY designed the framework and performed the analyses (equal contribution); ML supervised the study and revised the manuscript. All authors contributed to conceptualization, methodology, software, validation, formal analysis, and writing, and approved the submitted version.</w:t>
      </w:r>
    </w:p>
    <w:p>
      <w:pPr>
        <w:spacing w:before="0" w:after="120" w:line="480" w:lineRule="auto"/>
      </w:pPr>
      <w:r>
        <w:rPr>
          <w:rFonts w:ascii="Times New Roman" w:hAnsi="Times New Roman" w:eastAsia="Times New Roman"/>
          <w:b/>
          <w:i w:val="0"/>
        </w:rPr>
        <w:t>Funding.</w:t>
      </w:r>
      <w:r>
        <w:rPr>
          <w:rFonts w:ascii="Times New Roman" w:hAnsi="Times New Roman" w:eastAsia="Times New Roman"/>
          <w:b w:val="0"/>
          <w:i w:val="0"/>
        </w:rPr>
        <w:t xml:space="preserve"> This research received no specific grant from any funding agency in the public, commercial, or not-for-profit sectors.</w:t>
      </w:r>
    </w:p>
    <w:p>
      <w:pPr>
        <w:spacing w:before="0" w:after="120" w:line="480" w:lineRule="auto"/>
      </w:pPr>
      <w:r>
        <w:rPr>
          <w:rFonts w:ascii="Times New Roman" w:hAnsi="Times New Roman" w:eastAsia="Times New Roman"/>
          <w:b/>
          <w:i w:val="0"/>
        </w:rPr>
        <w:t>Conflict of interest.</w:t>
      </w:r>
      <w:r>
        <w:rPr>
          <w:rFonts w:ascii="Times New Roman" w:hAnsi="Times New Roman" w:eastAsia="Times New Roman"/>
          <w:b w:val="0"/>
          <w:i w:val="0"/>
        </w:rPr>
        <w:t xml:space="preserve"> The authors declare that the research was conducted in the absence of any commercial or financial relationships that could be construed as a potential conflict of interest.</w:t>
      </w:r>
    </w:p>
    <w:p>
      <w:pPr>
        <w:spacing w:before="0" w:after="120" w:line="480" w:lineRule="auto"/>
      </w:pPr>
      <w:r>
        <w:rPr>
          <w:rFonts w:ascii="Times New Roman" w:hAnsi="Times New Roman" w:eastAsia="Times New Roman"/>
          <w:b/>
          <w:i w:val="0"/>
        </w:rPr>
        <w:t>Use of AI.</w:t>
      </w:r>
      <w:r>
        <w:rPr>
          <w:rFonts w:ascii="Times New Roman" w:hAnsi="Times New Roman" w:eastAsia="Times New Roman"/>
          <w:b w:val="0"/>
          <w:i w:val="0"/>
        </w:rPr>
        <w:t xml:space="preserve"> Large language models (GLM and DeepSeek, accessed through the WorkBuddy agent environment) were used for language editing and drafting assistance, and for independent re-execution and verification of computations, including recomputation of the simulation summaries, cross-checking of tabulated values against the archived outputs, and reconstruction of the validation-cohort scoring table reported in Supplementary Table S8. All analytical decisions, statistical interpretations and final results were made and verified by the authors, who take full responsibility for the content. No AI tool generated or imputed data, and no AI tool is credited as an author.</w:t>
      </w:r>
    </w:p>
    <w:p>
      <w:pPr>
        <w:spacing w:before="0" w:after="120" w:line="480" w:lineRule="auto"/>
      </w:pPr>
      <w:r>
        <w:rPr>
          <w:rFonts w:ascii="Times New Roman" w:hAnsi="Times New Roman" w:eastAsia="Times New Roman"/>
          <w:b/>
          <w:i w:val="0"/>
        </w:rPr>
        <w:t>Supplementary material.</w:t>
      </w:r>
      <w:r>
        <w:rPr>
          <w:rFonts w:ascii="Times New Roman" w:hAnsi="Times New Roman" w:eastAsia="Times New Roman"/>
          <w:b w:val="0"/>
          <w:i w:val="0"/>
        </w:rPr>
        <w:t xml:space="preserve"> The Supplementary Material for this article comprises Supplementary Tables S1–S11 and Supplementary Notes 1–2, submitted as separate files with this manuscript.</w:t>
      </w:r>
    </w:p>
    <w:p>
      <w:pPr>
        <w:spacing w:before="360" w:after="160" w:line="240" w:lineRule="auto"/>
      </w:pPr>
      <w:r>
        <w:rPr>
          <w:rFonts w:ascii="Times New Roman" w:hAnsi="Times New Roman" w:eastAsia="Times New Roman"/>
          <w:b/>
          <w:i w:val="0"/>
          <w:sz w:val="28"/>
        </w:rPr>
        <w:t>References</w:t>
      </w:r>
    </w:p>
    <w:p>
      <w:pPr>
        <w:spacing w:before="0" w:after="120" w:line="480" w:lineRule="auto"/>
        <w:ind w:left="454" w:hanging="454"/>
      </w:pPr>
      <w:r>
        <w:rPr>
          <w:rFonts w:ascii="Times New Roman" w:hAnsi="Times New Roman" w:eastAsia="Times New Roman"/>
          <w:b w:val="0"/>
          <w:i w:val="0"/>
        </w:rPr>
        <w:t>Allara, E., Morani, G., Carter, P., Gkatzionis, A., Zuber, V., Foley, C. N., et al. (2019). Genetic Determinants of Lipids and Cardiovascular Disease Outcomes: A Wide-Angled Mendelian Randomization Investigation. Circ. Genom. Precis. Med. 12(12), e002711. doi: 10.1161/circgen.119.002711</w:t>
      </w:r>
    </w:p>
    <w:p>
      <w:pPr>
        <w:spacing w:before="0" w:after="120" w:line="480" w:lineRule="auto"/>
        <w:ind w:left="454" w:hanging="454"/>
      </w:pPr>
      <w:r>
        <w:rPr>
          <w:rFonts w:ascii="Times New Roman" w:hAnsi="Times New Roman" w:eastAsia="Times New Roman"/>
          <w:b w:val="0"/>
          <w:i w:val="0"/>
        </w:rPr>
        <w:t>Auton, A., Abecasis, G. R., Altshuler, D. M., Durbin, R. M., Bentley, D. R., Chakravarti, A., et al. (2015). A global reference for human genetic variation. Nature 526(7571), 68–74. doi: 10.1038/nature15393</w:t>
      </w:r>
    </w:p>
    <w:p>
      <w:pPr>
        <w:spacing w:before="0" w:after="120" w:line="480" w:lineRule="auto"/>
        <w:ind w:left="454" w:hanging="454"/>
      </w:pPr>
      <w:r>
        <w:rPr>
          <w:rFonts w:ascii="Times New Roman" w:hAnsi="Times New Roman" w:eastAsia="Times New Roman"/>
          <w:b w:val="0"/>
          <w:i w:val="0"/>
        </w:rPr>
        <w:t>Bellenguez, C., Küçükali, F., Jansen, I. E., Kleineidam, L., Moreno-Grau, S., Amin, N., et al. (2022). New insights into the genetic etiology of Alzheimer’s disease and related dementias. Nat. Genet. 54(4), 412–436. doi: 10.1038/s41588-022-01024-z</w:t>
      </w:r>
    </w:p>
    <w:p>
      <w:pPr>
        <w:spacing w:before="0" w:after="120" w:line="480" w:lineRule="auto"/>
        <w:ind w:left="454" w:hanging="454"/>
      </w:pPr>
      <w:r>
        <w:rPr>
          <w:rFonts w:ascii="Times New Roman" w:hAnsi="Times New Roman" w:eastAsia="Times New Roman"/>
          <w:b w:val="0"/>
          <w:i w:val="0"/>
        </w:rPr>
        <w:t>Bowden, J., Davey Smith, G., and Burgess, S. (2015). Mendelian randomization with invalid instruments: effect estimation and bias detection through Egger regression. Int. J. Epidemiol. 44(2), 512–25. doi: 10.1093/ije/dyv080</w:t>
      </w:r>
    </w:p>
    <w:p>
      <w:pPr>
        <w:spacing w:before="0" w:after="120" w:line="480" w:lineRule="auto"/>
        <w:ind w:left="454" w:hanging="454"/>
      </w:pPr>
      <w:r>
        <w:rPr>
          <w:rFonts w:ascii="Times New Roman" w:hAnsi="Times New Roman" w:eastAsia="Times New Roman"/>
          <w:b w:val="0"/>
          <w:i w:val="0"/>
        </w:rPr>
        <w:t>Bowden, J., Davey Smith, G., Haycock, P. C., and Burgess, S. (2016). Consistent Estimation in Mendelian Randomization with Some Invalid Instruments Using a Weighted Median Estimator. Genet. Epidemiol. 40(4), 304–14. doi: 10.1002/gepi.21965</w:t>
      </w:r>
    </w:p>
    <w:p>
      <w:pPr>
        <w:spacing w:before="0" w:after="120" w:line="480" w:lineRule="auto"/>
        <w:ind w:left="454" w:hanging="454"/>
      </w:pPr>
      <w:r>
        <w:rPr>
          <w:rFonts w:ascii="Times New Roman" w:hAnsi="Times New Roman" w:eastAsia="Times New Roman"/>
          <w:b w:val="0"/>
          <w:i w:val="0"/>
        </w:rPr>
        <w:t>Brion, M. J. A., Shakhbazov, K., and Visscher, P. M. (2013). Calculating statistical power in Mendelian randomization studies. Int. J. Epidemiol. 42(5), 1497–501. doi: 10.1093/ije/dyt179</w:t>
      </w:r>
    </w:p>
    <w:p>
      <w:pPr>
        <w:spacing w:before="0" w:after="120" w:line="480" w:lineRule="auto"/>
        <w:ind w:left="454" w:hanging="454"/>
      </w:pPr>
      <w:r>
        <w:rPr>
          <w:rFonts w:ascii="Times New Roman" w:hAnsi="Times New Roman" w:eastAsia="Times New Roman"/>
          <w:b w:val="0"/>
          <w:i w:val="0"/>
        </w:rPr>
        <w:t>Bulik-Sullivan, B. K., Loh, P. R., Finucane, H. K., Ripke, S., Yang, J., Patterson, N., et al. (2015a). LD Score regression distinguishes confounding from polygenicity in genome-wide association studies. Nat. Genet. 47(3), 291–5. doi: 10.1038/ng.3211</w:t>
      </w:r>
    </w:p>
    <w:p>
      <w:pPr>
        <w:spacing w:before="0" w:after="120" w:line="480" w:lineRule="auto"/>
        <w:ind w:left="454" w:hanging="454"/>
      </w:pPr>
      <w:r>
        <w:rPr>
          <w:rFonts w:ascii="Times New Roman" w:hAnsi="Times New Roman" w:eastAsia="Times New Roman"/>
          <w:b w:val="0"/>
          <w:i w:val="0"/>
        </w:rPr>
        <w:t>Bulik-Sullivan, B., Finucane, H. K., Anttila, V., Gusev, A., Day, F. R., Loh, P. R., et al. (2015b). An atlas of genetic correlations across human diseases and traits. Nat. Genet. 47(11), 1236–41. doi: 10.1038/ng.3406</w:t>
      </w:r>
    </w:p>
    <w:p>
      <w:pPr>
        <w:spacing w:before="0" w:after="120" w:line="480" w:lineRule="auto"/>
        <w:ind w:left="454" w:hanging="454"/>
      </w:pPr>
      <w:r>
        <w:rPr>
          <w:rFonts w:ascii="Times New Roman" w:hAnsi="Times New Roman" w:eastAsia="Times New Roman"/>
          <w:b w:val="0"/>
          <w:i w:val="0"/>
        </w:rPr>
        <w:t>Burgess, S., Butterworth, A., and Thompson, S. G. (2013). Mendelian Randomization Analysis With Multiple Genetic Variants Using Summarized Data. Genet. Epidemiol. 37(7), 658–65. doi: 10.1002/gepi.21758</w:t>
      </w:r>
    </w:p>
    <w:p>
      <w:pPr>
        <w:spacing w:before="0" w:after="120" w:line="480" w:lineRule="auto"/>
        <w:ind w:left="454" w:hanging="454"/>
      </w:pPr>
      <w:r>
        <w:rPr>
          <w:rFonts w:ascii="Times New Roman" w:hAnsi="Times New Roman" w:eastAsia="Times New Roman"/>
          <w:b w:val="0"/>
          <w:i w:val="0"/>
        </w:rPr>
        <w:t>Burgess, S., and Thompson, S. G. (2015). Multivariable Mendelian Randomization: The Use of Pleiotropic Genetic Variants to Estimate Causal Effects. Am. J. Epidemiol. 181(4), 251–60. doi: 10.1093/aje/kwu283</w:t>
      </w:r>
    </w:p>
    <w:p>
      <w:pPr>
        <w:spacing w:before="0" w:after="120" w:line="480" w:lineRule="auto"/>
        <w:ind w:left="454" w:hanging="454"/>
      </w:pPr>
      <w:r>
        <w:rPr>
          <w:rFonts w:ascii="Times New Roman" w:hAnsi="Times New Roman" w:eastAsia="Times New Roman"/>
          <w:b w:val="0"/>
          <w:i w:val="0"/>
        </w:rPr>
        <w:t>Chen, T. T., Kim, J., Lam, M., Chuang, Y. F., Chiu, Y. L., Lin, S. C., et al. (2024). Shared genetic architectures of educational attainment in East Asian and European populations. Nat. Hum. Behav. 8(3), 562–575. doi: 10.1038/s41562-023-01781-9</w:t>
      </w:r>
    </w:p>
    <w:p>
      <w:pPr>
        <w:spacing w:before="0" w:after="120" w:line="480" w:lineRule="auto"/>
        <w:ind w:left="454" w:hanging="454"/>
      </w:pPr>
      <w:r>
        <w:rPr>
          <w:rFonts w:ascii="Times New Roman" w:hAnsi="Times New Roman" w:eastAsia="Times New Roman"/>
          <w:b w:val="0"/>
          <w:i w:val="0"/>
        </w:rPr>
        <w:t>Davey Smith, G., and Ebrahim, S. (2003). ‘Mendelian randomization’: can genetic epidemiology contribute to understanding environmental determinants of disease?. Int. J. Epidemiol. 32(1), 1–22. doi: 10.1093/ije/dyg070</w:t>
      </w:r>
    </w:p>
    <w:p>
      <w:pPr>
        <w:spacing w:before="0" w:after="120" w:line="480" w:lineRule="auto"/>
        <w:ind w:left="454" w:hanging="454"/>
      </w:pPr>
      <w:r>
        <w:rPr>
          <w:rFonts w:ascii="Times New Roman" w:hAnsi="Times New Roman" w:eastAsia="Times New Roman"/>
          <w:b w:val="0"/>
          <w:i w:val="0"/>
        </w:rPr>
        <w:t>Deng, L., Zhang, H., and Yu, K. (2020). Power calculation for the general two-sample Mendelian randomization analysis. Genet. Epidemiol. 44(3), 290–299. doi: 10.1002/gepi.22284</w:t>
      </w:r>
    </w:p>
    <w:p>
      <w:pPr>
        <w:spacing w:before="0" w:after="120" w:line="480" w:lineRule="auto"/>
        <w:ind w:left="454" w:hanging="454"/>
      </w:pPr>
      <w:r>
        <w:rPr>
          <w:rFonts w:ascii="Times New Roman" w:hAnsi="Times New Roman" w:eastAsia="Times New Roman"/>
          <w:b w:val="0"/>
          <w:i w:val="0"/>
        </w:rPr>
        <w:t>Giambartolomei, C., Vukcevic, D., Schadt, E. E., Franke, L., Hingorani, A. D., Wallace, C., et al. (2014). Bayesian Test for Colocalisation between Pairs of Genetic Association Studies Using Summary Statistics. PLoS Genet. 10(5), e1004383. doi: 10.1371/journal.pgen.1004383</w:t>
      </w:r>
    </w:p>
    <w:p>
      <w:pPr>
        <w:spacing w:before="0" w:after="120" w:line="480" w:lineRule="auto"/>
        <w:ind w:left="454" w:hanging="454"/>
      </w:pPr>
      <w:r>
        <w:rPr>
          <w:rFonts w:ascii="Times New Roman" w:hAnsi="Times New Roman" w:eastAsia="Times New Roman"/>
          <w:b w:val="0"/>
          <w:i w:val="0"/>
        </w:rPr>
        <w:t>Grotzinger, A. D., Rhemtulla, M., de Vlaming, R., Ritchie, S. J., Mallard, T. T., Hill, W. D., et al. (2019). Genomic structural equation modelling provides insights into the multivariate genetic architecture of complex traits. Nat. Hum. Behav. 3(5), 513–525. doi: 10.1038/s41562-019-0566-x</w:t>
      </w:r>
    </w:p>
    <w:p>
      <w:pPr>
        <w:spacing w:before="0" w:after="120" w:line="480" w:lineRule="auto"/>
        <w:ind w:left="454" w:hanging="454"/>
      </w:pPr>
      <w:r>
        <w:rPr>
          <w:rFonts w:ascii="Times New Roman" w:hAnsi="Times New Roman" w:eastAsia="Times New Roman"/>
          <w:b w:val="0"/>
          <w:i w:val="0"/>
        </w:rPr>
        <w:t>Hartwig, F. P., Davey Smith, G., and Bowden, J. (2017). Robust inference in summary data Mendelian randomization via the zero modal pleiotropy assumption. Int. J. Epidemiol. 46(6), 1985–1998. doi: 10.1093/ije/dyx102</w:t>
      </w:r>
    </w:p>
    <w:p>
      <w:pPr>
        <w:spacing w:before="0" w:after="120" w:line="480" w:lineRule="auto"/>
        <w:ind w:left="454" w:hanging="454"/>
      </w:pPr>
      <w:r>
        <w:rPr>
          <w:rFonts w:ascii="Times New Roman" w:hAnsi="Times New Roman" w:eastAsia="Times New Roman"/>
          <w:b w:val="0"/>
          <w:i w:val="0"/>
        </w:rPr>
        <w:t>Hemani, G., Zheng, J., Elsworth, B., Wade, K. H., Haberland, V., Baird, D., et al. (2018). The MR-Base platform supports systematic causal inference across the human phenome. Elife 7, e34408. doi: 10.7554/eLife.34408</w:t>
      </w:r>
    </w:p>
    <w:p>
      <w:pPr>
        <w:spacing w:before="0" w:after="120" w:line="480" w:lineRule="auto"/>
        <w:ind w:left="454" w:hanging="454"/>
      </w:pPr>
      <w:r>
        <w:rPr>
          <w:rFonts w:ascii="Times New Roman" w:hAnsi="Times New Roman" w:eastAsia="Times New Roman"/>
          <w:b w:val="0"/>
          <w:i w:val="0"/>
        </w:rPr>
        <w:t>Jansen, P. R., Watanabe, K., Stringer, S., Skene, N., Bryois, J., Hammerschlag, A. R., et al. (2019). Genome-wide analysis of insomnia in 1,331,010 individuals identifies new risk loci and functional pathways. Nat. Genet. 51(3), 394–403. doi: 10.1038/s41588-018-0333-3</w:t>
      </w:r>
    </w:p>
    <w:p>
      <w:pPr>
        <w:spacing w:before="0" w:after="120" w:line="480" w:lineRule="auto"/>
        <w:ind w:left="454" w:hanging="454"/>
      </w:pPr>
      <w:r>
        <w:rPr>
          <w:rFonts w:ascii="Times New Roman" w:hAnsi="Times New Roman" w:eastAsia="Times New Roman"/>
          <w:b w:val="0"/>
          <w:i w:val="0"/>
        </w:rPr>
        <w:t>Kang, S., Gim, J., Lee, J., Gunasekaran, T. I., Choi, K. Y., Lee, J. J., et al. (2021). Potential Novel Genes for Late-Onset Alzheimer’s Disease in East-Asian Descent Identified by APOE-Stratified Genome-Wide Association Study. J. Alzheimers Dis. 82(4), 1451–1460. doi: 10.3233/JAD-210145</w:t>
      </w:r>
    </w:p>
    <w:p>
      <w:pPr>
        <w:spacing w:before="0" w:after="120" w:line="480" w:lineRule="auto"/>
        <w:ind w:left="454" w:hanging="454"/>
      </w:pPr>
      <w:r>
        <w:rPr>
          <w:rFonts w:ascii="Times New Roman" w:hAnsi="Times New Roman" w:eastAsia="Times New Roman"/>
          <w:b w:val="0"/>
          <w:i w:val="0"/>
        </w:rPr>
        <w:t>Kettunen, J., Demirkan, A., Würtz, P., Draisma, H. H. M., Haller, T., Rawal, R., et al. (2016). Genome-wide study for circulating metabolites identifies 62 loci and reveals novel systemic effects of LPA. Nat. Commun. 7, 11122. doi: 10.1038/ncomms11122</w:t>
      </w:r>
    </w:p>
    <w:p>
      <w:pPr>
        <w:spacing w:before="0" w:after="120" w:line="480" w:lineRule="auto"/>
        <w:ind w:left="454" w:hanging="454"/>
      </w:pPr>
      <w:r>
        <w:rPr>
          <w:rFonts w:ascii="Times New Roman" w:hAnsi="Times New Roman" w:eastAsia="Times New Roman"/>
          <w:b w:val="0"/>
          <w:i w:val="0"/>
        </w:rPr>
        <w:t>Koyama, S., Ito, K., Terao, C., Akiyama, M., Horikoshi, M., Momozawa, Y., et al. (2020). Population-specific and trans-ancestry genome-wide analyses identify distinct and shared genetic risk loci for coronary artery disease. Nat. Genet. 52(11), 1169–1177. doi: 10.1038/s41588-020-0705-3</w:t>
      </w:r>
    </w:p>
    <w:p>
      <w:pPr>
        <w:spacing w:before="0" w:after="120" w:line="480" w:lineRule="auto"/>
        <w:ind w:left="454" w:hanging="454"/>
      </w:pPr>
      <w:r>
        <w:rPr>
          <w:rFonts w:ascii="Times New Roman" w:hAnsi="Times New Roman" w:eastAsia="Times New Roman"/>
          <w:b w:val="0"/>
          <w:i w:val="0"/>
        </w:rPr>
        <w:t>Kunkle, B. W., Grenier-Boley, B., Sims, R., Bis, J. C., Damotte, V., Naj, A. C., et al. (2019). Genetic meta-analysis of diagnosed Alzheimer’s disease identifies new risk loci and implicates Aβ, tau, immunity and lipid processing. Nat. Genet. 51(3), 414–430. doi: 10.1038/s41588-019-0358-2</w:t>
      </w:r>
    </w:p>
    <w:p>
      <w:pPr>
        <w:spacing w:before="0" w:after="120" w:line="480" w:lineRule="auto"/>
        <w:ind w:left="454" w:hanging="454"/>
      </w:pPr>
      <w:r>
        <w:rPr>
          <w:rFonts w:ascii="Times New Roman" w:hAnsi="Times New Roman" w:eastAsia="Times New Roman"/>
          <w:b w:val="0"/>
          <w:i w:val="0"/>
        </w:rPr>
        <w:t>Lambert, J. C., Ibrahim-Verbaas, C. A., Harold, D., Naj, A. C., Sims, R., Bellenguez, C., et al. (2013). Meta-analysis of 74,046 individuals identifies 11 new susceptibility loci for Alzheimer's disease. Nat. Genet. 45(12), 1452–8. doi: 10.1038/ng.2802</w:t>
      </w:r>
    </w:p>
    <w:p>
      <w:pPr>
        <w:spacing w:before="0" w:after="120" w:line="480" w:lineRule="auto"/>
        <w:ind w:left="454" w:hanging="454"/>
      </w:pPr>
      <w:r>
        <w:rPr>
          <w:rFonts w:ascii="Times New Roman" w:hAnsi="Times New Roman" w:eastAsia="Times New Roman"/>
          <w:b w:val="0"/>
          <w:i w:val="0"/>
        </w:rPr>
        <w:t>Lane, J. M., Jones, S. E., Dashti, H. S., Wood, A. R., Aragam, K. G., van Hees, V. T., et al. (2019). Biological and clinical insights from genetics of insomnia symptoms. Nat. Genet. 51(3), 387–393. doi: 10.1038/s41588-019-0361-7</w:t>
      </w:r>
    </w:p>
    <w:p>
      <w:pPr>
        <w:spacing w:before="0" w:after="120" w:line="480" w:lineRule="auto"/>
        <w:ind w:left="454" w:hanging="454"/>
      </w:pPr>
      <w:r>
        <w:rPr>
          <w:rFonts w:ascii="Times New Roman" w:hAnsi="Times New Roman" w:eastAsia="Times New Roman"/>
          <w:b w:val="0"/>
          <w:i w:val="0"/>
        </w:rPr>
        <w:t>Lawlor, D. A., Tilling, K., and Davey Smith, G. (2016). Triangulation in aetiological epidemiology. Int. J. Epidemiol. 45(6), 1866–1886. doi: 10.1093/ije/dyw314</w:t>
      </w:r>
    </w:p>
    <w:p>
      <w:pPr>
        <w:spacing w:before="0" w:after="120" w:line="480" w:lineRule="auto"/>
        <w:ind w:left="454" w:hanging="454"/>
      </w:pPr>
      <w:r>
        <w:rPr>
          <w:rFonts w:ascii="Times New Roman" w:hAnsi="Times New Roman" w:eastAsia="Times New Roman"/>
          <w:b w:val="0"/>
          <w:i w:val="0"/>
        </w:rPr>
        <w:t>Lee, J. J., Wedow, R., Okbay, A., Kong, E., Maghzian, O., Zacher, M., et al. (2018). Gene discovery and polygenic prediction from a genome-wide association study of educational attainment in 1.1 million individuals. Nat. Genet. 50(8), 1112–1121. doi: 10.1038/s41588-018-0147-3</w:t>
      </w:r>
    </w:p>
    <w:p>
      <w:pPr>
        <w:spacing w:before="0" w:after="120" w:line="480" w:lineRule="auto"/>
        <w:ind w:left="454" w:hanging="454"/>
      </w:pPr>
      <w:r>
        <w:rPr>
          <w:rFonts w:ascii="Times New Roman" w:hAnsi="Times New Roman" w:eastAsia="Times New Roman"/>
          <w:b w:val="0"/>
          <w:i w:val="0"/>
        </w:rPr>
        <w:t>Morrison, J., Knoblauch, N., Marcus, J. H., Stephens, M., and He, X. (2020). Mendelian randomization accounting for correlated and uncorrelated pleiotropic effects using genome-wide summary statistics. Nat. Genet. 52(7), 740–747. doi: 10.1038/s41588-020-0631-4</w:t>
      </w:r>
    </w:p>
    <w:p>
      <w:pPr>
        <w:spacing w:before="0" w:after="120" w:line="480" w:lineRule="auto"/>
        <w:ind w:left="454" w:hanging="454"/>
      </w:pPr>
      <w:r>
        <w:rPr>
          <w:rFonts w:ascii="Times New Roman" w:hAnsi="Times New Roman" w:eastAsia="Times New Roman"/>
          <w:b w:val="0"/>
          <w:i w:val="0"/>
        </w:rPr>
        <w:t>Mounier, N., and Kutalik, Z. (2023). Bias correction for inverse variance weighting Mendelian randomization. Genet. Epidemiol. 47(4), 314–331. doi: 10.1002/gepi.22522</w:t>
      </w:r>
    </w:p>
    <w:p>
      <w:pPr>
        <w:spacing w:before="0" w:after="120" w:line="480" w:lineRule="auto"/>
        <w:ind w:left="454" w:hanging="454"/>
      </w:pPr>
      <w:r>
        <w:rPr>
          <w:rFonts w:ascii="Times New Roman" w:hAnsi="Times New Roman" w:eastAsia="Times New Roman"/>
          <w:b w:val="0"/>
          <w:i w:val="0"/>
        </w:rPr>
        <w:t>Munafò, M. R., and Davey Smith, G. (2018). Robust research needs many lines of evidence. Nature 553(7689), 399–401. doi: 10.1038/d41586-018-01023-3</w:t>
      </w:r>
    </w:p>
    <w:p>
      <w:pPr>
        <w:spacing w:before="0" w:after="120" w:line="480" w:lineRule="auto"/>
        <w:ind w:left="454" w:hanging="454"/>
      </w:pPr>
      <w:r>
        <w:rPr>
          <w:rFonts w:ascii="Times New Roman" w:hAnsi="Times New Roman" w:eastAsia="Times New Roman"/>
          <w:b w:val="0"/>
          <w:i w:val="0"/>
        </w:rPr>
        <w:t>Nalls, M. A., Blauwendraat, C., Vallerga, C. L., Heilbron, K., Bandres-Ciga, S., Chang, D., et al. (2019). Identification of novel risk loci, causal insights, and heritable risk for Parkinson's disease: a meta-analysis of genome-wide association studies. Lancet Neurol. 18(12), 1091–1102. doi: 10.1016/S1474-4422(19)30320-5</w:t>
      </w:r>
    </w:p>
    <w:p>
      <w:pPr>
        <w:spacing w:before="0" w:after="120" w:line="480" w:lineRule="auto"/>
        <w:ind w:left="454" w:hanging="454"/>
      </w:pPr>
      <w:r>
        <w:rPr>
          <w:rFonts w:ascii="Times New Roman" w:hAnsi="Times New Roman" w:eastAsia="Times New Roman"/>
          <w:b w:val="0"/>
          <w:i w:val="0"/>
        </w:rPr>
        <w:t>Patsopoulos, N. A., Baranzini, S. E., Santaniello, A., Shoostari, P., Cotsapas, C., Wong, G., et al. (2019). Multiple sclerosis genomic map implicates peripheral immune cells and microglia in susceptibility. Science 365(6460), eaav7188. doi: 10.1126/science.aav7188</w:t>
      </w:r>
    </w:p>
    <w:p>
      <w:pPr>
        <w:spacing w:before="0" w:after="120" w:line="480" w:lineRule="auto"/>
        <w:ind w:left="454" w:hanging="454"/>
      </w:pPr>
      <w:r>
        <w:rPr>
          <w:rFonts w:ascii="Times New Roman" w:hAnsi="Times New Roman" w:eastAsia="Times New Roman"/>
          <w:b w:val="0"/>
          <w:i w:val="0"/>
        </w:rPr>
        <w:t>Popper, K. (1959). The Logic of Scientific Discovery. London: Hutchinson. doi: 10.4324/9780203994627</w:t>
      </w:r>
    </w:p>
    <w:p>
      <w:pPr>
        <w:spacing w:before="0" w:after="120" w:line="480" w:lineRule="auto"/>
        <w:ind w:left="454" w:hanging="454"/>
      </w:pPr>
      <w:r>
        <w:rPr>
          <w:rFonts w:ascii="Times New Roman" w:hAnsi="Times New Roman" w:eastAsia="Times New Roman"/>
          <w:b w:val="0"/>
          <w:i w:val="0"/>
        </w:rPr>
        <w:t>Sanderson, E., Davey Smith, G., Windmeijer, F., and Bowden, J. (2019). An examination of multivariable Mendelian randomization in the single-sample and two-sample summary data settings. Int. J. Epidemiol. 48(3), 713–727. doi: 10.1093/ije/dyy262</w:t>
      </w:r>
    </w:p>
    <w:p>
      <w:pPr>
        <w:spacing w:before="0" w:after="120" w:line="480" w:lineRule="auto"/>
        <w:ind w:left="454" w:hanging="454"/>
      </w:pPr>
      <w:r>
        <w:rPr>
          <w:rFonts w:ascii="Times New Roman" w:hAnsi="Times New Roman" w:eastAsia="Times New Roman"/>
          <w:b w:val="0"/>
          <w:i w:val="0"/>
        </w:rPr>
        <w:t>Sanderson, E. (2021a). Multivariable Mendelian Randomization and Mediation. Cold Spring Harb. Perspect. Med. 11(2), a038984. doi: 10.1101/cshperspect.a038984</w:t>
      </w:r>
    </w:p>
    <w:p>
      <w:pPr>
        <w:spacing w:before="0" w:after="120" w:line="480" w:lineRule="auto"/>
        <w:ind w:left="454" w:hanging="454"/>
      </w:pPr>
      <w:r>
        <w:rPr>
          <w:rFonts w:ascii="Times New Roman" w:hAnsi="Times New Roman" w:eastAsia="Times New Roman"/>
          <w:b w:val="0"/>
          <w:i w:val="0"/>
        </w:rPr>
        <w:t>Sanderson, E., Richardson, T. G., Hemani, G., and Davey Smith, G. (2021b). The use of negative control outcomes in Mendelian randomization to detect potential population stratification. Int. J. Epidemiol. 50(4), 1350–1361. doi: 10.1093/ije/dyaa288</w:t>
      </w:r>
    </w:p>
    <w:p>
      <w:pPr>
        <w:spacing w:before="0" w:after="120" w:line="480" w:lineRule="auto"/>
        <w:ind w:left="454" w:hanging="454"/>
      </w:pPr>
      <w:r>
        <w:rPr>
          <w:rFonts w:ascii="Times New Roman" w:hAnsi="Times New Roman" w:eastAsia="Times New Roman"/>
          <w:b w:val="0"/>
          <w:i w:val="0"/>
        </w:rPr>
        <w:t>Seyedsalehi, A., Warrier, V., Bethlehem, R. A. I., Perry, B. I., Burgess, S., and Murray, G. K. (2023). Educational attainment, structural brain reserve and Alzheimer’s disease: a Mendelian randomization analysis. Brain 146(5), 2059–2074. doi: 10.1093/brain/awac392</w:t>
      </w:r>
    </w:p>
    <w:p>
      <w:pPr>
        <w:spacing w:before="0" w:after="120" w:line="480" w:lineRule="auto"/>
        <w:ind w:left="454" w:hanging="454"/>
      </w:pPr>
      <w:r>
        <w:rPr>
          <w:rFonts w:ascii="Times New Roman" w:hAnsi="Times New Roman" w:eastAsia="Times New Roman"/>
          <w:b w:val="0"/>
          <w:i w:val="0"/>
        </w:rPr>
        <w:t>Skrivankova, V. W., Richmond, R. C., Woolf, B. A. R., Yarmolinsky, J., Davies, N. M., Swanson, S. A., et al. (2021). Strengthening the Reporting of Observational Studies in Epidemiology Using Mendelian Randomization: The STROBE-MR Statement. JAMA 326(16), 1614–1621. doi: 10.1001/jama.2021.18236</w:t>
      </w:r>
    </w:p>
    <w:p>
      <w:pPr>
        <w:spacing w:before="0" w:after="120" w:line="480" w:lineRule="auto"/>
        <w:ind w:left="454" w:hanging="454"/>
      </w:pPr>
      <w:r>
        <w:rPr>
          <w:rFonts w:ascii="Times New Roman" w:hAnsi="Times New Roman" w:eastAsia="Times New Roman"/>
          <w:b w:val="0"/>
          <w:i w:val="0"/>
        </w:rPr>
        <w:t>Sudlow, C., Gallacher, J., Allen, N., Beral, V., Burton, P., Danesh, J., et al. (2015). UK Biobank: An Open Access Resource for Identifying the Causes of a Wide Range of Complex Diseases of Middle and Old Age. PLoS Med. 12(3), e1001779. doi: 10.1371/journal.pmed.1001779</w:t>
      </w:r>
    </w:p>
    <w:p>
      <w:pPr>
        <w:spacing w:before="0" w:after="120" w:line="480" w:lineRule="auto"/>
        <w:ind w:left="454" w:hanging="454"/>
      </w:pPr>
      <w:r>
        <w:rPr>
          <w:rFonts w:ascii="Times New Roman" w:hAnsi="Times New Roman" w:eastAsia="Times New Roman"/>
          <w:b w:val="0"/>
          <w:i w:val="0"/>
        </w:rPr>
        <w:t>Suhre, K., Arnold, M., Bhagwat, A. M., Cotton, R. J., Engelke, R., Raffler, J., et al. (2017). Connecting genetic risk to disease end points through the human blood plasma proteome. Nat. Commun. 8, 14357. doi: 10.1038/ncomms14357</w:t>
      </w:r>
    </w:p>
    <w:p>
      <w:pPr>
        <w:spacing w:before="0" w:after="120" w:line="480" w:lineRule="auto"/>
        <w:ind w:left="454" w:hanging="454"/>
      </w:pPr>
      <w:r>
        <w:rPr>
          <w:rFonts w:ascii="Times New Roman" w:hAnsi="Times New Roman" w:eastAsia="Times New Roman"/>
          <w:b w:val="0"/>
          <w:i w:val="0"/>
        </w:rPr>
        <w:t>Sun, B. B., Maranville, J. C., Peters, J. E., Stacey, D., Staley, J. R., Blackshaw, J., et al. (2018). Genomic atlas of the human plasma proteome. Nature 558(7708), 73–79. doi: 10.1038/s41586-018-0175-2</w:t>
      </w:r>
    </w:p>
    <w:p>
      <w:pPr>
        <w:spacing w:before="0" w:after="120" w:line="480" w:lineRule="auto"/>
        <w:ind w:left="454" w:hanging="454"/>
      </w:pPr>
      <w:r>
        <w:rPr>
          <w:rFonts w:ascii="Times New Roman" w:hAnsi="Times New Roman" w:eastAsia="Times New Roman"/>
          <w:b w:val="0"/>
          <w:i w:val="0"/>
        </w:rPr>
        <w:t>Verbanck, M., Chen, C. Y., Neale, B., and Do, R. (2018). Detection of widespread horizontal pleiotropy in causal relationships inferred from Mendelian randomization between complex traits and diseases. Nat. Genet. 50(5), 693–698. doi: 10.1038/s41588-018-0099-7</w:t>
      </w:r>
    </w:p>
    <w:p>
      <w:pPr>
        <w:spacing w:before="0" w:after="120" w:line="480" w:lineRule="auto"/>
        <w:ind w:left="454" w:hanging="454"/>
      </w:pPr>
      <w:r>
        <w:rPr>
          <w:rFonts w:ascii="Times New Roman" w:hAnsi="Times New Roman" w:eastAsia="Times New Roman"/>
          <w:b w:val="0"/>
          <w:i w:val="0"/>
        </w:rPr>
        <w:t>Zheng, J., Zhang, Y., Rasheed, H., Walker, V., Sugawara, Y., Li, J., et al. (2021). Trans-ethnic Mendelian-randomization study reveals causal relationships between cardiometabolic factors and chronic kidney disease. Int. J. Epidemiol. 50(6), 1995–2010. doi: 10.1093/ije/dyab203</w:t>
      </w:r>
    </w:p>
    <w:p>
      <w:pPr>
        <w:spacing w:before="360" w:after="160" w:line="240" w:lineRule="auto"/>
      </w:pPr>
      <w:r>
        <w:rPr>
          <w:rFonts w:ascii="Times New Roman" w:hAnsi="Times New Roman" w:eastAsia="Times New Roman"/>
          <w:b/>
          <w:i w:val="0"/>
          <w:sz w:val="28"/>
        </w:rPr>
        <w:t>Figure legends</w:t>
      </w:r>
    </w:p>
    <w:p>
      <w:pPr>
        <w:keepNext/>
        <w:spacing w:before="280" w:after="120" w:line="240" w:lineRule="auto"/>
      </w:pPr>
      <w:r>
        <w:rPr>
          <w:rFonts w:ascii="Times New Roman" w:hAnsi="Times New Roman" w:eastAsia="Times New Roman"/>
          <w:b/>
          <w:i w:val="0"/>
        </w:rPr>
        <w:t>Figure 1.</w:t>
      </w:r>
      <w:r>
        <w:rPr>
          <w:rFonts w:ascii="Times New Roman" w:hAnsi="Times New Roman" w:eastAsia="Times New Roman"/>
          <w:b w:val="0"/>
          <w:i w:val="0"/>
        </w:rPr>
        <w:t xml:space="preserve"> The six-gate falsification framework. (</w:t>
      </w:r>
      <w:r>
        <w:rPr>
          <w:rFonts w:ascii="Times New Roman" w:hAnsi="Times New Roman" w:eastAsia="Times New Roman"/>
          <w:b/>
          <w:i w:val="0"/>
        </w:rPr>
        <w:t>A</w:t>
      </w:r>
      <w:r>
        <w:rPr>
          <w:rFonts w:ascii="Times New Roman" w:hAnsi="Times New Roman" w:eastAsia="Times New Roman"/>
          <w:b w:val="0"/>
          <w:i w:val="0"/>
        </w:rPr>
        <w:t>) Six falsification gates, each operationalizing one failure mode of MR inference; cumulative 0–12 scores assign grades A–D. (</w:t>
      </w:r>
      <w:r>
        <w:rPr>
          <w:rFonts w:ascii="Times New Roman" w:hAnsi="Times New Roman" w:eastAsia="Times New Roman"/>
          <w:b/>
          <w:i w:val="0"/>
        </w:rPr>
        <w:t>B</w:t>
      </w:r>
      <w:r>
        <w:rPr>
          <w:rFonts w:ascii="Times New Roman" w:hAnsi="Times New Roman" w:eastAsia="Times New Roman"/>
          <w:b w:val="0"/>
          <w:i w:val="0"/>
        </w:rPr>
        <w:t>) Comparison with the traditional one-shot MR pipeline.</w:t>
      </w:r>
    </w:p>
    <w:p>
      <w:pPr>
        <w:keepNext/>
        <w:spacing w:before="280" w:after="120" w:line="240" w:lineRule="auto"/>
      </w:pPr>
      <w:r>
        <w:rPr>
          <w:rFonts w:ascii="Times New Roman" w:hAnsi="Times New Roman" w:eastAsia="Times New Roman"/>
          <w:b/>
          <w:i w:val="0"/>
        </w:rPr>
        <w:t>Figure 2.</w:t>
      </w:r>
      <w:r>
        <w:rPr>
          <w:rFonts w:ascii="Times New Roman" w:hAnsi="Times New Roman" w:eastAsia="Times New Roman"/>
          <w:b w:val="0"/>
          <w:i w:val="0"/>
        </w:rPr>
        <w:t xml:space="preserve"> Simulation operating characteristics across 43,200 replicates, scored with the published rule including the decisive-failure cap. (a) Sensitivity, the proportion of replicates with a true non-zero effect that are graded A or B, against effect size, by pleiotropy regime; the dashed line marks 80% power. (b) Specificity, the proportion of null replicates graded D, alongside the empirical FDR among positive calls. (c) Grade distribution at the largest effect size (</w:t>
      </w:r>
      <w:r>
        <w:rPr>
          <w:rFonts w:ascii="Times New Roman" w:hAnsi="Times New Roman" w:eastAsia="Times New Roman"/>
          <w:b w:val="0"/>
          <w:i/>
        </w:rPr>
        <w:t>β</w:t>
      </w:r>
      <w:r>
        <w:rPr>
          <w:rFonts w:ascii="Times New Roman" w:hAnsi="Times New Roman" w:eastAsia="Times New Roman"/>
          <w:b w:val="0"/>
          <w:i w:val="0"/>
        </w:rPr>
        <w:t xml:space="preserve"> = 0.15</w:t>
      </w:r>
      <w:r>
        <w:rPr>
          <w:rFonts w:ascii="Times New Roman" w:hAnsi="Times New Roman" w:eastAsia="Times New Roman"/>
          <w:b w:val="0"/>
          <w:i w:val="0"/>
        </w:rPr>
        <w:t xml:space="preserve">). The curves cross in (a) because at </w:t>
      </w:r>
      <w:r>
        <w:rPr>
          <w:rFonts w:ascii="Times New Roman" w:hAnsi="Times New Roman" w:eastAsia="Times New Roman"/>
          <w:b w:val="0"/>
          <w:i/>
        </w:rPr>
        <w:t>β</w:t>
      </w:r>
      <w:r>
        <w:rPr>
          <w:rFonts w:ascii="Times New Roman" w:hAnsi="Times New Roman" w:eastAsia="Times New Roman"/>
          <w:b w:val="0"/>
          <w:i w:val="0"/>
        </w:rPr>
        <w:t xml:space="preserve"> = 0.08</w:t>
      </w:r>
      <w:r>
        <w:rPr>
          <w:rFonts w:ascii="Times New Roman" w:hAnsi="Times New Roman" w:eastAsia="Times New Roman"/>
          <w:b w:val="0"/>
          <w:i w:val="0"/>
        </w:rPr>
        <w:t xml:space="preserve"> most replicates without pleiotropy fail G2 and are capped at Grade C, whereas pleiotropic bias moves the clumped estimate away from the null and leaves the gate open. Gate signals are generated by the proxy data-generating process described in Methods; the panel values are regenerated from </w:t>
      </w:r>
      <w:r>
        <w:rPr>
          <w:rFonts w:ascii="Consolas" w:hAnsi="Consolas" w:eastAsia="Consolas"/>
          <w:b w:val="0"/>
          <w:i w:val="0"/>
          <w:sz w:val="22"/>
        </w:rPr>
        <w:t>sim_marginal.csv</w:t>
      </w:r>
      <w:r>
        <w:rPr>
          <w:rFonts w:ascii="Times New Roman" w:hAnsi="Times New Roman" w:eastAsia="Times New Roman"/>
          <w:b w:val="0"/>
          <w:i w:val="0"/>
        </w:rPr>
        <w:t xml:space="preserve"> and </w:t>
      </w:r>
      <w:r>
        <w:rPr>
          <w:rFonts w:ascii="Consolas" w:hAnsi="Consolas" w:eastAsia="Consolas"/>
          <w:b w:val="0"/>
          <w:i w:val="0"/>
          <w:sz w:val="22"/>
        </w:rPr>
        <w:t>sim_operating_chars.csv</w:t>
      </w:r>
      <w:r>
        <w:rPr>
          <w:rFonts w:ascii="Times New Roman" w:hAnsi="Times New Roman" w:eastAsia="Times New Roman"/>
          <w:b w:val="0"/>
          <w:i w:val="0"/>
        </w:rPr>
        <w:t xml:space="preserve"> by </w:t>
      </w:r>
      <w:r>
        <w:rPr>
          <w:rFonts w:ascii="Consolas" w:hAnsi="Consolas" w:eastAsia="Consolas"/>
          <w:b w:val="0"/>
          <w:i w:val="0"/>
          <w:sz w:val="22"/>
        </w:rPr>
        <w:t>code/make_fig2_simulation.py</w:t>
      </w:r>
      <w:r>
        <w:rPr>
          <w:rFonts w:ascii="Times New Roman" w:hAnsi="Times New Roman" w:eastAsia="Times New Roman"/>
          <w:b w:val="0"/>
          <w:i w:val="0"/>
        </w:rPr>
        <w:t>.</w:t>
      </w:r>
    </w:p>
    <w:p>
      <w:pPr>
        <w:keepNext/>
        <w:spacing w:before="280" w:after="120" w:line="240" w:lineRule="auto"/>
      </w:pPr>
      <w:r>
        <w:rPr>
          <w:rFonts w:ascii="Times New Roman" w:hAnsi="Times New Roman" w:eastAsia="Times New Roman"/>
          <w:b/>
          <w:i w:val="0"/>
        </w:rPr>
        <w:t>Figure 3.</w:t>
      </w:r>
      <w:r>
        <w:rPr>
          <w:rFonts w:ascii="Times New Roman" w:hAnsi="Times New Roman" w:eastAsia="Times New Roman"/>
          <w:b w:val="0"/>
          <w:i w:val="0"/>
        </w:rPr>
        <w:t xml:space="preserve"> Case study MR results (insomnia–AD). (A) Key MR estimates showing clump reversal and education protection; (B) colocalization asymmetry (reverse-dominated, 18/32 reverse vs. 1/47 forward).</w:t>
      </w:r>
    </w:p>
    <w:p>
      <w:pPr>
        <w:keepNext/>
        <w:spacing w:before="280" w:after="120" w:line="240" w:lineRule="auto"/>
      </w:pPr>
      <w:r>
        <w:rPr>
          <w:rFonts w:ascii="Times New Roman" w:hAnsi="Times New Roman" w:eastAsia="Times New Roman"/>
          <w:b/>
          <w:i w:val="0"/>
        </w:rPr>
        <w:t>Figure 4.</w:t>
      </w:r>
      <w:r>
        <w:rPr>
          <w:rFonts w:ascii="Times New Roman" w:hAnsi="Times New Roman" w:eastAsia="Times New Roman"/>
          <w:b w:val="0"/>
          <w:i w:val="0"/>
        </w:rPr>
        <w:t xml:space="preserve"> APOE-locus shared liability: genome-wide </w:t>
      </w:r>
      <w:r>
        <w:rPr>
          <w:rFonts w:ascii="Times New Roman" w:hAnsi="Times New Roman" w:eastAsia="Times New Roman"/>
          <w:b w:val="0"/>
          <w:i/>
        </w:rPr>
        <w:t>r</w:t>
      </w:r>
      <w:r>
        <w:rPr>
          <w:rFonts w:ascii="Times New Roman" w:hAnsi="Times New Roman" w:eastAsia="Times New Roman"/>
          <w:b w:val="0"/>
          <w:i w:val="0"/>
          <w:vertAlign w:val="subscript"/>
        </w:rPr>
        <w:t>g</w:t>
      </w:r>
      <w:r>
        <w:rPr>
          <w:rFonts w:ascii="Times New Roman" w:hAnsi="Times New Roman" w:eastAsia="Times New Roman"/>
          <w:b w:val="0"/>
          <w:i w:val="0"/>
        </w:rPr>
        <w:t>, chromosome-19 removal, and locus-specific colocalization.</w:t>
      </w:r>
    </w:p>
    <w:p>
      <w:pPr>
        <w:keepNext/>
        <w:spacing w:before="280" w:after="120" w:line="240" w:lineRule="auto"/>
      </w:pPr>
      <w:r>
        <w:rPr>
          <w:rFonts w:ascii="Times New Roman" w:hAnsi="Times New Roman" w:eastAsia="Times New Roman"/>
          <w:b/>
          <w:i w:val="0"/>
        </w:rPr>
        <w:t>Figure 5.</w:t>
      </w:r>
      <w:r>
        <w:rPr>
          <w:rFonts w:ascii="Times New Roman" w:hAnsi="Times New Roman" w:eastAsia="Times New Roman"/>
          <w:b w:val="0"/>
          <w:i w:val="0"/>
        </w:rPr>
        <w:t xml:space="preserve"> Validation cohort under the revised scoring: per-gate points (G1–G6), total score and grade for each of the twelve trait pairs (Grade A, n = 3; B, n = 2; C, n = 4; D, n = 3), with the cross-ancestry evidence supporting each G6 decision. Generated directly from Supplementary Table S8 by </w:t>
      </w:r>
      <w:r>
        <w:rPr>
          <w:rFonts w:ascii="Consolas" w:hAnsi="Consolas" w:eastAsia="Consolas"/>
          <w:b w:val="0"/>
          <w:i w:val="0"/>
          <w:sz w:val="22"/>
        </w:rPr>
        <w:t>code/make_fig5_validation.py</w:t>
      </w:r>
      <w:r>
        <w:rPr>
          <w:rFonts w:ascii="Times New Roman" w:hAnsi="Times New Roman" w:eastAsia="Times New Roman"/>
          <w:b w:val="0"/>
          <w:i w:val="0"/>
        </w:rPr>
        <w:t>.</w:t>
      </w:r>
    </w:p>
    <w:p>
      <w:pPr>
        <w:spacing w:before="360" w:after="160" w:line="240" w:lineRule="auto"/>
      </w:pPr>
      <w:r>
        <w:rPr>
          <w:rFonts w:ascii="Times New Roman" w:hAnsi="Times New Roman" w:eastAsia="Times New Roman"/>
          <w:b/>
          <w:i w:val="0"/>
          <w:sz w:val="28"/>
        </w:rPr>
        <w:t>Tables</w:t>
      </w:r>
    </w:p>
    <w:p>
      <w:pPr>
        <w:keepNext/>
        <w:spacing w:before="280" w:after="120" w:line="240" w:lineRule="auto"/>
      </w:pPr>
      <w:r>
        <w:rPr>
          <w:rFonts w:ascii="Times New Roman" w:hAnsi="Times New Roman" w:eastAsia="Times New Roman"/>
          <w:b/>
          <w:i w:val="0"/>
        </w:rPr>
        <w:t>Table 1.</w:t>
      </w:r>
      <w:r>
        <w:rPr>
          <w:rFonts w:ascii="Times New Roman" w:hAnsi="Times New Roman" w:eastAsia="Times New Roman"/>
          <w:b w:val="0"/>
          <w:i w:val="0"/>
        </w:rPr>
        <w:t xml:space="preserve"> Two-layer gate specification: the pre-specified empirical criterion applied to real data (0, 1 or 2 points) and the proxy implementation used in the 43,200-replicate benchmark. See "The six gates" section for detailed definitions.</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504"/>
        <w:gridCol w:w="1504"/>
        <w:gridCol w:w="1504"/>
        <w:gridCol w:w="1504"/>
        <w:gridCol w:w="1504"/>
        <w:gridCol w:w="1504"/>
      </w:tblGrid>
      <w:tr>
        <w:trPr>
          <w:cantSplit w:val="true"/>
          <w:tblHeader w:val="true"/>
        </w:trPr>
        <w:tc>
          <w:tcPr>
            <w:tcW w:type="dxa" w:w="595"/>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Gate</w:t>
            </w:r>
          </w:p>
        </w:tc>
        <w:tc>
          <w:tcPr>
            <w:tcW w:type="dxa" w:w="121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Failure mode</w:t>
            </w:r>
          </w:p>
        </w:tc>
        <w:tc>
          <w:tcPr>
            <w:tcW w:type="dxa" w:w="195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Empirical: 2 points</w:t>
            </w:r>
          </w:p>
        </w:tc>
        <w:tc>
          <w:tcPr>
            <w:tcW w:type="dxa" w:w="172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Empirical: 1 point</w:t>
            </w:r>
          </w:p>
        </w:tc>
        <w:tc>
          <w:tcPr>
            <w:tcW w:type="dxa" w:w="178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Empirical: 0 points</w:t>
            </w:r>
          </w:p>
        </w:tc>
        <w:tc>
          <w:tcPr>
            <w:tcW w:type="dxa" w:w="172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Proxy implementation in the benchmark</w:t>
            </w:r>
          </w:p>
        </w:tc>
      </w:tr>
      <w:tr>
        <w:trPr>
          <w:cantSplit w:val="true"/>
        </w:trPr>
        <w:tc>
          <w:tcPr>
            <w:tcW w:type="dxa" w:w="595"/>
          </w:tcPr>
          <w:p>
            <w:pPr>
              <w:spacing w:before="40" w:after="40" w:line="240" w:lineRule="auto"/>
            </w:pPr>
            <w:r>
              <w:rPr>
                <w:rFonts w:ascii="Times New Roman" w:hAnsi="Times New Roman" w:eastAsia="Times New Roman"/>
                <w:b w:val="0"/>
                <w:i w:val="0"/>
                <w:sz w:val="16"/>
              </w:rPr>
              <w:t>G1</w:t>
            </w:r>
          </w:p>
        </w:tc>
        <w:tc>
          <w:tcPr>
            <w:tcW w:type="dxa" w:w="1219"/>
          </w:tcPr>
          <w:p>
            <w:pPr>
              <w:spacing w:before="40" w:after="40" w:line="240" w:lineRule="auto"/>
            </w:pPr>
            <w:r>
              <w:rPr>
                <w:rFonts w:ascii="Times New Roman" w:hAnsi="Times New Roman" w:eastAsia="Times New Roman"/>
                <w:b w:val="0"/>
                <w:i w:val="0"/>
                <w:sz w:val="16"/>
              </w:rPr>
              <w:t>Association / screening</w:t>
            </w:r>
          </w:p>
        </w:tc>
        <w:tc>
          <w:tcPr>
            <w:tcW w:type="dxa" w:w="1956"/>
          </w:tcPr>
          <w:p>
            <w:pPr>
              <w:spacing w:before="40" w:after="40" w:line="240" w:lineRule="auto"/>
            </w:pPr>
            <w:r>
              <w:rPr>
                <w:rFonts w:ascii="Times New Roman" w:hAnsi="Times New Roman" w:eastAsia="Times New Roman"/>
                <w:b w:val="0"/>
                <w:i w:val="0"/>
                <w:sz w:val="16"/>
              </w:rPr>
              <w:t xml:space="preserve">Unclumped IVW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in the claimed direction</w:t>
            </w:r>
          </w:p>
        </w:tc>
        <w:tc>
          <w:tcPr>
            <w:tcW w:type="dxa" w:w="1729"/>
          </w:tcPr>
          <w:p>
            <w:pPr>
              <w:spacing w:before="40" w:after="40" w:line="240" w:lineRule="auto"/>
            </w:pPr>
            <w:r>
              <w:rPr>
                <w:rFonts w:ascii="Times New Roman" w:hAnsi="Times New Roman" w:eastAsia="Times New Roman"/>
                <w:b w:val="0"/>
                <w:i w:val="0"/>
                <w:sz w:val="16"/>
              </w:rPr>
              <w:t>— (binary gate)</w:t>
            </w:r>
          </w:p>
        </w:tc>
        <w:tc>
          <w:tcPr>
            <w:tcW w:type="dxa" w:w="1786"/>
          </w:tcPr>
          <w:p>
            <w:pPr>
              <w:spacing w:before="40" w:after="40" w:line="240" w:lineRule="auto"/>
            </w:pPr>
            <w:r>
              <w:rPr>
                <w:rFonts w:ascii="Times New Roman" w:hAnsi="Times New Roman" w:eastAsia="Times New Roman"/>
                <w:b w:val="0"/>
                <w:i/>
                <w:sz w:val="16"/>
              </w:rPr>
              <w:t>P</w:t>
            </w:r>
            <w:r>
              <w:rPr>
                <w:rFonts w:ascii="Times New Roman" w:hAnsi="Times New Roman" w:eastAsia="Times New Roman"/>
                <w:b w:val="0"/>
                <w:i w:val="0"/>
                <w:sz w:val="16"/>
              </w:rPr>
              <w:t xml:space="preserve"> ≥ 0.05</w:t>
            </w:r>
            <w:r>
              <w:rPr>
                <w:rFonts w:ascii="Times New Roman" w:hAnsi="Times New Roman" w:eastAsia="Times New Roman"/>
                <w:b w:val="0"/>
                <w:i w:val="0"/>
                <w:sz w:val="16"/>
              </w:rPr>
              <w:t xml:space="preserve">, direction reversed, or </w:t>
            </w:r>
            <w:r>
              <w:rPr>
                <w:rFonts w:ascii="Times New Roman" w:hAnsi="Times New Roman" w:eastAsia="Times New Roman"/>
                <w:b w:val="0"/>
                <w:i w:val="0"/>
                <w:sz w:val="16"/>
              </w:rPr>
              <w:t>&lt;3</w:t>
            </w:r>
            <w:r>
              <w:rPr>
                <w:rFonts w:ascii="Times New Roman" w:hAnsi="Times New Roman" w:eastAsia="Times New Roman"/>
                <w:b w:val="0"/>
                <w:i w:val="0"/>
                <w:sz w:val="16"/>
              </w:rPr>
              <w:t xml:space="preserve"> instruments</w:t>
            </w:r>
          </w:p>
        </w:tc>
        <w:tc>
          <w:tcPr>
            <w:tcW w:type="dxa" w:w="1729"/>
          </w:tcPr>
          <w:p>
            <w:pPr>
              <w:spacing w:before="40" w:after="40" w:line="240" w:lineRule="auto"/>
            </w:pPr>
            <w:r>
              <w:rPr>
                <w:rFonts w:ascii="Times New Roman" w:hAnsi="Times New Roman" w:eastAsia="Times New Roman"/>
                <w:b w:val="0"/>
                <w:i w:val="0"/>
                <w:sz w:val="16"/>
              </w:rPr>
              <w:t xml:space="preserve">IVW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and </w:t>
            </w:r>
            <w:r>
              <w:rPr>
                <w:rFonts w:ascii="Times New Roman" w:hAnsi="Times New Roman" w:eastAsia="Times New Roman"/>
                <w:b w:val="0"/>
                <w:i w:val="0"/>
                <w:sz w:val="16"/>
              </w:rPr>
              <w:t xml:space="preserve">| </w:t>
            </w:r>
            <w:r>
              <w:rPr>
                <w:rFonts w:ascii="Times New Roman" w:hAnsi="Times New Roman" w:eastAsia="Times New Roman"/>
                <w:b w:val="0"/>
                <w:i/>
                <w:sz w:val="16"/>
              </w:rPr>
              <w:t>b</w:t>
            </w:r>
            <w:r>
              <w:rPr>
                <w:rFonts w:ascii="Times New Roman" w:hAnsi="Times New Roman" w:eastAsia="Times New Roman"/>
                <w:b w:val="0"/>
                <w:i w:val="0"/>
                <w:sz w:val="16"/>
              </w:rPr>
              <w:t xml:space="preserve"> | &gt; 10</w:t>
            </w:r>
            <w:r>
              <w:rPr>
                <w:rFonts w:ascii="Times New Roman" w:hAnsi="Times New Roman" w:eastAsia="Times New Roman"/>
                <w:b w:val="0"/>
                <w:i w:val="0"/>
                <w:sz w:val="16"/>
                <w:vertAlign w:val="superscript"/>
              </w:rPr>
              <w:t>-4</w:t>
            </w:r>
            <w:r>
              <w:rPr>
                <w:rFonts w:ascii="Times New Roman" w:hAnsi="Times New Roman" w:eastAsia="Times New Roman"/>
                <w:b w:val="0"/>
                <w:i w:val="0"/>
                <w:sz w:val="16"/>
              </w:rPr>
              <w:t xml:space="preserve"> (2); </w:t>
            </w:r>
            <w:r>
              <w:rPr>
                <w:rFonts w:ascii="Times New Roman" w:hAnsi="Times New Roman" w:eastAsia="Times New Roman"/>
                <w:b w:val="0"/>
                <w:i w:val="0"/>
                <w:sz w:val="16"/>
              </w:rPr>
              <w:t xml:space="preserve">0.05 ≤ </w:t>
            </w:r>
            <w:r>
              <w:rPr>
                <w:rFonts w:ascii="Times New Roman" w:hAnsi="Times New Roman" w:eastAsia="Times New Roman"/>
                <w:b w:val="0"/>
                <w:i/>
                <w:sz w:val="16"/>
              </w:rPr>
              <w:t>P</w:t>
            </w:r>
            <w:r>
              <w:rPr>
                <w:rFonts w:ascii="Times New Roman" w:hAnsi="Times New Roman" w:eastAsia="Times New Roman"/>
                <w:b w:val="0"/>
                <w:i w:val="0"/>
                <w:sz w:val="16"/>
              </w:rPr>
              <w:t xml:space="preserve"> &lt; 0.20</w:t>
            </w:r>
            <w:r>
              <w:rPr>
                <w:rFonts w:ascii="Times New Roman" w:hAnsi="Times New Roman" w:eastAsia="Times New Roman"/>
                <w:b w:val="0"/>
                <w:i w:val="0"/>
                <w:sz w:val="16"/>
              </w:rPr>
              <w:t xml:space="preserve"> (1); </w:t>
            </w:r>
            <w:r>
              <w:rPr>
                <w:rFonts w:ascii="Times New Roman" w:hAnsi="Times New Roman" w:eastAsia="Times New Roman"/>
                <w:b w:val="0"/>
                <w:i/>
                <w:sz w:val="16"/>
              </w:rPr>
              <w:t>P</w:t>
            </w:r>
            <w:r>
              <w:rPr>
                <w:rFonts w:ascii="Times New Roman" w:hAnsi="Times New Roman" w:eastAsia="Times New Roman"/>
                <w:b w:val="0"/>
                <w:i w:val="0"/>
                <w:sz w:val="16"/>
              </w:rPr>
              <w:t xml:space="preserve"> ≥ 0.20</w:t>
            </w:r>
            <w:r>
              <w:rPr>
                <w:rFonts w:ascii="Times New Roman" w:hAnsi="Times New Roman" w:eastAsia="Times New Roman"/>
                <w:b w:val="0"/>
                <w:i w:val="0"/>
                <w:sz w:val="16"/>
              </w:rPr>
              <w:t xml:space="preserve"> (0)</w:t>
            </w:r>
          </w:p>
        </w:tc>
      </w:tr>
      <w:tr>
        <w:trPr>
          <w:cantSplit w:val="true"/>
        </w:trPr>
        <w:tc>
          <w:tcPr>
            <w:tcW w:type="dxa" w:w="595"/>
          </w:tcPr>
          <w:p>
            <w:pPr>
              <w:spacing w:before="40" w:after="40" w:line="240" w:lineRule="auto"/>
            </w:pPr>
            <w:r>
              <w:rPr>
                <w:rFonts w:ascii="Times New Roman" w:hAnsi="Times New Roman" w:eastAsia="Times New Roman"/>
                <w:b w:val="0"/>
                <w:i w:val="0"/>
                <w:sz w:val="16"/>
              </w:rPr>
              <w:t>G2</w:t>
            </w:r>
          </w:p>
        </w:tc>
        <w:tc>
          <w:tcPr>
            <w:tcW w:type="dxa" w:w="1219"/>
          </w:tcPr>
          <w:p>
            <w:pPr>
              <w:spacing w:before="40" w:after="40" w:line="240" w:lineRule="auto"/>
            </w:pPr>
            <w:r>
              <w:rPr>
                <w:rFonts w:ascii="Times New Roman" w:hAnsi="Times New Roman" w:eastAsia="Times New Roman"/>
                <w:b w:val="0"/>
                <w:i w:val="0"/>
                <w:sz w:val="16"/>
              </w:rPr>
              <w:t>Robustness to LD, overlap and pleiotropy</w:t>
            </w:r>
          </w:p>
        </w:tc>
        <w:tc>
          <w:tcPr>
            <w:tcW w:type="dxa" w:w="1956"/>
          </w:tcPr>
          <w:p>
            <w:pPr>
              <w:spacing w:before="40" w:after="40" w:line="240" w:lineRule="auto"/>
            </w:pPr>
            <w:r>
              <w:rPr>
                <w:rFonts w:ascii="Times New Roman" w:hAnsi="Times New Roman" w:eastAsia="Times New Roman"/>
                <w:b w:val="0"/>
                <w:i w:val="0"/>
                <w:sz w:val="16"/>
              </w:rPr>
              <w:t xml:space="preserve">Clumped IVW significant in the claimed direction; MR-Egger intercept </w:t>
            </w:r>
            <w:r>
              <w:rPr>
                <w:rFonts w:ascii="Times New Roman" w:hAnsi="Times New Roman" w:eastAsia="Times New Roman"/>
                <w:b w:val="0"/>
                <w:i/>
                <w:sz w:val="16"/>
              </w:rPr>
              <w:t>P</w:t>
            </w:r>
            <w:r>
              <w:rPr>
                <w:rFonts w:ascii="Times New Roman" w:hAnsi="Times New Roman" w:eastAsia="Times New Roman"/>
                <w:b w:val="0"/>
                <w:i w:val="0"/>
                <w:sz w:val="16"/>
              </w:rPr>
              <w:t xml:space="preserve"> ≥ 0.05</w:t>
            </w:r>
            <w:r>
              <w:rPr>
                <w:rFonts w:ascii="Times New Roman" w:hAnsi="Times New Roman" w:eastAsia="Times New Roman"/>
                <w:b w:val="0"/>
                <w:i w:val="0"/>
                <w:sz w:val="16"/>
              </w:rPr>
              <w:t xml:space="preserve">; Cochran </w:t>
            </w:r>
            <w:r>
              <w:rPr>
                <w:rFonts w:ascii="Times New Roman" w:hAnsi="Times New Roman" w:eastAsia="Times New Roman"/>
                <w:b w:val="0"/>
                <w:i/>
                <w:sz w:val="16"/>
              </w:rPr>
              <w:t>Q</w:t>
            </w:r>
            <w:r>
              <w:rPr>
                <w:rFonts w:ascii="Times New Roman" w:hAnsi="Times New Roman" w:eastAsia="Times New Roman"/>
                <w:b w:val="0"/>
                <w:i w:val="0"/>
                <w:sz w:val="16"/>
              </w:rPr>
              <w:t xml:space="preserve"> </w:t>
            </w:r>
            <w:r>
              <w:rPr>
                <w:rFonts w:ascii="Times New Roman" w:hAnsi="Times New Roman" w:eastAsia="Times New Roman"/>
                <w:b w:val="0"/>
                <w:i/>
                <w:sz w:val="16"/>
              </w:rPr>
              <w:t>P</w:t>
            </w:r>
            <w:r>
              <w:rPr>
                <w:rFonts w:ascii="Times New Roman" w:hAnsi="Times New Roman" w:eastAsia="Times New Roman"/>
                <w:b w:val="0"/>
                <w:i w:val="0"/>
                <w:sz w:val="16"/>
              </w:rPr>
              <w:t xml:space="preserve"> ≥ 0.05</w:t>
            </w:r>
          </w:p>
        </w:tc>
        <w:tc>
          <w:tcPr>
            <w:tcW w:type="dxa" w:w="1729"/>
          </w:tcPr>
          <w:p>
            <w:pPr>
              <w:spacing w:before="40" w:after="40" w:line="240" w:lineRule="auto"/>
            </w:pPr>
            <w:r>
              <w:rPr>
                <w:rFonts w:ascii="Times New Roman" w:hAnsi="Times New Roman" w:eastAsia="Times New Roman"/>
                <w:b w:val="0"/>
                <w:i w:val="0"/>
                <w:sz w:val="16"/>
              </w:rPr>
              <w:t xml:space="preserve">Clumped IVW significant but </w:t>
            </w:r>
            <w:r>
              <w:rPr>
                <w:rFonts w:ascii="Times New Roman" w:hAnsi="Times New Roman" w:eastAsia="Times New Roman"/>
                <w:b w:val="0"/>
                <w:i w:val="0"/>
                <w:sz w:val="16"/>
              </w:rPr>
              <w:t>≥ 1</w:t>
            </w:r>
            <w:r>
              <w:rPr>
                <w:rFonts w:ascii="Times New Roman" w:hAnsi="Times New Roman" w:eastAsia="Times New Roman"/>
                <w:b w:val="0"/>
                <w:i w:val="0"/>
                <w:sz w:val="16"/>
              </w:rPr>
              <w:t xml:space="preserve"> diagnostic fails</w:t>
            </w:r>
          </w:p>
        </w:tc>
        <w:tc>
          <w:tcPr>
            <w:tcW w:type="dxa" w:w="1786"/>
          </w:tcPr>
          <w:p>
            <w:pPr>
              <w:spacing w:before="40" w:after="40" w:line="240" w:lineRule="auto"/>
            </w:pPr>
            <w:r>
              <w:rPr>
                <w:rFonts w:ascii="Times New Roman" w:hAnsi="Times New Roman" w:eastAsia="Times New Roman"/>
                <w:b w:val="0"/>
                <w:i w:val="0"/>
                <w:sz w:val="16"/>
              </w:rPr>
              <w:t xml:space="preserve">Clumped IVW null or reversed; </w:t>
            </w:r>
            <w:r>
              <w:rPr>
                <w:rFonts w:ascii="Times New Roman" w:hAnsi="Times New Roman" w:eastAsia="Times New Roman"/>
                <w:b w:val="0"/>
                <w:i w:val="0"/>
                <w:sz w:val="16"/>
              </w:rPr>
              <w:t>&lt;3</w:t>
            </w:r>
            <w:r>
              <w:rPr>
                <w:rFonts w:ascii="Times New Roman" w:hAnsi="Times New Roman" w:eastAsia="Times New Roman"/>
                <w:b w:val="0"/>
                <w:i w:val="0"/>
                <w:sz w:val="16"/>
              </w:rPr>
              <w:t xml:space="preserve"> clumped instruments</w:t>
            </w:r>
          </w:p>
        </w:tc>
        <w:tc>
          <w:tcPr>
            <w:tcW w:type="dxa" w:w="1729"/>
          </w:tcPr>
          <w:p>
            <w:pPr>
              <w:spacing w:before="40" w:after="40" w:line="240" w:lineRule="auto"/>
            </w:pPr>
            <w:r>
              <w:rPr>
                <w:rFonts w:ascii="Times New Roman" w:hAnsi="Times New Roman" w:eastAsia="Times New Roman"/>
                <w:b w:val="0"/>
                <w:i w:val="0"/>
                <w:sz w:val="16"/>
              </w:rPr>
              <w:t xml:space="preserve">Clumped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and intercept </w:t>
            </w:r>
            <w:r>
              <w:rPr>
                <w:rFonts w:ascii="Times New Roman" w:hAnsi="Times New Roman" w:eastAsia="Times New Roman"/>
                <w:b w:val="0"/>
                <w:i/>
                <w:sz w:val="16"/>
              </w:rPr>
              <w:t>P</w:t>
            </w:r>
            <w:r>
              <w:rPr>
                <w:rFonts w:ascii="Times New Roman" w:hAnsi="Times New Roman" w:eastAsia="Times New Roman"/>
                <w:b w:val="0"/>
                <w:i w:val="0"/>
                <w:sz w:val="16"/>
              </w:rPr>
              <w:t xml:space="preserve"> &gt; 0.05</w:t>
            </w:r>
            <w:r>
              <w:rPr>
                <w:rFonts w:ascii="Times New Roman" w:hAnsi="Times New Roman" w:eastAsia="Times New Roman"/>
                <w:b w:val="0"/>
                <w:i w:val="0"/>
                <w:sz w:val="16"/>
              </w:rPr>
              <w:t xml:space="preserve"> (2); clumped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(1); otherwise 0</w:t>
            </w:r>
          </w:p>
        </w:tc>
      </w:tr>
      <w:tr>
        <w:trPr>
          <w:cantSplit w:val="true"/>
        </w:trPr>
        <w:tc>
          <w:tcPr>
            <w:tcW w:type="dxa" w:w="595"/>
          </w:tcPr>
          <w:p>
            <w:pPr>
              <w:spacing w:before="40" w:after="40" w:line="240" w:lineRule="auto"/>
            </w:pPr>
            <w:r>
              <w:rPr>
                <w:rFonts w:ascii="Times New Roman" w:hAnsi="Times New Roman" w:eastAsia="Times New Roman"/>
                <w:b w:val="0"/>
                <w:i w:val="0"/>
                <w:sz w:val="16"/>
              </w:rPr>
              <w:t>G3</w:t>
            </w:r>
          </w:p>
        </w:tc>
        <w:tc>
          <w:tcPr>
            <w:tcW w:type="dxa" w:w="1219"/>
          </w:tcPr>
          <w:p>
            <w:pPr>
              <w:spacing w:before="40" w:after="40" w:line="240" w:lineRule="auto"/>
            </w:pPr>
            <w:r>
              <w:rPr>
                <w:rFonts w:ascii="Times New Roman" w:hAnsi="Times New Roman" w:eastAsia="Times New Roman"/>
                <w:b w:val="0"/>
                <w:i w:val="0"/>
                <w:sz w:val="16"/>
              </w:rPr>
              <w:t>Genetic architecture</w:t>
            </w:r>
          </w:p>
        </w:tc>
        <w:tc>
          <w:tcPr>
            <w:tcW w:type="dxa" w:w="1956"/>
          </w:tcPr>
          <w:p>
            <w:pPr>
              <w:spacing w:before="40" w:after="40" w:line="240" w:lineRule="auto"/>
            </w:pPr>
            <w:r>
              <w:rPr>
                <w:rFonts w:ascii="Times New Roman" w:hAnsi="Times New Roman" w:eastAsia="Times New Roman"/>
                <w:b w:val="0"/>
                <w:i/>
                <w:sz w:val="16"/>
              </w:rPr>
              <w:t>r</w:t>
            </w:r>
            <w:r>
              <w:rPr>
                <w:rFonts w:ascii="Times New Roman" w:hAnsi="Times New Roman" w:eastAsia="Times New Roman"/>
                <w:b w:val="0"/>
                <w:i w:val="0"/>
                <w:sz w:val="16"/>
                <w:vertAlign w:val="subscript"/>
              </w:rPr>
              <w:t>g</w:t>
            </w:r>
            <w:r>
              <w:rPr>
                <w:rFonts w:ascii="Times New Roman" w:hAnsi="Times New Roman" w:eastAsia="Times New Roman"/>
                <w:b w:val="0"/>
                <w:i w:val="0"/>
                <w:sz w:val="16"/>
              </w:rPr>
              <w:t xml:space="preserve"> direction-consistent (or null) with coloc PP.H4 </w:t>
            </w:r>
            <w:r>
              <w:rPr>
                <w:rFonts w:ascii="Times New Roman" w:hAnsi="Times New Roman" w:eastAsia="Times New Roman"/>
                <w:b w:val="0"/>
                <w:i w:val="0"/>
                <w:sz w:val="16"/>
              </w:rPr>
              <w:t>≥ 0.80</w:t>
            </w:r>
            <w:r>
              <w:rPr>
                <w:rFonts w:ascii="Times New Roman" w:hAnsi="Times New Roman" w:eastAsia="Times New Roman"/>
                <w:b w:val="0"/>
                <w:i w:val="0"/>
                <w:sz w:val="16"/>
              </w:rPr>
              <w:t xml:space="preserve"> at the expected region</w:t>
            </w:r>
          </w:p>
        </w:tc>
        <w:tc>
          <w:tcPr>
            <w:tcW w:type="dxa" w:w="1729"/>
          </w:tcPr>
          <w:p>
            <w:pPr>
              <w:spacing w:before="40" w:after="40" w:line="240" w:lineRule="auto"/>
            </w:pPr>
            <w:r>
              <w:rPr>
                <w:rFonts w:ascii="Times New Roman" w:hAnsi="Times New Roman" w:eastAsia="Times New Roman"/>
                <w:b w:val="0"/>
                <w:i/>
                <w:sz w:val="16"/>
              </w:rPr>
              <w:t>r</w:t>
            </w:r>
            <w:r>
              <w:rPr>
                <w:rFonts w:ascii="Times New Roman" w:hAnsi="Times New Roman" w:eastAsia="Times New Roman"/>
                <w:b w:val="0"/>
                <w:i w:val="0"/>
                <w:sz w:val="16"/>
                <w:vertAlign w:val="subscript"/>
              </w:rPr>
              <w:t>g</w:t>
            </w:r>
            <w:r>
              <w:rPr>
                <w:rFonts w:ascii="Times New Roman" w:hAnsi="Times New Roman" w:eastAsia="Times New Roman"/>
                <w:b w:val="0"/>
                <w:i w:val="0"/>
                <w:sz w:val="16"/>
              </w:rPr>
              <w:t xml:space="preserve"> consistent but colocalization absent or PP.H4 </w:t>
            </w:r>
            <w:r>
              <w:rPr>
                <w:rFonts w:ascii="Times New Roman" w:hAnsi="Times New Roman" w:eastAsia="Times New Roman"/>
                <w:b w:val="0"/>
                <w:i w:val="0"/>
                <w:sz w:val="16"/>
              </w:rPr>
              <w:t>&lt; 0.80</w:t>
            </w:r>
          </w:p>
        </w:tc>
        <w:tc>
          <w:tcPr>
            <w:tcW w:type="dxa" w:w="1786"/>
          </w:tcPr>
          <w:p>
            <w:pPr>
              <w:spacing w:before="40" w:after="40" w:line="240" w:lineRule="auto"/>
            </w:pPr>
            <w:r>
              <w:rPr>
                <w:rFonts w:ascii="Times New Roman" w:hAnsi="Times New Roman" w:eastAsia="Times New Roman"/>
                <w:b w:val="0"/>
                <w:i w:val="0"/>
                <w:sz w:val="16"/>
              </w:rPr>
              <w:t>Architecture contradicts the claim; neither LDSC nor coloc runnable</w:t>
            </w:r>
          </w:p>
        </w:tc>
        <w:tc>
          <w:tcPr>
            <w:tcW w:type="dxa" w:w="1729"/>
          </w:tcPr>
          <w:p>
            <w:pPr>
              <w:spacing w:before="40" w:after="40" w:line="240" w:lineRule="auto"/>
            </w:pPr>
            <w:r>
              <w:rPr>
                <w:rFonts w:ascii="Times New Roman" w:hAnsi="Times New Roman" w:eastAsia="Times New Roman"/>
                <w:b w:val="0"/>
                <w:i w:val="0"/>
                <w:sz w:val="16"/>
              </w:rPr>
              <w:t>≥ 50%</w:t>
            </w:r>
            <w:r>
              <w:rPr>
                <w:rFonts w:ascii="Times New Roman" w:hAnsi="Times New Roman" w:eastAsia="Times New Roman"/>
                <w:b w:val="0"/>
                <w:i w:val="0"/>
                <w:sz w:val="16"/>
              </w:rPr>
              <w:t xml:space="preserve"> of blocks retained and </w:t>
            </w:r>
            <w:r>
              <w:rPr>
                <w:rFonts w:ascii="Times New Roman" w:hAnsi="Times New Roman" w:eastAsia="Times New Roman"/>
                <w:b w:val="0"/>
                <w:i w:val="0"/>
                <w:sz w:val="16"/>
              </w:rPr>
              <w:t>≥ 5</w:t>
            </w:r>
            <w:r>
              <w:rPr>
                <w:rFonts w:ascii="Times New Roman" w:hAnsi="Times New Roman" w:eastAsia="Times New Roman"/>
                <w:b w:val="0"/>
                <w:i w:val="0"/>
                <w:sz w:val="16"/>
              </w:rPr>
              <w:t xml:space="preserve"> instruments (2); </w:t>
            </w:r>
            <w:r>
              <w:rPr>
                <w:rFonts w:ascii="Times New Roman" w:hAnsi="Times New Roman" w:eastAsia="Times New Roman"/>
                <w:b w:val="0"/>
                <w:i w:val="0"/>
                <w:sz w:val="16"/>
              </w:rPr>
              <w:t>≥ 30%</w:t>
            </w:r>
            <w:r>
              <w:rPr>
                <w:rFonts w:ascii="Times New Roman" w:hAnsi="Times New Roman" w:eastAsia="Times New Roman"/>
                <w:b w:val="0"/>
                <w:i w:val="0"/>
                <w:sz w:val="16"/>
              </w:rPr>
              <w:t xml:space="preserve"> (1); otherwise 0</w:t>
            </w:r>
          </w:p>
        </w:tc>
      </w:tr>
      <w:tr>
        <w:trPr>
          <w:cantSplit w:val="true"/>
        </w:trPr>
        <w:tc>
          <w:tcPr>
            <w:tcW w:type="dxa" w:w="595"/>
          </w:tcPr>
          <w:p>
            <w:pPr>
              <w:spacing w:before="40" w:after="40" w:line="240" w:lineRule="auto"/>
            </w:pPr>
            <w:r>
              <w:rPr>
                <w:rFonts w:ascii="Times New Roman" w:hAnsi="Times New Roman" w:eastAsia="Times New Roman"/>
                <w:b w:val="0"/>
                <w:i w:val="0"/>
                <w:sz w:val="16"/>
              </w:rPr>
              <w:t>G4</w:t>
            </w:r>
          </w:p>
        </w:tc>
        <w:tc>
          <w:tcPr>
            <w:tcW w:type="dxa" w:w="1219"/>
          </w:tcPr>
          <w:p>
            <w:pPr>
              <w:spacing w:before="40" w:after="40" w:line="240" w:lineRule="auto"/>
            </w:pPr>
            <w:r>
              <w:rPr>
                <w:rFonts w:ascii="Times New Roman" w:hAnsi="Times New Roman" w:eastAsia="Times New Roman"/>
                <w:b w:val="0"/>
                <w:i w:val="0"/>
                <w:sz w:val="16"/>
              </w:rPr>
              <w:t>Direct effect</w:t>
            </w:r>
          </w:p>
        </w:tc>
        <w:tc>
          <w:tcPr>
            <w:tcW w:type="dxa" w:w="1956"/>
          </w:tcPr>
          <w:p>
            <w:pPr>
              <w:spacing w:before="40" w:after="40" w:line="240" w:lineRule="auto"/>
            </w:pPr>
            <w:r>
              <w:rPr>
                <w:rFonts w:ascii="Times New Roman" w:hAnsi="Times New Roman" w:eastAsia="Times New Roman"/>
                <w:b w:val="0"/>
                <w:i w:val="0"/>
                <w:sz w:val="16"/>
              </w:rPr>
              <w:t xml:space="preserve">MVMR direct effect significant in the claimed direction, conditional </w:t>
            </w:r>
            <w:r>
              <w:rPr>
                <w:rFonts w:ascii="Times New Roman" w:hAnsi="Times New Roman" w:eastAsia="Times New Roman"/>
                <w:b w:val="0"/>
                <w:i/>
                <w:sz w:val="16"/>
              </w:rPr>
              <w:t>F</w:t>
            </w:r>
            <w:r>
              <w:rPr>
                <w:rFonts w:ascii="Times New Roman" w:hAnsi="Times New Roman" w:eastAsia="Times New Roman"/>
                <w:b w:val="0"/>
                <w:i w:val="0"/>
                <w:sz w:val="16"/>
              </w:rPr>
              <w:t xml:space="preserve"> &gt; 10</w:t>
            </w:r>
          </w:p>
        </w:tc>
        <w:tc>
          <w:tcPr>
            <w:tcW w:type="dxa" w:w="1729"/>
          </w:tcPr>
          <w:p>
            <w:pPr>
              <w:spacing w:before="40" w:after="40" w:line="240" w:lineRule="auto"/>
            </w:pPr>
            <w:r>
              <w:rPr>
                <w:rFonts w:ascii="Times New Roman" w:hAnsi="Times New Roman" w:eastAsia="Times New Roman"/>
                <w:b w:val="0"/>
                <w:i w:val="0"/>
                <w:sz w:val="16"/>
              </w:rPr>
              <w:t>Model estimable (</w:t>
            </w:r>
            <w:r>
              <w:rPr>
                <w:rFonts w:ascii="Times New Roman" w:hAnsi="Times New Roman" w:eastAsia="Times New Roman"/>
                <w:b w:val="0"/>
                <w:i/>
                <w:sz w:val="16"/>
              </w:rPr>
              <w:t>F</w:t>
            </w:r>
            <w:r>
              <w:rPr>
                <w:rFonts w:ascii="Times New Roman" w:hAnsi="Times New Roman" w:eastAsia="Times New Roman"/>
                <w:b w:val="0"/>
                <w:i w:val="0"/>
                <w:sz w:val="16"/>
              </w:rPr>
              <w:t xml:space="preserve"> &gt; 10</w:t>
            </w:r>
            <w:r>
              <w:rPr>
                <w:rFonts w:ascii="Times New Roman" w:hAnsi="Times New Roman" w:eastAsia="Times New Roman"/>
                <w:b w:val="0"/>
                <w:i w:val="0"/>
                <w:sz w:val="16"/>
              </w:rPr>
              <w:t>) but direct effect non-significant or reversed</w:t>
            </w:r>
          </w:p>
        </w:tc>
        <w:tc>
          <w:tcPr>
            <w:tcW w:type="dxa" w:w="1786"/>
          </w:tcPr>
          <w:p>
            <w:pPr>
              <w:spacing w:before="40" w:after="40" w:line="240" w:lineRule="auto"/>
            </w:pPr>
            <w:r>
              <w:rPr>
                <w:rFonts w:ascii="Times New Roman" w:hAnsi="Times New Roman" w:eastAsia="Times New Roman"/>
                <w:b w:val="0"/>
                <w:i w:val="0"/>
                <w:sz w:val="16"/>
              </w:rPr>
              <w:t xml:space="preserve">Conditional </w:t>
            </w:r>
            <w:r>
              <w:rPr>
                <w:rFonts w:ascii="Times New Roman" w:hAnsi="Times New Roman" w:eastAsia="Times New Roman"/>
                <w:b w:val="0"/>
                <w:i/>
                <w:sz w:val="16"/>
              </w:rPr>
              <w:t>F</w:t>
            </w:r>
            <w:r>
              <w:rPr>
                <w:rFonts w:ascii="Times New Roman" w:hAnsi="Times New Roman" w:eastAsia="Times New Roman"/>
                <w:b w:val="0"/>
                <w:i w:val="0"/>
                <w:sz w:val="16"/>
              </w:rPr>
              <w:t xml:space="preserve"> ≤ 10</w:t>
            </w:r>
            <w:r>
              <w:rPr>
                <w:rFonts w:ascii="Times New Roman" w:hAnsi="Times New Roman" w:eastAsia="Times New Roman"/>
                <w:b w:val="0"/>
                <w:i w:val="0"/>
                <w:sz w:val="16"/>
              </w:rPr>
              <w:t>; no estimable direct effect</w:t>
            </w:r>
          </w:p>
        </w:tc>
        <w:tc>
          <w:tcPr>
            <w:tcW w:type="dxa" w:w="1729"/>
          </w:tcPr>
          <w:p>
            <w:pPr>
              <w:spacing w:before="40" w:after="40" w:line="240" w:lineRule="auto"/>
            </w:pPr>
            <w:r>
              <w:rPr>
                <w:rFonts w:ascii="Times New Roman" w:hAnsi="Times New Roman" w:eastAsia="Times New Roman"/>
                <w:b w:val="0"/>
                <w:i w:val="0"/>
                <w:sz w:val="16"/>
              </w:rPr>
              <w:t xml:space="preserve">Clumped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and leave-one-out spread </w:t>
            </w:r>
            <w:r>
              <w:rPr>
                <w:rFonts w:ascii="Times New Roman" w:hAnsi="Times New Roman" w:eastAsia="Times New Roman"/>
                <w:b w:val="0"/>
                <w:i w:val="0"/>
                <w:sz w:val="16"/>
              </w:rPr>
              <w:t>&lt; 0.50</w:t>
            </w:r>
            <w:r>
              <w:rPr>
                <w:rFonts w:ascii="Times New Roman" w:hAnsi="Times New Roman" w:eastAsia="Times New Roman"/>
                <w:b w:val="0"/>
                <w:i w:val="0"/>
                <w:sz w:val="16"/>
              </w:rPr>
              <w:t xml:space="preserve"> (2); clumped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(1); otherwise 0</w:t>
            </w:r>
          </w:p>
        </w:tc>
      </w:tr>
      <w:tr>
        <w:trPr>
          <w:cantSplit w:val="true"/>
        </w:trPr>
        <w:tc>
          <w:tcPr>
            <w:tcW w:type="dxa" w:w="595"/>
          </w:tcPr>
          <w:p>
            <w:pPr>
              <w:spacing w:before="40" w:after="40" w:line="240" w:lineRule="auto"/>
            </w:pPr>
            <w:r>
              <w:rPr>
                <w:rFonts w:ascii="Times New Roman" w:hAnsi="Times New Roman" w:eastAsia="Times New Roman"/>
                <w:b w:val="0"/>
                <w:i w:val="0"/>
                <w:sz w:val="16"/>
              </w:rPr>
              <w:t>G5</w:t>
            </w:r>
          </w:p>
        </w:tc>
        <w:tc>
          <w:tcPr>
            <w:tcW w:type="dxa" w:w="1219"/>
          </w:tcPr>
          <w:p>
            <w:pPr>
              <w:spacing w:before="40" w:after="40" w:line="240" w:lineRule="auto"/>
            </w:pPr>
            <w:r>
              <w:rPr>
                <w:rFonts w:ascii="Times New Roman" w:hAnsi="Times New Roman" w:eastAsia="Times New Roman"/>
                <w:b w:val="0"/>
                <w:i w:val="0"/>
                <w:sz w:val="16"/>
              </w:rPr>
              <w:t>Biological mediation</w:t>
            </w:r>
          </w:p>
        </w:tc>
        <w:tc>
          <w:tcPr>
            <w:tcW w:type="dxa" w:w="1956"/>
          </w:tcPr>
          <w:p>
            <w:pPr>
              <w:spacing w:before="40" w:after="40" w:line="240" w:lineRule="auto"/>
            </w:pPr>
            <w:r>
              <w:rPr>
                <w:rFonts w:ascii="Times New Roman" w:hAnsi="Times New Roman" w:eastAsia="Times New Roman"/>
                <w:b w:val="0"/>
                <w:i w:val="0"/>
                <w:sz w:val="16"/>
              </w:rPr>
              <w:t>FDR-corrected indirect effect consistent with the claim</w:t>
            </w:r>
          </w:p>
        </w:tc>
        <w:tc>
          <w:tcPr>
            <w:tcW w:type="dxa" w:w="1729"/>
          </w:tcPr>
          <w:p>
            <w:pPr>
              <w:spacing w:before="40" w:after="40" w:line="240" w:lineRule="auto"/>
            </w:pPr>
            <w:r>
              <w:rPr>
                <w:rFonts w:ascii="Times New Roman" w:hAnsi="Times New Roman" w:eastAsia="Times New Roman"/>
                <w:b w:val="0"/>
                <w:i w:val="0"/>
                <w:sz w:val="16"/>
              </w:rPr>
              <w:t>Only one of the two mediation steps significant</w:t>
            </w:r>
          </w:p>
        </w:tc>
        <w:tc>
          <w:tcPr>
            <w:tcW w:type="dxa" w:w="1786"/>
          </w:tcPr>
          <w:p>
            <w:pPr>
              <w:spacing w:before="40" w:after="40" w:line="240" w:lineRule="auto"/>
            </w:pPr>
            <w:r>
              <w:rPr>
                <w:rFonts w:ascii="Times New Roman" w:hAnsi="Times New Roman" w:eastAsia="Times New Roman"/>
                <w:b w:val="0"/>
                <w:i w:val="0"/>
                <w:sz w:val="16"/>
              </w:rPr>
              <w:t>Neither step significant; indirect effect reversed; no evaluable mediator</w:t>
            </w:r>
          </w:p>
        </w:tc>
        <w:tc>
          <w:tcPr>
            <w:tcW w:type="dxa" w:w="1729"/>
          </w:tcPr>
          <w:p>
            <w:pPr>
              <w:spacing w:before="40" w:after="40" w:line="240" w:lineRule="auto"/>
            </w:pPr>
            <w:r>
              <w:rPr>
                <w:rFonts w:ascii="Times New Roman" w:hAnsi="Times New Roman" w:eastAsia="Times New Roman"/>
                <w:b w:val="0"/>
                <w:i w:val="0"/>
                <w:sz w:val="16"/>
              </w:rPr>
              <w:t xml:space="preserve">Both steps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(2); one step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(1); neither (0)</w:t>
            </w:r>
          </w:p>
        </w:tc>
      </w:tr>
      <w:tr>
        <w:trPr>
          <w:cantSplit w:val="true"/>
        </w:trPr>
        <w:tc>
          <w:tcPr>
            <w:tcW w:type="dxa" w:w="595"/>
            <w:tcBorders>
              <w:bottom w:val="single" w:sz="12" w:space="0" w:color="000000"/>
            </w:tcBorders>
          </w:tcPr>
          <w:p>
            <w:pPr>
              <w:spacing w:before="40" w:after="40" w:line="240" w:lineRule="auto"/>
            </w:pPr>
            <w:r>
              <w:rPr>
                <w:rFonts w:ascii="Times New Roman" w:hAnsi="Times New Roman" w:eastAsia="Times New Roman"/>
                <w:b w:val="0"/>
                <w:i w:val="0"/>
                <w:sz w:val="16"/>
              </w:rPr>
              <w:t>G6</w:t>
            </w:r>
          </w:p>
        </w:tc>
        <w:tc>
          <w:tcPr>
            <w:tcW w:type="dxa" w:w="1219"/>
            <w:tcBorders>
              <w:bottom w:val="single" w:sz="12" w:space="0" w:color="000000"/>
            </w:tcBorders>
          </w:tcPr>
          <w:p>
            <w:pPr>
              <w:spacing w:before="40" w:after="40" w:line="240" w:lineRule="auto"/>
            </w:pPr>
            <w:r>
              <w:rPr>
                <w:rFonts w:ascii="Times New Roman" w:hAnsi="Times New Roman" w:eastAsia="Times New Roman"/>
                <w:b w:val="0"/>
                <w:i w:val="0"/>
                <w:sz w:val="16"/>
              </w:rPr>
              <w:t>External validation</w:t>
            </w:r>
          </w:p>
        </w:tc>
        <w:tc>
          <w:tcPr>
            <w:tcW w:type="dxa" w:w="1956"/>
            <w:tcBorders>
              <w:bottom w:val="single" w:sz="12" w:space="0" w:color="000000"/>
            </w:tcBorders>
          </w:tcPr>
          <w:p>
            <w:pPr>
              <w:spacing w:before="40" w:after="40" w:line="240" w:lineRule="auto"/>
            </w:pPr>
            <w:r>
              <w:rPr>
                <w:rFonts w:ascii="Times New Roman" w:hAnsi="Times New Roman" w:eastAsia="Times New Roman"/>
                <w:b w:val="0"/>
                <w:i w:val="0"/>
                <w:sz w:val="16"/>
              </w:rPr>
              <w:t xml:space="preserve">Cross-ancestry replication, direction-consistent </w:t>
            </w:r>
            <w:r>
              <w:rPr>
                <w:rFonts w:ascii="Times New Roman" w:hAnsi="Times New Roman" w:eastAsia="Times New Roman"/>
                <w:b/>
                <w:i w:val="0"/>
                <w:sz w:val="16"/>
              </w:rPr>
              <w:t>and</w:t>
            </w:r>
            <w:r>
              <w:rPr>
                <w:rFonts w:ascii="Times New Roman" w:hAnsi="Times New Roman" w:eastAsia="Times New Roman"/>
                <w:b w:val="0"/>
                <w:i w:val="0"/>
                <w:sz w:val="16"/>
              </w:rPr>
              <w:t xml:space="preserve"> nominally significant, at achieved power </w:t>
            </w:r>
            <w:r>
              <w:rPr>
                <w:rFonts w:ascii="Times New Roman" w:hAnsi="Times New Roman" w:eastAsia="Times New Roman"/>
                <w:b w:val="0"/>
                <w:i w:val="0"/>
                <w:sz w:val="16"/>
              </w:rPr>
              <w:t>≥ 80%</w:t>
            </w:r>
          </w:p>
        </w:tc>
        <w:tc>
          <w:tcPr>
            <w:tcW w:type="dxa" w:w="1729"/>
            <w:tcBorders>
              <w:bottom w:val="single" w:sz="12" w:space="0" w:color="000000"/>
            </w:tcBorders>
          </w:tcPr>
          <w:p>
            <w:pPr>
              <w:spacing w:before="40" w:after="40" w:line="240" w:lineRule="auto"/>
            </w:pPr>
            <w:r>
              <w:rPr>
                <w:rFonts w:ascii="Times New Roman" w:hAnsi="Times New Roman" w:eastAsia="Times New Roman"/>
                <w:b w:val="0"/>
                <w:i w:val="0"/>
                <w:sz w:val="16"/>
              </w:rPr>
              <w:t>— (binary gate)</w:t>
            </w:r>
          </w:p>
        </w:tc>
        <w:tc>
          <w:tcPr>
            <w:tcW w:type="dxa" w:w="1786"/>
            <w:tcBorders>
              <w:bottom w:val="single" w:sz="12" w:space="0" w:color="000000"/>
            </w:tcBorders>
          </w:tcPr>
          <w:p>
            <w:pPr>
              <w:spacing w:before="40" w:after="40" w:line="240" w:lineRule="auto"/>
            </w:pPr>
            <w:r>
              <w:rPr>
                <w:rFonts w:ascii="Times New Roman" w:hAnsi="Times New Roman" w:eastAsia="Times New Roman"/>
                <w:b w:val="0"/>
                <w:i w:val="0"/>
                <w:sz w:val="16"/>
              </w:rPr>
              <w:t xml:space="preserve">No independent-ancestry replication, direction inconsistent, null replication at adequate power, or power </w:t>
            </w:r>
            <w:r>
              <w:rPr>
                <w:rFonts w:ascii="Times New Roman" w:hAnsi="Times New Roman" w:eastAsia="Times New Roman"/>
                <w:b w:val="0"/>
                <w:i w:val="0"/>
                <w:sz w:val="16"/>
              </w:rPr>
              <w:t>&lt; 80%</w:t>
            </w:r>
          </w:p>
        </w:tc>
        <w:tc>
          <w:tcPr>
            <w:tcW w:type="dxa" w:w="1729"/>
            <w:tcBorders>
              <w:bottom w:val="single" w:sz="12" w:space="0" w:color="000000"/>
            </w:tcBorders>
          </w:tcPr>
          <w:p>
            <w:pPr>
              <w:spacing w:before="40" w:after="40" w:line="240" w:lineRule="auto"/>
            </w:pPr>
            <w:r>
              <w:rPr>
                <w:rFonts w:ascii="Times New Roman" w:hAnsi="Times New Roman" w:eastAsia="Times New Roman"/>
                <w:b w:val="0"/>
                <w:i w:val="0"/>
                <w:sz w:val="16"/>
              </w:rPr>
              <w:t xml:space="preserve">Independent-sample </w:t>
            </w:r>
            <w:r>
              <w:rPr>
                <w:rFonts w:ascii="Times New Roman" w:hAnsi="Times New Roman" w:eastAsia="Times New Roman"/>
                <w:b w:val="0"/>
                <w:i/>
                <w:sz w:val="16"/>
              </w:rPr>
              <w:t>P</w:t>
            </w:r>
            <w:r>
              <w:rPr>
                <w:rFonts w:ascii="Times New Roman" w:hAnsi="Times New Roman" w:eastAsia="Times New Roman"/>
                <w:b w:val="0"/>
                <w:i w:val="0"/>
                <w:sz w:val="16"/>
              </w:rPr>
              <w:t xml:space="preserve"> &lt; 0.05</w:t>
            </w:r>
            <w:r>
              <w:rPr>
                <w:rFonts w:ascii="Times New Roman" w:hAnsi="Times New Roman" w:eastAsia="Times New Roman"/>
                <w:b w:val="0"/>
                <w:i w:val="0"/>
                <w:sz w:val="16"/>
              </w:rPr>
              <w:t xml:space="preserve"> with concordant direction (2); otherwise 0</w:t>
            </w:r>
          </w:p>
        </w:tc>
      </w:tr>
    </w:tbl>
    <w:p>
      <w:pPr>
        <w:spacing w:before="0" w:after="0" w:line="160" w:lineRule="exact"/>
      </w:pPr>
    </w:p>
    <w:p>
      <w:pPr>
        <w:spacing w:before="0" w:after="280" w:line="240" w:lineRule="auto"/>
      </w:pPr>
      <w:r>
        <w:rPr>
          <w:rFonts w:ascii="Times New Roman" w:hAnsi="Times New Roman" w:eastAsia="Times New Roman"/>
          <w:b w:val="0"/>
          <w:i/>
          <w:sz w:val="18"/>
        </w:rPr>
        <w:t>All gates apply fixed a priori thresholds and contribute 0, 1 or 2 points (maximum 12). G1 and G6 are binary, because a screening test and a directional external screen cannot support partial credit. Where G1 = 0, gates G2–G6 are uninformative and the case scores 0 (Grade D). A failed G2 is treated as decisive: the total is capped at 6 (upper bound of Grade C), so a claim that does not survive clumping, overlap correction and pleiotropy diagnostics cannot reach Grade A through the additive total. The right-hand column is a proxy implementation, not the gate itself: the benchmark evaluates the score-to-grade mapping and not the operating characteristics of the genomic estimators, and within that design G3 is fully determined by G1 and G4 is near-collinear with G2 (Methods). IVW, inverse-variance weighted; LD, linkage disequilibrium; MRlap, sample-overlap-corrected MR; CAUSE, correlated-pleiotropy MR; LDSC, linkage-disequilibrium score regression; MVMR, multivariable MR; FDR, false discovery rate. Underpowered validations (achieved power &lt; 80%) inform direction only and assign no points. CAUSE and MRlap are reported as diagnostics and do not contribute points independently: where a CAUSE classification conflicts with the clumped IVW, the conflict is recorded in the case report and does not alter the G2 score.</w:t>
      </w:r>
    </w:p>
    <w:p>
      <w:pPr>
        <w:keepNext/>
        <w:spacing w:before="280" w:after="120" w:line="240" w:lineRule="auto"/>
      </w:pPr>
      <w:r>
        <w:rPr>
          <w:rFonts w:ascii="Times New Roman" w:hAnsi="Times New Roman" w:eastAsia="Times New Roman"/>
          <w:b/>
          <w:i w:val="0"/>
        </w:rPr>
        <w:t>Table 2.</w:t>
      </w:r>
      <w:r>
        <w:rPr>
          <w:rFonts w:ascii="Times New Roman" w:hAnsi="Times New Roman" w:eastAsia="Times New Roman"/>
          <w:b w:val="0"/>
          <w:i w:val="0"/>
        </w:rPr>
        <w:t xml:space="preserve"> Simulation operating characteristics of the six-gate scoring rule under proxy gate implementations (43,200 replicates; seed 20260804).</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289"/>
        <w:gridCol w:w="1289"/>
        <w:gridCol w:w="1289"/>
        <w:gridCol w:w="1289"/>
        <w:gridCol w:w="1289"/>
        <w:gridCol w:w="1289"/>
        <w:gridCol w:w="1289"/>
      </w:tblGrid>
      <w:tr>
        <w:trPr>
          <w:cantSplit w:val="true"/>
          <w:tblHeader w:val="true"/>
        </w:trPr>
        <w:tc>
          <w:tcPr>
            <w:tcW w:type="dxa" w:w="128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Pleiotropy regime</w:t>
            </w:r>
          </w:p>
        </w:tc>
        <w:tc>
          <w:tcPr>
            <w:tcW w:type="dxa" w:w="95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Effect size (β per SD)</w:t>
            </w:r>
          </w:p>
        </w:tc>
        <w:tc>
          <w:tcPr>
            <w:tcW w:type="dxa" w:w="185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Sensitivity (Grade A/B)</w:t>
            </w:r>
          </w:p>
        </w:tc>
        <w:tc>
          <w:tcPr>
            <w:tcW w:type="dxa" w:w="1322"/>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Specificity (Grade D only)</w:t>
            </w:r>
          </w:p>
        </w:tc>
        <w:tc>
          <w:tcPr>
            <w:tcW w:type="dxa" w:w="128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Specificity (Grade C/D)</w:t>
            </w:r>
          </w:p>
        </w:tc>
        <w:tc>
          <w:tcPr>
            <w:tcW w:type="dxa" w:w="922"/>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P(Grade A)</w:t>
            </w:r>
          </w:p>
        </w:tc>
        <w:tc>
          <w:tcPr>
            <w:tcW w:type="dxa" w:w="137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Empirical FDR</w:t>
            </w:r>
          </w:p>
        </w:tc>
      </w:tr>
      <w:tr>
        <w:trPr>
          <w:cantSplit w:val="true"/>
        </w:trPr>
        <w:tc>
          <w:tcPr>
            <w:tcW w:type="dxa" w:w="1289"/>
          </w:tcPr>
          <w:p>
            <w:pPr>
              <w:spacing w:before="40" w:after="40" w:line="240" w:lineRule="auto"/>
            </w:pPr>
            <w:r>
              <w:rPr>
                <w:rFonts w:ascii="Times New Roman" w:hAnsi="Times New Roman" w:eastAsia="Times New Roman"/>
                <w:b w:val="0"/>
                <w:i w:val="0"/>
                <w:sz w:val="16"/>
              </w:rPr>
              <w:t>None</w:t>
            </w:r>
          </w:p>
        </w:tc>
        <w:tc>
          <w:tcPr>
            <w:tcW w:type="dxa" w:w="959"/>
          </w:tcPr>
          <w:p>
            <w:pPr>
              <w:spacing w:before="40" w:after="40" w:line="240" w:lineRule="auto"/>
            </w:pPr>
            <w:r>
              <w:rPr>
                <w:rFonts w:ascii="Times New Roman" w:hAnsi="Times New Roman" w:eastAsia="Times New Roman"/>
                <w:b w:val="0"/>
                <w:i w:val="0"/>
                <w:sz w:val="16"/>
              </w:rPr>
              <w:t>0.00</w:t>
            </w:r>
          </w:p>
        </w:tc>
        <w:tc>
          <w:tcPr>
            <w:tcW w:type="dxa" w:w="1857"/>
          </w:tcPr>
          <w:p>
            <w:pPr>
              <w:spacing w:before="40" w:after="40" w:line="240" w:lineRule="auto"/>
            </w:pPr>
            <w:r>
              <w:rPr>
                <w:rFonts w:ascii="Times New Roman" w:hAnsi="Times New Roman" w:eastAsia="Times New Roman"/>
                <w:b w:val="0"/>
                <w:i w:val="0"/>
                <w:sz w:val="16"/>
              </w:rPr>
              <w:t>—</w:t>
            </w:r>
          </w:p>
        </w:tc>
        <w:tc>
          <w:tcPr>
            <w:tcW w:type="dxa" w:w="1322"/>
          </w:tcPr>
          <w:p>
            <w:pPr>
              <w:spacing w:before="40" w:after="40" w:line="240" w:lineRule="auto"/>
            </w:pPr>
            <w:r>
              <w:rPr>
                <w:rFonts w:ascii="Times New Roman" w:hAnsi="Times New Roman" w:eastAsia="Times New Roman"/>
                <w:b w:val="0"/>
                <w:i w:val="0"/>
                <w:sz w:val="16"/>
              </w:rPr>
              <w:t>1.000 (0.999–1.000)</w:t>
            </w:r>
          </w:p>
        </w:tc>
        <w:tc>
          <w:tcPr>
            <w:tcW w:type="dxa" w:w="1289"/>
          </w:tcPr>
          <w:p>
            <w:pPr>
              <w:spacing w:before="40" w:after="40" w:line="240" w:lineRule="auto"/>
            </w:pPr>
            <w:r>
              <w:rPr>
                <w:rFonts w:ascii="Times New Roman" w:hAnsi="Times New Roman" w:eastAsia="Times New Roman"/>
                <w:b w:val="0"/>
                <w:i w:val="0"/>
                <w:sz w:val="16"/>
              </w:rPr>
              <w:t>1.000 (0.999–1.000)</w:t>
            </w:r>
          </w:p>
        </w:tc>
        <w:tc>
          <w:tcPr>
            <w:tcW w:type="dxa" w:w="922"/>
          </w:tcPr>
          <w:p>
            <w:pPr>
              <w:spacing w:before="40" w:after="40" w:line="240" w:lineRule="auto"/>
            </w:pPr>
            <w:r>
              <w:rPr>
                <w:rFonts w:ascii="Times New Roman" w:hAnsi="Times New Roman" w:eastAsia="Times New Roman"/>
                <w:b w:val="0"/>
                <w:i w:val="0"/>
                <w:sz w:val="16"/>
              </w:rPr>
              <w:t>0.000</w:t>
            </w:r>
          </w:p>
        </w:tc>
        <w:tc>
          <w:tcPr>
            <w:tcW w:type="dxa" w:w="1377"/>
          </w:tcPr>
          <w:p>
            <w:pPr>
              <w:spacing w:before="40" w:after="40" w:line="240" w:lineRule="auto"/>
            </w:pPr>
            <w:r>
              <w:rPr>
                <w:rFonts w:ascii="Times New Roman" w:hAnsi="Times New Roman" w:eastAsia="Times New Roman"/>
                <w:b w:val="0"/>
                <w:i w:val="0"/>
                <w:sz w:val="16"/>
              </w:rPr>
              <w:t>0.000</w:t>
            </w:r>
          </w:p>
        </w:tc>
      </w:tr>
      <w:tr>
        <w:trPr>
          <w:cantSplit w:val="true"/>
        </w:trPr>
        <w:tc>
          <w:tcPr>
            <w:tcW w:type="dxa" w:w="1289"/>
          </w:tcPr>
          <w:p>
            <w:pPr>
              <w:spacing w:before="40" w:after="40" w:line="240" w:lineRule="auto"/>
            </w:pPr>
            <w:r>
              <w:rPr>
                <w:rFonts w:ascii="Times New Roman" w:hAnsi="Times New Roman" w:eastAsia="Times New Roman"/>
                <w:b w:val="0"/>
                <w:i w:val="0"/>
                <w:sz w:val="16"/>
              </w:rPr>
              <w:t>None</w:t>
            </w:r>
          </w:p>
        </w:tc>
        <w:tc>
          <w:tcPr>
            <w:tcW w:type="dxa" w:w="959"/>
          </w:tcPr>
          <w:p>
            <w:pPr>
              <w:spacing w:before="40" w:after="40" w:line="240" w:lineRule="auto"/>
            </w:pPr>
            <w:r>
              <w:rPr>
                <w:rFonts w:ascii="Times New Roman" w:hAnsi="Times New Roman" w:eastAsia="Times New Roman"/>
                <w:b w:val="0"/>
                <w:i w:val="0"/>
                <w:sz w:val="16"/>
              </w:rPr>
              <w:t>0.08</w:t>
            </w:r>
          </w:p>
        </w:tc>
        <w:tc>
          <w:tcPr>
            <w:tcW w:type="dxa" w:w="1857"/>
          </w:tcPr>
          <w:p>
            <w:pPr>
              <w:spacing w:before="40" w:after="40" w:line="240" w:lineRule="auto"/>
            </w:pPr>
            <w:r>
              <w:rPr>
                <w:rFonts w:ascii="Times New Roman" w:hAnsi="Times New Roman" w:eastAsia="Times New Roman"/>
                <w:b w:val="0"/>
                <w:i w:val="0"/>
                <w:sz w:val="16"/>
              </w:rPr>
              <w:t>0.216 (0.204–0.228)</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rPr>
              <w:t>—</w:t>
            </w:r>
          </w:p>
        </w:tc>
        <w:tc>
          <w:tcPr>
            <w:tcW w:type="dxa" w:w="922"/>
          </w:tcPr>
          <w:p>
            <w:pPr>
              <w:spacing w:before="40" w:after="40" w:line="240" w:lineRule="auto"/>
            </w:pPr>
            <w:r>
              <w:rPr>
                <w:rFonts w:ascii="Times New Roman" w:hAnsi="Times New Roman" w:eastAsia="Times New Roman"/>
                <w:b w:val="0"/>
                <w:i w:val="0"/>
                <w:sz w:val="16"/>
              </w:rPr>
              <w:t>0.213</w:t>
            </w:r>
          </w:p>
        </w:tc>
        <w:tc>
          <w:tcPr>
            <w:tcW w:type="dxa" w:w="1377"/>
          </w:tcPr>
          <w:p>
            <w:pPr>
              <w:spacing w:before="40" w:after="40" w:line="240" w:lineRule="auto"/>
            </w:pPr>
            <w:r>
              <w:rPr>
                <w:rFonts w:ascii="Times New Roman" w:hAnsi="Times New Roman" w:eastAsia="Times New Roman"/>
                <w:b w:val="0"/>
                <w:i w:val="0"/>
                <w:sz w:val="16"/>
              </w:rPr>
              <w:t>0.000</w:t>
            </w:r>
          </w:p>
        </w:tc>
      </w:tr>
      <w:tr>
        <w:trPr>
          <w:cantSplit w:val="true"/>
        </w:trPr>
        <w:tc>
          <w:tcPr>
            <w:tcW w:type="dxa" w:w="1289"/>
          </w:tcPr>
          <w:p>
            <w:pPr>
              <w:spacing w:before="40" w:after="40" w:line="240" w:lineRule="auto"/>
            </w:pPr>
            <w:r>
              <w:rPr>
                <w:rFonts w:ascii="Times New Roman" w:hAnsi="Times New Roman" w:eastAsia="Times New Roman"/>
                <w:b w:val="0"/>
                <w:i w:val="0"/>
                <w:sz w:val="16"/>
              </w:rPr>
              <w:t>None</w:t>
            </w:r>
          </w:p>
        </w:tc>
        <w:tc>
          <w:tcPr>
            <w:tcW w:type="dxa" w:w="959"/>
          </w:tcPr>
          <w:p>
            <w:pPr>
              <w:spacing w:before="40" w:after="40" w:line="240" w:lineRule="auto"/>
            </w:pPr>
            <w:r>
              <w:rPr>
                <w:rFonts w:ascii="Times New Roman" w:hAnsi="Times New Roman" w:eastAsia="Times New Roman"/>
                <w:b w:val="0"/>
                <w:i w:val="0"/>
                <w:sz w:val="16"/>
              </w:rPr>
              <w:t>0.15</w:t>
            </w:r>
          </w:p>
        </w:tc>
        <w:tc>
          <w:tcPr>
            <w:tcW w:type="dxa" w:w="1857"/>
          </w:tcPr>
          <w:p>
            <w:pPr>
              <w:spacing w:before="40" w:after="40" w:line="240" w:lineRule="auto"/>
            </w:pPr>
            <w:r>
              <w:rPr>
                <w:rFonts w:ascii="Times New Roman" w:hAnsi="Times New Roman" w:eastAsia="Times New Roman"/>
                <w:b w:val="0"/>
                <w:i w:val="0"/>
                <w:sz w:val="16"/>
              </w:rPr>
              <w:t>0.878 (0.869–0.887)</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rPr>
              <w:t>—</w:t>
            </w:r>
          </w:p>
        </w:tc>
        <w:tc>
          <w:tcPr>
            <w:tcW w:type="dxa" w:w="922"/>
          </w:tcPr>
          <w:p>
            <w:pPr>
              <w:spacing w:before="40" w:after="40" w:line="240" w:lineRule="auto"/>
            </w:pPr>
            <w:r>
              <w:rPr>
                <w:rFonts w:ascii="Times New Roman" w:hAnsi="Times New Roman" w:eastAsia="Times New Roman"/>
                <w:b w:val="0"/>
                <w:i w:val="0"/>
                <w:sz w:val="16"/>
              </w:rPr>
              <w:t>0.875</w:t>
            </w:r>
          </w:p>
        </w:tc>
        <w:tc>
          <w:tcPr>
            <w:tcW w:type="dxa" w:w="1377"/>
          </w:tcPr>
          <w:p>
            <w:pPr>
              <w:spacing w:before="40" w:after="40" w:line="240" w:lineRule="auto"/>
            </w:pPr>
            <w:r>
              <w:rPr>
                <w:rFonts w:ascii="Times New Roman" w:hAnsi="Times New Roman" w:eastAsia="Times New Roman"/>
                <w:b w:val="0"/>
                <w:i w:val="0"/>
                <w:sz w:val="16"/>
              </w:rPr>
              <w:t>0.000</w:t>
            </w:r>
          </w:p>
        </w:tc>
      </w:tr>
      <w:tr>
        <w:trPr>
          <w:cantSplit w:val="true"/>
        </w:trPr>
        <w:tc>
          <w:tcPr>
            <w:tcW w:type="dxa" w:w="1289"/>
          </w:tcPr>
          <w:p>
            <w:pPr>
              <w:spacing w:before="40" w:after="40" w:line="240" w:lineRule="auto"/>
            </w:pPr>
            <w:r>
              <w:rPr>
                <w:rFonts w:ascii="Times New Roman" w:hAnsi="Times New Roman" w:eastAsia="Times New Roman"/>
                <w:b w:val="0"/>
                <w:i w:val="0"/>
                <w:sz w:val="16"/>
              </w:rPr>
              <w:t>Balanced</w:t>
            </w:r>
          </w:p>
        </w:tc>
        <w:tc>
          <w:tcPr>
            <w:tcW w:type="dxa" w:w="959"/>
          </w:tcPr>
          <w:p>
            <w:pPr>
              <w:spacing w:before="40" w:after="40" w:line="240" w:lineRule="auto"/>
            </w:pPr>
            <w:r>
              <w:rPr>
                <w:rFonts w:ascii="Times New Roman" w:hAnsi="Times New Roman" w:eastAsia="Times New Roman"/>
                <w:b w:val="0"/>
                <w:i w:val="0"/>
                <w:sz w:val="16"/>
              </w:rPr>
              <w:t>0.00</w:t>
            </w:r>
          </w:p>
        </w:tc>
        <w:tc>
          <w:tcPr>
            <w:tcW w:type="dxa" w:w="1857"/>
          </w:tcPr>
          <w:p>
            <w:pPr>
              <w:spacing w:before="40" w:after="40" w:line="240" w:lineRule="auto"/>
            </w:pPr>
            <w:r>
              <w:rPr>
                <w:rFonts w:ascii="Times New Roman" w:hAnsi="Times New Roman" w:eastAsia="Times New Roman"/>
                <w:b w:val="0"/>
                <w:i w:val="0"/>
                <w:sz w:val="16"/>
              </w:rPr>
              <w:t>—</w:t>
            </w:r>
          </w:p>
        </w:tc>
        <w:tc>
          <w:tcPr>
            <w:tcW w:type="dxa" w:w="1322"/>
          </w:tcPr>
          <w:p>
            <w:pPr>
              <w:spacing w:before="40" w:after="40" w:line="240" w:lineRule="auto"/>
            </w:pPr>
            <w:r>
              <w:rPr>
                <w:rFonts w:ascii="Times New Roman" w:hAnsi="Times New Roman" w:eastAsia="Times New Roman"/>
                <w:b w:val="0"/>
                <w:i w:val="0"/>
                <w:sz w:val="16"/>
              </w:rPr>
              <w:t>0.796 (0.785–0.807)</w:t>
            </w:r>
          </w:p>
        </w:tc>
        <w:tc>
          <w:tcPr>
            <w:tcW w:type="dxa" w:w="1289"/>
          </w:tcPr>
          <w:p>
            <w:pPr>
              <w:spacing w:before="40" w:after="40" w:line="240" w:lineRule="auto"/>
            </w:pPr>
            <w:r>
              <w:rPr>
                <w:rFonts w:ascii="Times New Roman" w:hAnsi="Times New Roman" w:eastAsia="Times New Roman"/>
                <w:b w:val="0"/>
                <w:i w:val="0"/>
                <w:sz w:val="16"/>
              </w:rPr>
              <w:t>0.882 (0.873–0.891)</w:t>
            </w:r>
          </w:p>
        </w:tc>
        <w:tc>
          <w:tcPr>
            <w:tcW w:type="dxa" w:w="922"/>
          </w:tcPr>
          <w:p>
            <w:pPr>
              <w:spacing w:before="40" w:after="40" w:line="240" w:lineRule="auto"/>
            </w:pPr>
            <w:r>
              <w:rPr>
                <w:rFonts w:ascii="Times New Roman" w:hAnsi="Times New Roman" w:eastAsia="Times New Roman"/>
                <w:b w:val="0"/>
                <w:i w:val="0"/>
                <w:sz w:val="16"/>
              </w:rPr>
              <w:t>0.061</w:t>
            </w:r>
          </w:p>
        </w:tc>
        <w:tc>
          <w:tcPr>
            <w:tcW w:type="dxa" w:w="1377"/>
          </w:tcPr>
          <w:p>
            <w:pPr>
              <w:spacing w:before="40" w:after="40" w:line="240" w:lineRule="auto"/>
            </w:pPr>
            <w:r>
              <w:rPr>
                <w:rFonts w:ascii="Times New Roman" w:hAnsi="Times New Roman" w:eastAsia="Times New Roman"/>
                <w:b w:val="0"/>
                <w:i w:val="0"/>
                <w:sz w:val="16"/>
              </w:rPr>
              <w:t>0.060–0.145</w:t>
            </w:r>
          </w:p>
        </w:tc>
      </w:tr>
      <w:tr>
        <w:trPr>
          <w:cantSplit w:val="true"/>
        </w:trPr>
        <w:tc>
          <w:tcPr>
            <w:tcW w:type="dxa" w:w="1289"/>
          </w:tcPr>
          <w:p>
            <w:pPr>
              <w:spacing w:before="40" w:after="40" w:line="240" w:lineRule="auto"/>
            </w:pPr>
            <w:r>
              <w:rPr>
                <w:rFonts w:ascii="Times New Roman" w:hAnsi="Times New Roman" w:eastAsia="Times New Roman"/>
                <w:b w:val="0"/>
                <w:i w:val="0"/>
                <w:sz w:val="16"/>
              </w:rPr>
              <w:t>Balanced</w:t>
            </w:r>
          </w:p>
        </w:tc>
        <w:tc>
          <w:tcPr>
            <w:tcW w:type="dxa" w:w="959"/>
          </w:tcPr>
          <w:p>
            <w:pPr>
              <w:spacing w:before="40" w:after="40" w:line="240" w:lineRule="auto"/>
            </w:pPr>
            <w:r>
              <w:rPr>
                <w:rFonts w:ascii="Times New Roman" w:hAnsi="Times New Roman" w:eastAsia="Times New Roman"/>
                <w:b w:val="0"/>
                <w:i w:val="0"/>
                <w:sz w:val="16"/>
              </w:rPr>
              <w:t>0.08</w:t>
            </w:r>
          </w:p>
        </w:tc>
        <w:tc>
          <w:tcPr>
            <w:tcW w:type="dxa" w:w="1857"/>
          </w:tcPr>
          <w:p>
            <w:pPr>
              <w:spacing w:before="40" w:after="40" w:line="240" w:lineRule="auto"/>
            </w:pPr>
            <w:r>
              <w:rPr>
                <w:rFonts w:ascii="Times New Roman" w:hAnsi="Times New Roman" w:eastAsia="Times New Roman"/>
                <w:b w:val="0"/>
                <w:i w:val="0"/>
                <w:sz w:val="16"/>
              </w:rPr>
              <w:t>0.376 (0.362–0.389)</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rPr>
              <w:t>—</w:t>
            </w:r>
          </w:p>
        </w:tc>
        <w:tc>
          <w:tcPr>
            <w:tcW w:type="dxa" w:w="922"/>
          </w:tcPr>
          <w:p>
            <w:pPr>
              <w:spacing w:before="40" w:after="40" w:line="240" w:lineRule="auto"/>
            </w:pPr>
            <w:r>
              <w:rPr>
                <w:rFonts w:ascii="Times New Roman" w:hAnsi="Times New Roman" w:eastAsia="Times New Roman"/>
                <w:b w:val="0"/>
                <w:i w:val="0"/>
                <w:sz w:val="16"/>
              </w:rPr>
              <w:t>0.354</w:t>
            </w:r>
          </w:p>
        </w:tc>
        <w:tc>
          <w:tcPr>
            <w:tcW w:type="dxa" w:w="1377"/>
          </w:tcPr>
          <w:p>
            <w:pPr>
              <w:spacing w:before="40" w:after="40" w:line="240" w:lineRule="auto"/>
            </w:pPr>
            <w:r>
              <w:rPr>
                <w:rFonts w:ascii="Times New Roman" w:hAnsi="Times New Roman" w:eastAsia="Times New Roman"/>
                <w:b w:val="0"/>
                <w:i w:val="0"/>
                <w:sz w:val="16"/>
              </w:rPr>
              <w:t>0.060–0.145</w:t>
            </w:r>
          </w:p>
        </w:tc>
      </w:tr>
      <w:tr>
        <w:trPr>
          <w:cantSplit w:val="true"/>
        </w:trPr>
        <w:tc>
          <w:tcPr>
            <w:tcW w:type="dxa" w:w="1289"/>
          </w:tcPr>
          <w:p>
            <w:pPr>
              <w:spacing w:before="40" w:after="40" w:line="240" w:lineRule="auto"/>
            </w:pPr>
            <w:r>
              <w:rPr>
                <w:rFonts w:ascii="Times New Roman" w:hAnsi="Times New Roman" w:eastAsia="Times New Roman"/>
                <w:b w:val="0"/>
                <w:i w:val="0"/>
                <w:sz w:val="16"/>
              </w:rPr>
              <w:t>Balanced</w:t>
            </w:r>
          </w:p>
        </w:tc>
        <w:tc>
          <w:tcPr>
            <w:tcW w:type="dxa" w:w="959"/>
          </w:tcPr>
          <w:p>
            <w:pPr>
              <w:spacing w:before="40" w:after="40" w:line="240" w:lineRule="auto"/>
            </w:pPr>
            <w:r>
              <w:rPr>
                <w:rFonts w:ascii="Times New Roman" w:hAnsi="Times New Roman" w:eastAsia="Times New Roman"/>
                <w:b w:val="0"/>
                <w:i w:val="0"/>
                <w:sz w:val="16"/>
              </w:rPr>
              <w:t>0.15</w:t>
            </w:r>
          </w:p>
        </w:tc>
        <w:tc>
          <w:tcPr>
            <w:tcW w:type="dxa" w:w="1857"/>
          </w:tcPr>
          <w:p>
            <w:pPr>
              <w:spacing w:before="40" w:after="40" w:line="240" w:lineRule="auto"/>
            </w:pPr>
            <w:r>
              <w:rPr>
                <w:rFonts w:ascii="Times New Roman" w:hAnsi="Times New Roman" w:eastAsia="Times New Roman"/>
                <w:b w:val="0"/>
                <w:i w:val="0"/>
                <w:sz w:val="16"/>
              </w:rPr>
              <w:t>0.724 (0.711–0.736)</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rPr>
              <w:t>—</w:t>
            </w:r>
          </w:p>
        </w:tc>
        <w:tc>
          <w:tcPr>
            <w:tcW w:type="dxa" w:w="922"/>
          </w:tcPr>
          <w:p>
            <w:pPr>
              <w:spacing w:before="40" w:after="40" w:line="240" w:lineRule="auto"/>
            </w:pPr>
            <w:r>
              <w:rPr>
                <w:rFonts w:ascii="Times New Roman" w:hAnsi="Times New Roman" w:eastAsia="Times New Roman"/>
                <w:b w:val="0"/>
                <w:i w:val="0"/>
                <w:sz w:val="16"/>
              </w:rPr>
              <w:t>0.717</w:t>
            </w:r>
          </w:p>
        </w:tc>
        <w:tc>
          <w:tcPr>
            <w:tcW w:type="dxa" w:w="1377"/>
          </w:tcPr>
          <w:p>
            <w:pPr>
              <w:spacing w:before="40" w:after="40" w:line="240" w:lineRule="auto"/>
            </w:pPr>
            <w:r>
              <w:rPr>
                <w:rFonts w:ascii="Times New Roman" w:hAnsi="Times New Roman" w:eastAsia="Times New Roman"/>
                <w:b w:val="0"/>
                <w:i w:val="0"/>
                <w:sz w:val="16"/>
              </w:rPr>
              <w:t>0.060–0.145</w:t>
            </w:r>
          </w:p>
        </w:tc>
      </w:tr>
      <w:tr>
        <w:trPr>
          <w:cantSplit w:val="true"/>
        </w:trPr>
        <w:tc>
          <w:tcPr>
            <w:tcW w:type="dxa" w:w="1289"/>
          </w:tcPr>
          <w:p>
            <w:pPr>
              <w:spacing w:before="40" w:after="40" w:line="240" w:lineRule="auto"/>
            </w:pPr>
            <w:r>
              <w:rPr>
                <w:rFonts w:ascii="Times New Roman" w:hAnsi="Times New Roman" w:eastAsia="Times New Roman"/>
                <w:b w:val="0"/>
                <w:i w:val="0"/>
                <w:sz w:val="16"/>
              </w:rPr>
              <w:t>Directional</w:t>
            </w:r>
          </w:p>
        </w:tc>
        <w:tc>
          <w:tcPr>
            <w:tcW w:type="dxa" w:w="959"/>
          </w:tcPr>
          <w:p>
            <w:pPr>
              <w:spacing w:before="40" w:after="40" w:line="240" w:lineRule="auto"/>
            </w:pPr>
            <w:r>
              <w:rPr>
                <w:rFonts w:ascii="Times New Roman" w:hAnsi="Times New Roman" w:eastAsia="Times New Roman"/>
                <w:b w:val="0"/>
                <w:i w:val="0"/>
                <w:sz w:val="16"/>
              </w:rPr>
              <w:t>0.00</w:t>
            </w:r>
          </w:p>
        </w:tc>
        <w:tc>
          <w:tcPr>
            <w:tcW w:type="dxa" w:w="1857"/>
          </w:tcPr>
          <w:p>
            <w:pPr>
              <w:spacing w:before="40" w:after="40" w:line="240" w:lineRule="auto"/>
            </w:pPr>
            <w:r>
              <w:rPr>
                <w:rFonts w:ascii="Times New Roman" w:hAnsi="Times New Roman" w:eastAsia="Times New Roman"/>
                <w:b w:val="0"/>
                <w:i w:val="0"/>
                <w:sz w:val="16"/>
              </w:rPr>
              <w:t>—</w:t>
            </w:r>
          </w:p>
        </w:tc>
        <w:tc>
          <w:tcPr>
            <w:tcW w:type="dxa" w:w="1322"/>
          </w:tcPr>
          <w:p>
            <w:pPr>
              <w:spacing w:before="40" w:after="40" w:line="240" w:lineRule="auto"/>
            </w:pPr>
            <w:r>
              <w:rPr>
                <w:rFonts w:ascii="Times New Roman" w:hAnsi="Times New Roman" w:eastAsia="Times New Roman"/>
                <w:b w:val="0"/>
                <w:i w:val="0"/>
                <w:sz w:val="16"/>
              </w:rPr>
              <w:t>0.679 (0.666–0.692)</w:t>
            </w:r>
          </w:p>
        </w:tc>
        <w:tc>
          <w:tcPr>
            <w:tcW w:type="dxa" w:w="1289"/>
          </w:tcPr>
          <w:p>
            <w:pPr>
              <w:spacing w:before="40" w:after="40" w:line="240" w:lineRule="auto"/>
            </w:pPr>
            <w:r>
              <w:rPr>
                <w:rFonts w:ascii="Times New Roman" w:hAnsi="Times New Roman" w:eastAsia="Times New Roman"/>
                <w:b w:val="0"/>
                <w:i w:val="0"/>
                <w:sz w:val="16"/>
              </w:rPr>
              <w:t>0.809 (0.798–0.820)</w:t>
            </w:r>
          </w:p>
        </w:tc>
        <w:tc>
          <w:tcPr>
            <w:tcW w:type="dxa" w:w="922"/>
          </w:tcPr>
          <w:p>
            <w:pPr>
              <w:spacing w:before="40" w:after="40" w:line="240" w:lineRule="auto"/>
            </w:pPr>
            <w:r>
              <w:rPr>
                <w:rFonts w:ascii="Times New Roman" w:hAnsi="Times New Roman" w:eastAsia="Times New Roman"/>
                <w:b w:val="0"/>
                <w:i w:val="0"/>
                <w:sz w:val="16"/>
              </w:rPr>
              <w:t>0.046</w:t>
            </w:r>
          </w:p>
        </w:tc>
        <w:tc>
          <w:tcPr>
            <w:tcW w:type="dxa" w:w="1377"/>
          </w:tcPr>
          <w:p>
            <w:pPr>
              <w:spacing w:before="40" w:after="40" w:line="240" w:lineRule="auto"/>
            </w:pPr>
            <w:r>
              <w:rPr>
                <w:rFonts w:ascii="Times New Roman" w:hAnsi="Times New Roman" w:eastAsia="Times New Roman"/>
                <w:b w:val="0"/>
                <w:i w:val="0"/>
                <w:sz w:val="16"/>
              </w:rPr>
              <w:t>0.102–0.200</w:t>
            </w:r>
          </w:p>
        </w:tc>
      </w:tr>
      <w:tr>
        <w:trPr>
          <w:cantSplit w:val="true"/>
        </w:trPr>
        <w:tc>
          <w:tcPr>
            <w:tcW w:type="dxa" w:w="1289"/>
          </w:tcPr>
          <w:p>
            <w:pPr>
              <w:spacing w:before="40" w:after="40" w:line="240" w:lineRule="auto"/>
            </w:pPr>
            <w:r>
              <w:rPr>
                <w:rFonts w:ascii="Times New Roman" w:hAnsi="Times New Roman" w:eastAsia="Times New Roman"/>
                <w:b w:val="0"/>
                <w:i w:val="0"/>
                <w:sz w:val="16"/>
              </w:rPr>
              <w:t>Directional</w:t>
            </w:r>
          </w:p>
        </w:tc>
        <w:tc>
          <w:tcPr>
            <w:tcW w:type="dxa" w:w="959"/>
          </w:tcPr>
          <w:p>
            <w:pPr>
              <w:spacing w:before="40" w:after="40" w:line="240" w:lineRule="auto"/>
            </w:pPr>
            <w:r>
              <w:rPr>
                <w:rFonts w:ascii="Times New Roman" w:hAnsi="Times New Roman" w:eastAsia="Times New Roman"/>
                <w:b w:val="0"/>
                <w:i w:val="0"/>
                <w:sz w:val="16"/>
              </w:rPr>
              <w:t>0.08</w:t>
            </w:r>
          </w:p>
        </w:tc>
        <w:tc>
          <w:tcPr>
            <w:tcW w:type="dxa" w:w="1857"/>
          </w:tcPr>
          <w:p>
            <w:pPr>
              <w:spacing w:before="40" w:after="40" w:line="240" w:lineRule="auto"/>
            </w:pPr>
            <w:r>
              <w:rPr>
                <w:rFonts w:ascii="Times New Roman" w:hAnsi="Times New Roman" w:eastAsia="Times New Roman"/>
                <w:b w:val="0"/>
                <w:i w:val="0"/>
                <w:sz w:val="16"/>
              </w:rPr>
              <w:t>0.408 (0.394–0.422)</w:t>
            </w:r>
          </w:p>
        </w:tc>
        <w:tc>
          <w:tcPr>
            <w:tcW w:type="dxa" w:w="1322"/>
          </w:tcPr>
          <w:p>
            <w:pPr>
              <w:spacing w:before="40" w:after="40" w:line="240" w:lineRule="auto"/>
            </w:pPr>
            <w:r>
              <w:rPr>
                <w:rFonts w:ascii="Times New Roman" w:hAnsi="Times New Roman" w:eastAsia="Times New Roman"/>
                <w:b w:val="0"/>
                <w:i w:val="0"/>
                <w:sz w:val="16"/>
              </w:rPr>
              <w:t>—</w:t>
            </w:r>
          </w:p>
        </w:tc>
        <w:tc>
          <w:tcPr>
            <w:tcW w:type="dxa" w:w="1289"/>
          </w:tcPr>
          <w:p>
            <w:pPr>
              <w:spacing w:before="40" w:after="40" w:line="240" w:lineRule="auto"/>
            </w:pPr>
            <w:r>
              <w:rPr>
                <w:rFonts w:ascii="Times New Roman" w:hAnsi="Times New Roman" w:eastAsia="Times New Roman"/>
                <w:b w:val="0"/>
                <w:i w:val="0"/>
                <w:sz w:val="16"/>
              </w:rPr>
              <w:t>—</w:t>
            </w:r>
          </w:p>
        </w:tc>
        <w:tc>
          <w:tcPr>
            <w:tcW w:type="dxa" w:w="922"/>
          </w:tcPr>
          <w:p>
            <w:pPr>
              <w:spacing w:before="40" w:after="40" w:line="240" w:lineRule="auto"/>
            </w:pPr>
            <w:r>
              <w:rPr>
                <w:rFonts w:ascii="Times New Roman" w:hAnsi="Times New Roman" w:eastAsia="Times New Roman"/>
                <w:b w:val="0"/>
                <w:i w:val="0"/>
                <w:sz w:val="16"/>
              </w:rPr>
              <w:t>0.367</w:t>
            </w:r>
          </w:p>
        </w:tc>
        <w:tc>
          <w:tcPr>
            <w:tcW w:type="dxa" w:w="1377"/>
          </w:tcPr>
          <w:p>
            <w:pPr>
              <w:spacing w:before="40" w:after="40" w:line="240" w:lineRule="auto"/>
            </w:pPr>
            <w:r>
              <w:rPr>
                <w:rFonts w:ascii="Times New Roman" w:hAnsi="Times New Roman" w:eastAsia="Times New Roman"/>
                <w:b w:val="0"/>
                <w:i w:val="0"/>
                <w:sz w:val="16"/>
              </w:rPr>
              <w:t>0.102–0.200</w:t>
            </w:r>
          </w:p>
        </w:tc>
      </w:tr>
      <w:tr>
        <w:trPr>
          <w:cantSplit w:val="true"/>
        </w:trPr>
        <w:tc>
          <w:tcPr>
            <w:tcW w:type="dxa" w:w="1289"/>
            <w:tcBorders>
              <w:bottom w:val="single" w:sz="12" w:space="0" w:color="000000"/>
            </w:tcBorders>
          </w:tcPr>
          <w:p>
            <w:pPr>
              <w:spacing w:before="40" w:after="40" w:line="240" w:lineRule="auto"/>
            </w:pPr>
            <w:r>
              <w:rPr>
                <w:rFonts w:ascii="Times New Roman" w:hAnsi="Times New Roman" w:eastAsia="Times New Roman"/>
                <w:b w:val="0"/>
                <w:i w:val="0"/>
                <w:sz w:val="16"/>
              </w:rPr>
              <w:t>Directional</w:t>
            </w:r>
          </w:p>
        </w:tc>
        <w:tc>
          <w:tcPr>
            <w:tcW w:type="dxa" w:w="959"/>
            <w:tcBorders>
              <w:bottom w:val="single" w:sz="12" w:space="0" w:color="000000"/>
            </w:tcBorders>
          </w:tcPr>
          <w:p>
            <w:pPr>
              <w:spacing w:before="40" w:after="40" w:line="240" w:lineRule="auto"/>
            </w:pPr>
            <w:r>
              <w:rPr>
                <w:rFonts w:ascii="Times New Roman" w:hAnsi="Times New Roman" w:eastAsia="Times New Roman"/>
                <w:b w:val="0"/>
                <w:i w:val="0"/>
                <w:sz w:val="16"/>
              </w:rPr>
              <w:t>0.15</w:t>
            </w:r>
          </w:p>
        </w:tc>
        <w:tc>
          <w:tcPr>
            <w:tcW w:type="dxa" w:w="1857"/>
            <w:tcBorders>
              <w:bottom w:val="single" w:sz="12" w:space="0" w:color="000000"/>
            </w:tcBorders>
          </w:tcPr>
          <w:p>
            <w:pPr>
              <w:spacing w:before="40" w:after="40" w:line="240" w:lineRule="auto"/>
            </w:pPr>
            <w:r>
              <w:rPr>
                <w:rFonts w:ascii="Times New Roman" w:hAnsi="Times New Roman" w:eastAsia="Times New Roman"/>
                <w:b w:val="0"/>
                <w:i w:val="0"/>
                <w:sz w:val="16"/>
              </w:rPr>
              <w:t>0.691 (0.678–0.704)</w:t>
            </w:r>
          </w:p>
        </w:tc>
        <w:tc>
          <w:tcPr>
            <w:tcW w:type="dxa" w:w="1322"/>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1289"/>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922"/>
            <w:tcBorders>
              <w:bottom w:val="single" w:sz="12" w:space="0" w:color="000000"/>
            </w:tcBorders>
          </w:tcPr>
          <w:p>
            <w:pPr>
              <w:spacing w:before="40" w:after="40" w:line="240" w:lineRule="auto"/>
            </w:pPr>
            <w:r>
              <w:rPr>
                <w:rFonts w:ascii="Times New Roman" w:hAnsi="Times New Roman" w:eastAsia="Times New Roman"/>
                <w:b w:val="0"/>
                <w:i w:val="0"/>
                <w:sz w:val="16"/>
              </w:rPr>
              <w:t>0.667</w:t>
            </w:r>
          </w:p>
        </w:tc>
        <w:tc>
          <w:tcPr>
            <w:tcW w:type="dxa" w:w="1377"/>
            <w:tcBorders>
              <w:bottom w:val="single" w:sz="12" w:space="0" w:color="000000"/>
            </w:tcBorders>
          </w:tcPr>
          <w:p>
            <w:pPr>
              <w:spacing w:before="40" w:after="40" w:line="240" w:lineRule="auto"/>
            </w:pPr>
            <w:r>
              <w:rPr>
                <w:rFonts w:ascii="Times New Roman" w:hAnsi="Times New Roman" w:eastAsia="Times New Roman"/>
                <w:b w:val="0"/>
                <w:i w:val="0"/>
                <w:sz w:val="16"/>
              </w:rPr>
              <w:t>0.102–0.200</w:t>
            </w:r>
          </w:p>
        </w:tc>
      </w:tr>
    </w:tbl>
    <w:p>
      <w:pPr>
        <w:spacing w:before="0" w:after="0" w:line="160" w:lineRule="exact"/>
      </w:pPr>
    </w:p>
    <w:p>
      <w:pPr>
        <w:spacing w:before="0" w:after="120" w:line="480" w:lineRule="auto"/>
      </w:pPr>
      <w:r>
        <w:rPr>
          <w:rFonts w:ascii="Times New Roman" w:hAnsi="Times New Roman" w:eastAsia="Times New Roman"/>
          <w:b w:val="0"/>
          <w:i w:val="0"/>
        </w:rPr>
        <w:t xml:space="preserve">Values are marginal across clumping-block count (5/12/40), sample overlap (0%/30%), and instrument count (20/60); 400 replicates per parameter cell, 12 cells per pleiotropy regime, 4,800 replicates per row. Every replicate is scored with the published rule, including the decisive-failure cap: a replicate scoring 0 at G2 has its total capped at 6 before the grade is assigned. Each marginal value is the unweighted mean of the 12 cell-level values; each range is the minimum to maximum across those cells. Values in parentheses are 95% Wilson score intervals computed on the pooled 4,800 replicates of that row, treating the twelve parameter cells as exchangeable within a row. P(Grade A) is a descriptive grade distribution rather than an operating characteristic of the rule and is reported as a point estimate; the FDR column gives the across-cell range rather than an interval because its per-cell ratios have unequal denominators and therefore do not pool into a single binomial proportion. Sensitivity is the proportion of replicates graded A or B. Two specificity definitions are given because Grade C is a falsified verdict rather than a positive call: specificity (D only) counts only Grade D as a correct negative, whereas specificity (C/D) counts both falsified grades. The framework's operating claim refers to the C/D convention, since a Grade C case asserts no directed causal effect; the D-only column is reported for comparability with binary screens. FDR is the empirical false-discovery proportion among positive calls, computed across the full effect-size mixture (one-third null, two-thirds non-null replicates). Because G3 is determined by G1 and G4 is near-collinear with G2 in this design, the tabulated operating characteristics describe the four-signal scoring rule (G1, G2, G5, G6) mapped onto the 0–12 scale. Full operating characteristics by parameter cell are given in Supplementary Table S9; the marginal FDR and these intervals are reproduced by </w:t>
      </w:r>
      <w:r>
        <w:rPr>
          <w:rFonts w:ascii="Consolas" w:hAnsi="Consolas" w:eastAsia="Consolas"/>
          <w:b w:val="0"/>
          <w:i w:val="0"/>
          <w:sz w:val="22"/>
        </w:rPr>
        <w:t>code/sim_marginal_fdr.py</w:t>
      </w:r>
      <w:r>
        <w:rPr>
          <w:rFonts w:ascii="Times New Roman" w:hAnsi="Times New Roman" w:eastAsia="Times New Roman"/>
          <w:b w:val="0"/>
          <w:i w:val="0"/>
        </w:rPr>
        <w:t xml:space="preserve"> and </w:t>
      </w:r>
      <w:r>
        <w:rPr>
          <w:rFonts w:ascii="Consolas" w:hAnsi="Consolas" w:eastAsia="Consolas"/>
          <w:b w:val="0"/>
          <w:i w:val="0"/>
          <w:sz w:val="22"/>
        </w:rPr>
        <w:t>code/make_table2_uncertainty.py</w:t>
      </w:r>
      <w:r>
        <w:rPr>
          <w:rFonts w:ascii="Times New Roman" w:hAnsi="Times New Roman" w:eastAsia="Times New Roman"/>
          <w:b w:val="0"/>
          <w:i w:val="0"/>
        </w:rPr>
        <w:t xml:space="preserve"> in the archive, and the effect of the cap itself is quantified in Supplementary Table S12.5.</w:t>
      </w:r>
    </w:p>
    <w:p>
      <w:pPr>
        <w:keepNext/>
        <w:spacing w:before="280" w:after="120" w:line="240" w:lineRule="auto"/>
      </w:pPr>
      <w:r>
        <w:rPr>
          <w:rFonts w:ascii="Times New Roman" w:hAnsi="Times New Roman" w:eastAsia="Times New Roman"/>
          <w:b/>
          <w:i w:val="0"/>
        </w:rPr>
        <w:t>Table 3.</w:t>
      </w:r>
      <w:r>
        <w:rPr>
          <w:rFonts w:ascii="Times New Roman" w:hAnsi="Times New Roman" w:eastAsia="Times New Roman"/>
          <w:b w:val="0"/>
          <w:i w:val="0"/>
        </w:rPr>
        <w:t xml:space="preserve"> Data inventory: publicly available GWAS summary statistics used in this study.</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805"/>
        <w:gridCol w:w="1805"/>
        <w:gridCol w:w="1805"/>
        <w:gridCol w:w="1805"/>
        <w:gridCol w:w="1805"/>
      </w:tblGrid>
      <w:tr>
        <w:trPr>
          <w:cantSplit w:val="true"/>
          <w:tblHeader w:val="true"/>
        </w:trPr>
        <w:tc>
          <w:tcPr>
            <w:tcW w:type="dxa" w:w="2770"/>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Trait / role</w:t>
            </w:r>
          </w:p>
        </w:tc>
        <w:tc>
          <w:tcPr>
            <w:tcW w:type="dxa" w:w="1541"/>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Accession</w:t>
            </w:r>
          </w:p>
        </w:tc>
        <w:tc>
          <w:tcPr>
            <w:tcW w:type="dxa" w:w="210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Source</w:t>
            </w:r>
          </w:p>
        </w:tc>
        <w:tc>
          <w:tcPr>
            <w:tcW w:type="dxa" w:w="1478"/>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Sample size</w:t>
            </w:r>
          </w:p>
        </w:tc>
        <w:tc>
          <w:tcPr>
            <w:tcW w:type="dxa" w:w="111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Ancestry</w:t>
            </w:r>
          </w:p>
        </w:tc>
      </w:tr>
      <w:tr>
        <w:trPr>
          <w:cantSplit w:val="true"/>
        </w:trPr>
        <w:tc>
          <w:tcPr>
            <w:tcW w:type="dxa" w:w="2770"/>
          </w:tcPr>
          <w:p>
            <w:pPr>
              <w:spacing w:before="40" w:after="40" w:line="240" w:lineRule="auto"/>
            </w:pPr>
            <w:r>
              <w:rPr>
                <w:rFonts w:ascii="Times New Roman" w:hAnsi="Times New Roman" w:eastAsia="Times New Roman"/>
                <w:b w:val="0"/>
                <w:i w:val="0"/>
                <w:sz w:val="16"/>
              </w:rPr>
              <w:t>Insomnia (continuous), exposure</w:t>
            </w:r>
          </w:p>
        </w:tc>
        <w:tc>
          <w:tcPr>
            <w:tcW w:type="dxa" w:w="1541"/>
          </w:tcPr>
          <w:p>
            <w:pPr>
              <w:spacing w:before="40" w:after="40" w:line="240" w:lineRule="auto"/>
            </w:pPr>
            <w:r>
              <w:rPr>
                <w:rFonts w:ascii="Times New Roman" w:hAnsi="Times New Roman" w:eastAsia="Times New Roman"/>
                <w:b w:val="0"/>
                <w:i w:val="0"/>
                <w:sz w:val="16"/>
              </w:rPr>
              <w:t>ukb-b-3957</w:t>
            </w:r>
          </w:p>
        </w:tc>
        <w:tc>
          <w:tcPr>
            <w:tcW w:type="dxa" w:w="2109"/>
          </w:tcPr>
          <w:p>
            <w:pPr>
              <w:spacing w:before="40" w:after="40" w:line="240" w:lineRule="auto"/>
            </w:pPr>
            <w:r>
              <w:rPr>
                <w:rFonts w:ascii="Times New Roman" w:hAnsi="Times New Roman" w:eastAsia="Times New Roman"/>
                <w:b w:val="0"/>
                <w:i w:val="0"/>
                <w:sz w:val="16"/>
              </w:rPr>
              <w:t>UK Biobank</w:t>
            </w:r>
          </w:p>
        </w:tc>
        <w:tc>
          <w:tcPr>
            <w:tcW w:type="dxa" w:w="1478"/>
          </w:tcPr>
          <w:p>
            <w:pPr>
              <w:spacing w:before="40" w:after="40" w:line="240" w:lineRule="auto"/>
            </w:pPr>
            <w:r>
              <w:rPr>
                <w:rFonts w:ascii="Times New Roman" w:hAnsi="Times New Roman" w:eastAsia="Times New Roman"/>
                <w:b w:val="0"/>
                <w:i w:val="0"/>
                <w:sz w:val="16"/>
              </w:rPr>
              <w:t>462,341</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Alzheimer's disease (primary outcome)</w:t>
            </w:r>
          </w:p>
        </w:tc>
        <w:tc>
          <w:tcPr>
            <w:tcW w:type="dxa" w:w="1541"/>
          </w:tcPr>
          <w:p>
            <w:pPr>
              <w:spacing w:before="40" w:after="40" w:line="240" w:lineRule="auto"/>
            </w:pPr>
            <w:r>
              <w:rPr>
                <w:rFonts w:ascii="Times New Roman" w:hAnsi="Times New Roman" w:eastAsia="Times New Roman"/>
                <w:b w:val="0"/>
                <w:i w:val="0"/>
                <w:sz w:val="16"/>
              </w:rPr>
              <w:t>ieu-b-2</w:t>
            </w:r>
          </w:p>
        </w:tc>
        <w:tc>
          <w:tcPr>
            <w:tcW w:type="dxa" w:w="2109"/>
          </w:tcPr>
          <w:p>
            <w:pPr>
              <w:spacing w:before="40" w:after="40" w:line="240" w:lineRule="auto"/>
            </w:pPr>
            <w:r>
              <w:rPr>
                <w:rFonts w:ascii="Times New Roman" w:hAnsi="Times New Roman" w:eastAsia="Times New Roman"/>
                <w:b w:val="0"/>
                <w:i w:val="0"/>
                <w:sz w:val="16"/>
              </w:rPr>
              <w:t>Kunkle et al. (2019), IGAP</w:t>
            </w:r>
          </w:p>
        </w:tc>
        <w:tc>
          <w:tcPr>
            <w:tcW w:type="dxa" w:w="1478"/>
          </w:tcPr>
          <w:p>
            <w:pPr>
              <w:spacing w:before="40" w:after="40" w:line="240" w:lineRule="auto"/>
            </w:pPr>
            <w:r>
              <w:rPr>
                <w:rFonts w:ascii="Times New Roman" w:hAnsi="Times New Roman" w:eastAsia="Times New Roman"/>
                <w:b w:val="0"/>
                <w:i w:val="0"/>
                <w:sz w:val="16"/>
              </w:rPr>
              <w:t>21,982 cases / 41,944 controls</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Alzheimer's disease (sensitivity outcome)</w:t>
            </w:r>
          </w:p>
        </w:tc>
        <w:tc>
          <w:tcPr>
            <w:tcW w:type="dxa" w:w="1541"/>
          </w:tcPr>
          <w:p>
            <w:pPr>
              <w:spacing w:before="40" w:after="40" w:line="240" w:lineRule="auto"/>
            </w:pPr>
            <w:r>
              <w:rPr>
                <w:rFonts w:ascii="Times New Roman" w:hAnsi="Times New Roman" w:eastAsia="Times New Roman"/>
                <w:b w:val="0"/>
                <w:i w:val="0"/>
                <w:sz w:val="16"/>
              </w:rPr>
              <w:t>ebi-a-GCST90027158</w:t>
            </w:r>
          </w:p>
        </w:tc>
        <w:tc>
          <w:tcPr>
            <w:tcW w:type="dxa" w:w="2109"/>
          </w:tcPr>
          <w:p>
            <w:pPr>
              <w:spacing w:before="40" w:after="40" w:line="240" w:lineRule="auto"/>
            </w:pPr>
            <w:r>
              <w:rPr>
                <w:rFonts w:ascii="Times New Roman" w:hAnsi="Times New Roman" w:eastAsia="Times New Roman"/>
                <w:b w:val="0"/>
                <w:i w:val="0"/>
                <w:sz w:val="16"/>
              </w:rPr>
              <w:t>Bellenguez et al. (2022)</w:t>
            </w:r>
          </w:p>
        </w:tc>
        <w:tc>
          <w:tcPr>
            <w:tcW w:type="dxa" w:w="1478"/>
          </w:tcPr>
          <w:p>
            <w:pPr>
              <w:spacing w:before="40" w:after="40" w:line="240" w:lineRule="auto"/>
            </w:pPr>
            <w:r>
              <w:rPr>
                <w:rFonts w:ascii="Times New Roman" w:hAnsi="Times New Roman" w:eastAsia="Times New Roman"/>
                <w:b w:val="0"/>
                <w:i w:val="0"/>
                <w:sz w:val="16"/>
              </w:rPr>
              <w:t>85,934 cases / 401,577 controls</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Educational attainment (mediator/confounder)</w:t>
            </w:r>
          </w:p>
        </w:tc>
        <w:tc>
          <w:tcPr>
            <w:tcW w:type="dxa" w:w="1541"/>
          </w:tcPr>
          <w:p>
            <w:pPr>
              <w:spacing w:before="40" w:after="40" w:line="240" w:lineRule="auto"/>
            </w:pPr>
            <w:r>
              <w:rPr>
                <w:rFonts w:ascii="Times New Roman" w:hAnsi="Times New Roman" w:eastAsia="Times New Roman"/>
                <w:b w:val="0"/>
                <w:i w:val="0"/>
                <w:sz w:val="16"/>
              </w:rPr>
              <w:t>ieu-a-1239</w:t>
            </w:r>
          </w:p>
        </w:tc>
        <w:tc>
          <w:tcPr>
            <w:tcW w:type="dxa" w:w="2109"/>
          </w:tcPr>
          <w:p>
            <w:pPr>
              <w:spacing w:before="40" w:after="40" w:line="240" w:lineRule="auto"/>
            </w:pPr>
            <w:r>
              <w:rPr>
                <w:rFonts w:ascii="Times New Roman" w:hAnsi="Times New Roman" w:eastAsia="Times New Roman"/>
                <w:b w:val="0"/>
                <w:i w:val="0"/>
                <w:sz w:val="16"/>
              </w:rPr>
              <w:t>Lee et al. (2018)</w:t>
            </w:r>
          </w:p>
        </w:tc>
        <w:tc>
          <w:tcPr>
            <w:tcW w:type="dxa" w:w="1478"/>
          </w:tcPr>
          <w:p>
            <w:pPr>
              <w:spacing w:before="40" w:after="40" w:line="240" w:lineRule="auto"/>
            </w:pPr>
            <w:r>
              <w:rPr>
                <w:rFonts w:ascii="Times New Roman" w:hAnsi="Times New Roman" w:eastAsia="Times New Roman"/>
                <w:b w:val="0"/>
                <w:i w:val="0"/>
                <w:sz w:val="16"/>
              </w:rPr>
              <w:t>766,345</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Alzheimer's disease (East Asian)</w:t>
            </w:r>
          </w:p>
        </w:tc>
        <w:tc>
          <w:tcPr>
            <w:tcW w:type="dxa" w:w="1541"/>
          </w:tcPr>
          <w:p>
            <w:pPr>
              <w:spacing w:before="40" w:after="40" w:line="240" w:lineRule="auto"/>
            </w:pPr>
            <w:r>
              <w:rPr>
                <w:rFonts w:ascii="Times New Roman" w:hAnsi="Times New Roman" w:eastAsia="Times New Roman"/>
                <w:b w:val="0"/>
                <w:i w:val="0"/>
                <w:sz w:val="16"/>
              </w:rPr>
              <w:t>NG00182</w:t>
            </w:r>
          </w:p>
        </w:tc>
        <w:tc>
          <w:tcPr>
            <w:tcW w:type="dxa" w:w="2109"/>
          </w:tcPr>
          <w:p>
            <w:pPr>
              <w:spacing w:before="40" w:after="40" w:line="240" w:lineRule="auto"/>
            </w:pPr>
            <w:r>
              <w:rPr>
                <w:rFonts w:ascii="Times New Roman" w:hAnsi="Times New Roman" w:eastAsia="Times New Roman"/>
                <w:b w:val="0"/>
                <w:i w:val="0"/>
                <w:sz w:val="16"/>
              </w:rPr>
              <w:t>GARD</w:t>
            </w:r>
          </w:p>
        </w:tc>
        <w:tc>
          <w:tcPr>
            <w:tcW w:type="dxa" w:w="1478"/>
          </w:tcPr>
          <w:p>
            <w:pPr>
              <w:spacing w:before="40" w:after="40" w:line="240" w:lineRule="auto"/>
            </w:pPr>
            <w:r>
              <w:rPr>
                <w:rFonts w:ascii="Times New Roman" w:hAnsi="Times New Roman" w:eastAsia="Times New Roman"/>
                <w:b w:val="0"/>
                <w:i w:val="0"/>
                <w:sz w:val="16"/>
              </w:rPr>
              <w:t>6,518 (2,919 cases)</w:t>
            </w:r>
          </w:p>
        </w:tc>
        <w:tc>
          <w:tcPr>
            <w:tcW w:type="dxa" w:w="1117"/>
          </w:tcPr>
          <w:p>
            <w:pPr>
              <w:spacing w:before="40" w:after="40" w:line="240" w:lineRule="auto"/>
            </w:pPr>
            <w:r>
              <w:rPr>
                <w:rFonts w:ascii="Times New Roman" w:hAnsi="Times New Roman" w:eastAsia="Times New Roman"/>
                <w:b w:val="0"/>
                <w:i w:val="0"/>
                <w:sz w:val="16"/>
              </w:rPr>
              <w:t>East Asian</w:t>
            </w:r>
          </w:p>
        </w:tc>
      </w:tr>
      <w:tr>
        <w:trPr>
          <w:cantSplit w:val="true"/>
        </w:trPr>
        <w:tc>
          <w:tcPr>
            <w:tcW w:type="dxa" w:w="2770"/>
          </w:tcPr>
          <w:p>
            <w:pPr>
              <w:spacing w:before="40" w:after="40" w:line="240" w:lineRule="auto"/>
            </w:pPr>
            <w:r>
              <w:rPr>
                <w:rFonts w:ascii="Times New Roman" w:hAnsi="Times New Roman" w:eastAsia="Times New Roman"/>
                <w:b w:val="0"/>
                <w:i w:val="0"/>
                <w:sz w:val="16"/>
              </w:rPr>
              <w:t>CRP / IL-6 / NfL pQTLs</w:t>
            </w:r>
          </w:p>
        </w:tc>
        <w:tc>
          <w:tcPr>
            <w:tcW w:type="dxa" w:w="1541"/>
          </w:tcPr>
          <w:p>
            <w:pPr>
              <w:spacing w:before="40" w:after="40" w:line="240" w:lineRule="auto"/>
            </w:pPr>
            <w:r>
              <w:rPr>
                <w:rFonts w:ascii="Times New Roman" w:hAnsi="Times New Roman" w:eastAsia="Times New Roman"/>
                <w:b w:val="0"/>
                <w:i w:val="0"/>
                <w:sz w:val="16"/>
              </w:rPr>
              <w:t>prot-a-670 / prot-a-1540 / prot-a-2027</w:t>
            </w:r>
          </w:p>
        </w:tc>
        <w:tc>
          <w:tcPr>
            <w:tcW w:type="dxa" w:w="2109"/>
          </w:tcPr>
          <w:p>
            <w:pPr>
              <w:spacing w:before="40" w:after="40" w:line="240" w:lineRule="auto"/>
            </w:pPr>
            <w:r>
              <w:rPr>
                <w:rFonts w:ascii="Times New Roman" w:hAnsi="Times New Roman" w:eastAsia="Times New Roman"/>
                <w:b w:val="0"/>
                <w:i w:val="0"/>
                <w:sz w:val="16"/>
              </w:rPr>
              <w:t>Sun et al. (2018), INTERVAL</w:t>
            </w:r>
          </w:p>
        </w:tc>
        <w:tc>
          <w:tcPr>
            <w:tcW w:type="dxa" w:w="1478"/>
          </w:tcPr>
          <w:p>
            <w:pPr>
              <w:spacing w:before="40" w:after="40" w:line="240" w:lineRule="auto"/>
            </w:pPr>
            <w:r>
              <w:rPr>
                <w:rFonts w:ascii="Times New Roman" w:hAnsi="Times New Roman" w:eastAsia="Times New Roman"/>
                <w:b w:val="0"/>
                <w:i w:val="0"/>
                <w:sz w:val="16"/>
              </w:rPr>
              <w:t>3,301</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GFAP pQTL</w:t>
            </w:r>
          </w:p>
        </w:tc>
        <w:tc>
          <w:tcPr>
            <w:tcW w:type="dxa" w:w="1541"/>
          </w:tcPr>
          <w:p>
            <w:pPr>
              <w:spacing w:before="40" w:after="40" w:line="240" w:lineRule="auto"/>
            </w:pPr>
            <w:r>
              <w:rPr>
                <w:rFonts w:ascii="Times New Roman" w:hAnsi="Times New Roman" w:eastAsia="Times New Roman"/>
                <w:b w:val="0"/>
                <w:i w:val="0"/>
                <w:sz w:val="16"/>
              </w:rPr>
              <w:t>prot-c-3034_1_2</w:t>
            </w:r>
          </w:p>
        </w:tc>
        <w:tc>
          <w:tcPr>
            <w:tcW w:type="dxa" w:w="2109"/>
          </w:tcPr>
          <w:p>
            <w:pPr>
              <w:spacing w:before="40" w:after="40" w:line="240" w:lineRule="auto"/>
            </w:pPr>
            <w:r>
              <w:rPr>
                <w:rFonts w:ascii="Times New Roman" w:hAnsi="Times New Roman" w:eastAsia="Times New Roman"/>
                <w:b w:val="0"/>
                <w:i w:val="0"/>
                <w:sz w:val="16"/>
              </w:rPr>
              <w:t>Suhre et al. (2017), KORA</w:t>
            </w:r>
          </w:p>
        </w:tc>
        <w:tc>
          <w:tcPr>
            <w:tcW w:type="dxa" w:w="1478"/>
          </w:tcPr>
          <w:p>
            <w:pPr>
              <w:spacing w:before="40" w:after="40" w:line="240" w:lineRule="auto"/>
            </w:pPr>
            <w:r>
              <w:rPr>
                <w:rFonts w:ascii="Times New Roman" w:hAnsi="Times New Roman" w:eastAsia="Times New Roman"/>
                <w:b w:val="0"/>
                <w:i w:val="0"/>
                <w:sz w:val="16"/>
              </w:rPr>
              <w:t>1,000</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Pr>
          <w:p>
            <w:pPr>
              <w:spacing w:before="40" w:after="40" w:line="240" w:lineRule="auto"/>
            </w:pPr>
            <w:r>
              <w:rPr>
                <w:rFonts w:ascii="Times New Roman" w:hAnsi="Times New Roman" w:eastAsia="Times New Roman"/>
                <w:b w:val="0"/>
                <w:i w:val="0"/>
                <w:sz w:val="16"/>
              </w:rPr>
              <w:t>Triglycerides (NMR)</w:t>
            </w:r>
          </w:p>
        </w:tc>
        <w:tc>
          <w:tcPr>
            <w:tcW w:type="dxa" w:w="1541"/>
          </w:tcPr>
          <w:p>
            <w:pPr>
              <w:spacing w:before="40" w:after="40" w:line="240" w:lineRule="auto"/>
            </w:pPr>
            <w:r>
              <w:rPr>
                <w:rFonts w:ascii="Times New Roman" w:hAnsi="Times New Roman" w:eastAsia="Times New Roman"/>
                <w:b w:val="0"/>
                <w:i w:val="0"/>
                <w:sz w:val="16"/>
              </w:rPr>
              <w:t>met-d-Total_TG</w:t>
            </w:r>
          </w:p>
        </w:tc>
        <w:tc>
          <w:tcPr>
            <w:tcW w:type="dxa" w:w="2109"/>
          </w:tcPr>
          <w:p>
            <w:pPr>
              <w:spacing w:before="40" w:after="40" w:line="240" w:lineRule="auto"/>
            </w:pPr>
            <w:r>
              <w:rPr>
                <w:rFonts w:ascii="Times New Roman" w:hAnsi="Times New Roman" w:eastAsia="Times New Roman"/>
                <w:b w:val="0"/>
                <w:i w:val="0"/>
                <w:sz w:val="16"/>
              </w:rPr>
              <w:t>Kettunen et al. (2016), Nightingale platform</w:t>
            </w:r>
          </w:p>
        </w:tc>
        <w:tc>
          <w:tcPr>
            <w:tcW w:type="dxa" w:w="1478"/>
          </w:tcPr>
          <w:p>
            <w:pPr>
              <w:spacing w:before="40" w:after="40" w:line="240" w:lineRule="auto"/>
            </w:pPr>
            <w:r>
              <w:rPr>
                <w:rFonts w:ascii="Times New Roman" w:hAnsi="Times New Roman" w:eastAsia="Times New Roman"/>
                <w:b w:val="0"/>
                <w:i w:val="0"/>
                <w:sz w:val="16"/>
              </w:rPr>
              <w:t>24,925</w:t>
            </w:r>
          </w:p>
        </w:tc>
        <w:tc>
          <w:tcPr>
            <w:tcW w:type="dxa" w:w="1117"/>
          </w:tcPr>
          <w:p>
            <w:pPr>
              <w:spacing w:before="40" w:after="40" w:line="240" w:lineRule="auto"/>
            </w:pPr>
            <w:r>
              <w:rPr>
                <w:rFonts w:ascii="Times New Roman" w:hAnsi="Times New Roman" w:eastAsia="Times New Roman"/>
                <w:b w:val="0"/>
                <w:i w:val="0"/>
                <w:sz w:val="16"/>
              </w:rPr>
              <w:t>European</w:t>
            </w:r>
          </w:p>
        </w:tc>
      </w:tr>
      <w:tr>
        <w:trPr>
          <w:cantSplit w:val="true"/>
        </w:trPr>
        <w:tc>
          <w:tcPr>
            <w:tcW w:type="dxa" w:w="2770"/>
            <w:tcBorders>
              <w:bottom w:val="single" w:sz="12" w:space="0" w:color="000000"/>
            </w:tcBorders>
          </w:tcPr>
          <w:p>
            <w:pPr>
              <w:spacing w:before="40" w:after="40" w:line="240" w:lineRule="auto"/>
            </w:pPr>
            <w:r>
              <w:rPr>
                <w:rFonts w:ascii="Times New Roman" w:hAnsi="Times New Roman" w:eastAsia="Times New Roman"/>
                <w:b w:val="0"/>
                <w:i w:val="0"/>
                <w:sz w:val="16"/>
              </w:rPr>
              <w:t>Supplementary outcomes (East Asian)</w:t>
            </w:r>
          </w:p>
        </w:tc>
        <w:tc>
          <w:tcPr>
            <w:tcW w:type="dxa" w:w="1541"/>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2109"/>
            <w:tcBorders>
              <w:bottom w:val="single" w:sz="12" w:space="0" w:color="000000"/>
            </w:tcBorders>
          </w:tcPr>
          <w:p>
            <w:pPr>
              <w:spacing w:before="40" w:after="40" w:line="240" w:lineRule="auto"/>
            </w:pPr>
            <w:r>
              <w:rPr>
                <w:rFonts w:ascii="Times New Roman" w:hAnsi="Times New Roman" w:eastAsia="Times New Roman"/>
                <w:b w:val="0"/>
                <w:i w:val="0"/>
                <w:sz w:val="16"/>
              </w:rPr>
              <w:t>BioBank Japan</w:t>
            </w:r>
          </w:p>
        </w:tc>
        <w:tc>
          <w:tcPr>
            <w:tcW w:type="dxa" w:w="1478"/>
            <w:tcBorders>
              <w:bottom w:val="single" w:sz="12" w:space="0" w:color="000000"/>
            </w:tcBorders>
          </w:tcPr>
          <w:p>
            <w:pPr>
              <w:spacing w:before="40" w:after="40" w:line="240" w:lineRule="auto"/>
            </w:pPr>
            <w:r>
              <w:rPr>
                <w:rFonts w:ascii="Times New Roman" w:hAnsi="Times New Roman" w:eastAsia="Times New Roman"/>
                <w:b w:val="0"/>
                <w:i w:val="0"/>
                <w:sz w:val="16"/>
              </w:rPr>
              <w:t>—</w:t>
            </w:r>
          </w:p>
        </w:tc>
        <w:tc>
          <w:tcPr>
            <w:tcW w:type="dxa" w:w="1117"/>
            <w:tcBorders>
              <w:bottom w:val="single" w:sz="12" w:space="0" w:color="000000"/>
            </w:tcBorders>
          </w:tcPr>
          <w:p>
            <w:pPr>
              <w:spacing w:before="40" w:after="40" w:line="240" w:lineRule="auto"/>
            </w:pPr>
            <w:r>
              <w:rPr>
                <w:rFonts w:ascii="Times New Roman" w:hAnsi="Times New Roman" w:eastAsia="Times New Roman"/>
                <w:b w:val="0"/>
                <w:i w:val="0"/>
                <w:sz w:val="16"/>
              </w:rPr>
              <w:t>East Asian</w:t>
            </w:r>
          </w:p>
        </w:tc>
      </w:tr>
    </w:tbl>
    <w:p>
      <w:pPr>
        <w:spacing w:before="0" w:after="0" w:line="160" w:lineRule="exact"/>
      </w:pPr>
    </w:p>
    <w:p>
      <w:pPr>
        <w:spacing w:before="0" w:after="120" w:line="480" w:lineRule="auto"/>
      </w:pPr>
      <w:r>
        <w:rPr>
          <w:rFonts w:ascii="Times New Roman" w:hAnsi="Times New Roman" w:eastAsia="Times New Roman"/>
          <w:b w:val="0"/>
          <w:i w:val="0"/>
        </w:rPr>
        <w:t>All summary statistics were harmonized on build GRCh37. The 36 AD-relevant candidate pQTLs screened in Gate G5 derive from the INTERVAL panel above (25 evaluable after instrument quality filtering).</w:t>
      </w:r>
    </w:p>
    <w:p>
      <w:pPr>
        <w:keepNext/>
        <w:spacing w:before="280" w:after="120" w:line="240" w:lineRule="auto"/>
      </w:pPr>
      <w:r>
        <w:rPr>
          <w:rFonts w:ascii="Times New Roman" w:hAnsi="Times New Roman" w:eastAsia="Times New Roman"/>
          <w:b/>
          <w:i w:val="0"/>
        </w:rPr>
        <w:t>Table 4.</w:t>
      </w:r>
      <w:r>
        <w:rPr>
          <w:rFonts w:ascii="Times New Roman" w:hAnsi="Times New Roman" w:eastAsia="Times New Roman"/>
          <w:b w:val="0"/>
          <w:i w:val="0"/>
        </w:rPr>
        <w:t xml:space="preserve"> Step-by-step execution protocol with estimated timings and pause points. See "Step-by-step execution protocol" section for detailed procedures.</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1805"/>
        <w:gridCol w:w="1805"/>
        <w:gridCol w:w="1805"/>
        <w:gridCol w:w="1805"/>
        <w:gridCol w:w="1805"/>
      </w:tblGrid>
      <w:tr>
        <w:trPr>
          <w:cantSplit w:val="true"/>
          <w:tblHeader w:val="true"/>
        </w:trPr>
        <w:tc>
          <w:tcPr>
            <w:tcW w:type="dxa" w:w="539"/>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Step</w:t>
            </w:r>
          </w:p>
        </w:tc>
        <w:tc>
          <w:tcPr>
            <w:tcW w:type="dxa" w:w="127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Gate / stage</w:t>
            </w:r>
          </w:p>
        </w:tc>
        <w:tc>
          <w:tcPr>
            <w:tcW w:type="dxa" w:w="4876"/>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Procedure</w:t>
            </w:r>
          </w:p>
        </w:tc>
        <w:tc>
          <w:tcPr>
            <w:tcW w:type="dxa" w:w="124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Estimated time</w:t>
            </w:r>
          </w:p>
        </w:tc>
        <w:tc>
          <w:tcPr>
            <w:tcW w:type="dxa" w:w="1077"/>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6"/>
              </w:rPr>
              <w:t>Pause point</w:t>
            </w:r>
          </w:p>
        </w:tc>
      </w:tr>
      <w:tr>
        <w:trPr>
          <w:cantSplit w:val="true"/>
        </w:trPr>
        <w:tc>
          <w:tcPr>
            <w:tcW w:type="dxa" w:w="539"/>
          </w:tcPr>
          <w:p>
            <w:pPr>
              <w:spacing w:before="40" w:after="40" w:line="240" w:lineRule="auto"/>
            </w:pPr>
            <w:r>
              <w:rPr>
                <w:rFonts w:ascii="Times New Roman" w:hAnsi="Times New Roman" w:eastAsia="Times New Roman"/>
                <w:b w:val="0"/>
                <w:i w:val="0"/>
                <w:sz w:val="16"/>
              </w:rPr>
              <w:t>1</w:t>
            </w:r>
          </w:p>
        </w:tc>
        <w:tc>
          <w:tcPr>
            <w:tcW w:type="dxa" w:w="1276"/>
          </w:tcPr>
          <w:p>
            <w:pPr>
              <w:spacing w:before="40" w:after="40" w:line="240" w:lineRule="auto"/>
            </w:pPr>
            <w:r>
              <w:rPr>
                <w:rFonts w:ascii="Times New Roman" w:hAnsi="Times New Roman" w:eastAsia="Times New Roman"/>
                <w:b w:val="0"/>
                <w:i w:val="0"/>
                <w:sz w:val="16"/>
              </w:rPr>
              <w:t>Harmonization</w:t>
            </w:r>
          </w:p>
        </w:tc>
        <w:tc>
          <w:tcPr>
            <w:tcW w:type="dxa" w:w="4876"/>
          </w:tcPr>
          <w:p>
            <w:pPr>
              <w:spacing w:before="40" w:after="40" w:line="240" w:lineRule="auto"/>
            </w:pPr>
            <w:r>
              <w:rPr>
                <w:rFonts w:ascii="Times New Roman" w:hAnsi="Times New Roman" w:eastAsia="Times New Roman"/>
                <w:b w:val="0"/>
                <w:i w:val="0"/>
                <w:sz w:val="16"/>
              </w:rPr>
              <w:t xml:space="preserve">Extract instruments at </w:t>
            </w:r>
            <w:r>
              <w:rPr>
                <w:rFonts w:ascii="Times New Roman" w:hAnsi="Times New Roman" w:eastAsia="Times New Roman"/>
                <w:b w:val="0"/>
                <w:i/>
                <w:sz w:val="16"/>
              </w:rPr>
              <w:t>P</w:t>
            </w:r>
            <w:r>
              <w:rPr>
                <w:rFonts w:ascii="Times New Roman" w:hAnsi="Times New Roman" w:eastAsia="Times New Roman"/>
                <w:b w:val="0"/>
                <w:i w:val="0"/>
                <w:sz w:val="16"/>
              </w:rPr>
              <w:t xml:space="preserve"> &lt; 5 × 10</w:t>
            </w:r>
            <w:r>
              <w:rPr>
                <w:rFonts w:ascii="Times New Roman" w:hAnsi="Times New Roman" w:eastAsia="Times New Roman"/>
                <w:b w:val="0"/>
                <w:i w:val="0"/>
                <w:sz w:val="16"/>
                <w:vertAlign w:val="superscript"/>
              </w:rPr>
              <w:t>-8</w:t>
            </w:r>
            <w:r>
              <w:rPr>
                <w:rFonts w:ascii="Times New Roman" w:hAnsi="Times New Roman" w:eastAsia="Times New Roman"/>
                <w:b w:val="0"/>
                <w:i w:val="0"/>
                <w:sz w:val="16"/>
              </w:rPr>
              <w:t>; harmonize alleles and strand orientation against the LD reference; align exposure and outcome summary statistics.</w:t>
            </w:r>
          </w:p>
        </w:tc>
        <w:tc>
          <w:tcPr>
            <w:tcW w:type="dxa" w:w="1247"/>
          </w:tcPr>
          <w:p>
            <w:pPr>
              <w:spacing w:before="40" w:after="40" w:line="240" w:lineRule="auto"/>
            </w:pPr>
            <w:r>
              <w:rPr>
                <w:rFonts w:ascii="Times New Roman" w:hAnsi="Times New Roman" w:eastAsia="Times New Roman"/>
                <w:b w:val="0"/>
                <w:i w:val="0"/>
                <w:sz w:val="16"/>
              </w:rPr>
              <w:t>≈ 1.5 h</w:t>
            </w:r>
          </w:p>
        </w:tc>
        <w:tc>
          <w:tcPr>
            <w:tcW w:type="dxa" w:w="1077"/>
          </w:tcPr>
          <w:p>
            <w:pPr>
              <w:spacing w:before="40" w:after="40" w:line="240" w:lineRule="auto"/>
            </w:pPr>
            <w:r>
              <w:rPr>
                <w:rFonts w:ascii="Times New Roman" w:hAnsi="Times New Roman" w:eastAsia="Times New Roman"/>
                <w:b w:val="0"/>
                <w:i w:val="0"/>
                <w:sz w:val="16"/>
              </w:rPr>
              <w:t>Pause point 1</w:t>
            </w:r>
          </w:p>
        </w:tc>
      </w:tr>
      <w:tr>
        <w:trPr>
          <w:cantSplit w:val="true"/>
        </w:trPr>
        <w:tc>
          <w:tcPr>
            <w:tcW w:type="dxa" w:w="539"/>
          </w:tcPr>
          <w:p>
            <w:pPr>
              <w:spacing w:before="40" w:after="40" w:line="240" w:lineRule="auto"/>
            </w:pPr>
            <w:r>
              <w:rPr>
                <w:rFonts w:ascii="Times New Roman" w:hAnsi="Times New Roman" w:eastAsia="Times New Roman"/>
                <w:b w:val="0"/>
                <w:i w:val="0"/>
                <w:sz w:val="16"/>
              </w:rPr>
              <w:t>2</w:t>
            </w:r>
          </w:p>
        </w:tc>
        <w:tc>
          <w:tcPr>
            <w:tcW w:type="dxa" w:w="1276"/>
          </w:tcPr>
          <w:p>
            <w:pPr>
              <w:spacing w:before="40" w:after="40" w:line="240" w:lineRule="auto"/>
            </w:pPr>
            <w:r>
              <w:rPr>
                <w:rFonts w:ascii="Times New Roman" w:hAnsi="Times New Roman" w:eastAsia="Times New Roman"/>
                <w:b w:val="0"/>
                <w:i w:val="0"/>
                <w:sz w:val="16"/>
              </w:rPr>
              <w:t>Gate G1</w:t>
            </w:r>
          </w:p>
        </w:tc>
        <w:tc>
          <w:tcPr>
            <w:tcW w:type="dxa" w:w="4876"/>
          </w:tcPr>
          <w:p>
            <w:pPr>
              <w:spacing w:before="40" w:after="40" w:line="240" w:lineRule="auto"/>
            </w:pPr>
            <w:r>
              <w:rPr>
                <w:rFonts w:ascii="Times New Roman" w:hAnsi="Times New Roman" w:eastAsia="Times New Roman"/>
                <w:b w:val="0"/>
                <w:i w:val="0"/>
                <w:sz w:val="16"/>
              </w:rPr>
              <w:t>Run unclumped IVW using the full instrument set.</w:t>
            </w:r>
          </w:p>
        </w:tc>
        <w:tc>
          <w:tcPr>
            <w:tcW w:type="dxa" w:w="1247"/>
          </w:tcPr>
          <w:p>
            <w:pPr>
              <w:spacing w:before="40" w:after="40" w:line="240" w:lineRule="auto"/>
            </w:pPr>
            <w:r>
              <w:rPr>
                <w:rFonts w:ascii="Times New Roman" w:hAnsi="Times New Roman" w:eastAsia="Times New Roman"/>
                <w:b w:val="0"/>
                <w:i w:val="0"/>
                <w:sz w:val="16"/>
              </w:rPr>
              <w:t>15–30 min</w:t>
            </w:r>
          </w:p>
        </w:tc>
        <w:tc>
          <w:tcPr>
            <w:tcW w:type="dxa" w:w="1077"/>
          </w:tcPr>
          <w:p>
            <w:pPr>
              <w:spacing w:before="40" w:after="40" w:line="240" w:lineRule="auto"/>
            </w:pPr>
            <w:r>
              <w:rPr>
                <w:rFonts w:ascii="Times New Roman" w:hAnsi="Times New Roman" w:eastAsia="Times New Roman"/>
                <w:b w:val="0"/>
                <w:i w:val="0"/>
                <w:sz w:val="16"/>
              </w:rPr>
              <w:t>—</w:t>
            </w:r>
          </w:p>
        </w:tc>
      </w:tr>
      <w:tr>
        <w:trPr>
          <w:cantSplit w:val="true"/>
        </w:trPr>
        <w:tc>
          <w:tcPr>
            <w:tcW w:type="dxa" w:w="539"/>
          </w:tcPr>
          <w:p>
            <w:pPr>
              <w:spacing w:before="40" w:after="40" w:line="240" w:lineRule="auto"/>
            </w:pPr>
            <w:r>
              <w:rPr>
                <w:rFonts w:ascii="Times New Roman" w:hAnsi="Times New Roman" w:eastAsia="Times New Roman"/>
                <w:b w:val="0"/>
                <w:i w:val="0"/>
                <w:sz w:val="16"/>
              </w:rPr>
              <w:t>3</w:t>
            </w:r>
          </w:p>
        </w:tc>
        <w:tc>
          <w:tcPr>
            <w:tcW w:type="dxa" w:w="1276"/>
          </w:tcPr>
          <w:p>
            <w:pPr>
              <w:spacing w:before="40" w:after="40" w:line="240" w:lineRule="auto"/>
            </w:pPr>
            <w:r>
              <w:rPr>
                <w:rFonts w:ascii="Times New Roman" w:hAnsi="Times New Roman" w:eastAsia="Times New Roman"/>
                <w:b w:val="0"/>
                <w:i w:val="0"/>
                <w:sz w:val="16"/>
              </w:rPr>
              <w:t>Gate G2</w:t>
            </w:r>
          </w:p>
        </w:tc>
        <w:tc>
          <w:tcPr>
            <w:tcW w:type="dxa" w:w="4876"/>
          </w:tcPr>
          <w:p>
            <w:pPr>
              <w:spacing w:before="40" w:after="40" w:line="240" w:lineRule="auto"/>
            </w:pPr>
            <w:r>
              <w:rPr>
                <w:rFonts w:ascii="Times New Roman" w:hAnsi="Times New Roman" w:eastAsia="Times New Roman"/>
                <w:b w:val="0"/>
                <w:i w:val="0"/>
                <w:sz w:val="16"/>
              </w:rPr>
              <w:t xml:space="preserve">Perform LD clumping at </w:t>
            </w:r>
            <w:r>
              <w:rPr>
                <w:rFonts w:ascii="Times New Roman" w:hAnsi="Times New Roman" w:eastAsia="Times New Roman"/>
                <w:b w:val="0"/>
                <w:i/>
                <w:sz w:val="16"/>
              </w:rPr>
              <w:t>r</w:t>
            </w:r>
            <w:r>
              <w:rPr>
                <w:rFonts w:ascii="Times New Roman" w:hAnsi="Times New Roman" w:eastAsia="Times New Roman"/>
                <w:b w:val="0"/>
                <w:i w:val="0"/>
                <w:sz w:val="16"/>
                <w:vertAlign w:val="superscript"/>
              </w:rPr>
              <w:t>2</w:t>
            </w:r>
            <w:r>
              <w:rPr>
                <w:rFonts w:ascii="Times New Roman" w:hAnsi="Times New Roman" w:eastAsia="Times New Roman"/>
                <w:b w:val="0"/>
                <w:i w:val="0"/>
                <w:sz w:val="16"/>
              </w:rPr>
              <w:t xml:space="preserve"> &lt; 0.1</w:t>
            </w:r>
            <w:r>
              <w:rPr>
                <w:rFonts w:ascii="Times New Roman" w:hAnsi="Times New Roman" w:eastAsia="Times New Roman"/>
                <w:b w:val="0"/>
                <w:i w:val="0"/>
                <w:sz w:val="16"/>
              </w:rPr>
              <w:t xml:space="preserve"> within </w:t>
            </w:r>
            <w:r>
              <w:rPr>
                <w:rFonts w:ascii="Times New Roman" w:hAnsi="Times New Roman" w:eastAsia="Times New Roman"/>
                <w:b w:val="0"/>
                <w:i w:val="0"/>
                <w:sz w:val="16"/>
              </w:rPr>
              <w:t>10,000 kb</w:t>
            </w:r>
            <w:r>
              <w:rPr>
                <w:rFonts w:ascii="Times New Roman" w:hAnsi="Times New Roman" w:eastAsia="Times New Roman"/>
                <w:b w:val="0"/>
                <w:i w:val="0"/>
                <w:sz w:val="16"/>
              </w:rPr>
              <w:t xml:space="preserve">, and repeat at the stricter </w:t>
            </w:r>
            <w:r>
              <w:rPr>
                <w:rFonts w:ascii="Times New Roman" w:hAnsi="Times New Roman" w:eastAsia="Times New Roman"/>
                <w:b w:val="0"/>
                <w:i/>
                <w:sz w:val="16"/>
              </w:rPr>
              <w:t>r</w:t>
            </w:r>
            <w:r>
              <w:rPr>
                <w:rFonts w:ascii="Times New Roman" w:hAnsi="Times New Roman" w:eastAsia="Times New Roman"/>
                <w:b w:val="0"/>
                <w:i w:val="0"/>
                <w:sz w:val="16"/>
                <w:vertAlign w:val="superscript"/>
              </w:rPr>
              <w:t>2</w:t>
            </w:r>
            <w:r>
              <w:rPr>
                <w:rFonts w:ascii="Times New Roman" w:hAnsi="Times New Roman" w:eastAsia="Times New Roman"/>
                <w:b w:val="0"/>
                <w:i w:val="0"/>
                <w:sz w:val="16"/>
              </w:rPr>
              <w:t xml:space="preserve"> &lt; 0.001</w:t>
            </w:r>
            <w:r>
              <w:rPr>
                <w:rFonts w:ascii="Times New Roman" w:hAnsi="Times New Roman" w:eastAsia="Times New Roman"/>
                <w:b w:val="0"/>
                <w:i w:val="0"/>
                <w:sz w:val="16"/>
              </w:rPr>
              <w:t xml:space="preserve"> tier; re-estimate IVW on clumped instruments; run MR-Egger and Cochran </w:t>
            </w:r>
            <w:r>
              <w:rPr>
                <w:rFonts w:ascii="Times New Roman" w:hAnsi="Times New Roman" w:eastAsia="Times New Roman"/>
                <w:b w:val="0"/>
                <w:i/>
                <w:sz w:val="16"/>
              </w:rPr>
              <w:t>Q</w:t>
            </w:r>
            <w:r>
              <w:rPr>
                <w:rFonts w:ascii="Times New Roman" w:hAnsi="Times New Roman" w:eastAsia="Times New Roman"/>
                <w:b w:val="0"/>
                <w:i w:val="0"/>
                <w:sz w:val="16"/>
              </w:rPr>
              <w:t xml:space="preserve"> tests; calculate MRlap corrections using the cross-trait LDSC intercept; fit CAUSE models.</w:t>
            </w:r>
          </w:p>
        </w:tc>
        <w:tc>
          <w:tcPr>
            <w:tcW w:type="dxa" w:w="1247"/>
          </w:tcPr>
          <w:p>
            <w:pPr>
              <w:spacing w:before="40" w:after="40" w:line="240" w:lineRule="auto"/>
            </w:pPr>
            <w:r>
              <w:rPr>
                <w:rFonts w:ascii="Times New Roman" w:hAnsi="Times New Roman" w:eastAsia="Times New Roman"/>
                <w:b w:val="0"/>
                <w:i w:val="0"/>
                <w:sz w:val="16"/>
              </w:rPr>
              <w:t>2–4 h</w:t>
            </w:r>
            <w:r>
              <w:rPr>
                <w:rFonts w:ascii="Times New Roman" w:hAnsi="Times New Roman" w:eastAsia="Times New Roman"/>
                <w:b w:val="0"/>
                <w:i w:val="0"/>
                <w:sz w:val="16"/>
              </w:rPr>
              <w:t>, includes CAUSE MCMC fitting</w:t>
            </w:r>
          </w:p>
        </w:tc>
        <w:tc>
          <w:tcPr>
            <w:tcW w:type="dxa" w:w="1077"/>
          </w:tcPr>
          <w:p>
            <w:pPr>
              <w:spacing w:before="40" w:after="40" w:line="240" w:lineRule="auto"/>
            </w:pPr>
            <w:r>
              <w:rPr>
                <w:rFonts w:ascii="Times New Roman" w:hAnsi="Times New Roman" w:eastAsia="Times New Roman"/>
                <w:b w:val="0"/>
                <w:i w:val="0"/>
                <w:sz w:val="16"/>
              </w:rPr>
              <w:t>Pause point 2</w:t>
            </w:r>
          </w:p>
        </w:tc>
      </w:tr>
      <w:tr>
        <w:trPr>
          <w:cantSplit w:val="true"/>
        </w:trPr>
        <w:tc>
          <w:tcPr>
            <w:tcW w:type="dxa" w:w="539"/>
          </w:tcPr>
          <w:p>
            <w:pPr>
              <w:spacing w:before="40" w:after="40" w:line="240" w:lineRule="auto"/>
            </w:pPr>
            <w:r>
              <w:rPr>
                <w:rFonts w:ascii="Times New Roman" w:hAnsi="Times New Roman" w:eastAsia="Times New Roman"/>
                <w:b w:val="0"/>
                <w:i w:val="0"/>
                <w:sz w:val="16"/>
              </w:rPr>
              <w:t>4</w:t>
            </w:r>
          </w:p>
        </w:tc>
        <w:tc>
          <w:tcPr>
            <w:tcW w:type="dxa" w:w="1276"/>
          </w:tcPr>
          <w:p>
            <w:pPr>
              <w:spacing w:before="40" w:after="40" w:line="240" w:lineRule="auto"/>
            </w:pPr>
            <w:r>
              <w:rPr>
                <w:rFonts w:ascii="Times New Roman" w:hAnsi="Times New Roman" w:eastAsia="Times New Roman"/>
                <w:b w:val="0"/>
                <w:i w:val="0"/>
                <w:sz w:val="16"/>
              </w:rPr>
              <w:t>Gate G3</w:t>
            </w:r>
          </w:p>
        </w:tc>
        <w:tc>
          <w:tcPr>
            <w:tcW w:type="dxa" w:w="4876"/>
          </w:tcPr>
          <w:p>
            <w:pPr>
              <w:spacing w:before="40" w:after="40" w:line="240" w:lineRule="auto"/>
            </w:pPr>
            <w:r>
              <w:rPr>
                <w:rFonts w:ascii="Times New Roman" w:hAnsi="Times New Roman" w:eastAsia="Times New Roman"/>
                <w:b w:val="0"/>
                <w:i w:val="0"/>
                <w:sz w:val="16"/>
              </w:rPr>
              <w:t xml:space="preserve">Munge summary statistics; compute </w:t>
            </w:r>
            <w:r>
              <w:rPr>
                <w:rFonts w:ascii="Times New Roman" w:hAnsi="Times New Roman" w:eastAsia="Times New Roman"/>
                <w:b w:val="0"/>
                <w:i/>
                <w:sz w:val="16"/>
              </w:rPr>
              <w:t>r</w:t>
            </w:r>
            <w:r>
              <w:rPr>
                <w:rFonts w:ascii="Times New Roman" w:hAnsi="Times New Roman" w:eastAsia="Times New Roman"/>
                <w:b w:val="0"/>
                <w:i w:val="0"/>
                <w:sz w:val="16"/>
                <w:vertAlign w:val="subscript"/>
              </w:rPr>
              <w:t>g</w:t>
            </w:r>
            <w:r>
              <w:rPr>
                <w:rFonts w:ascii="Times New Roman" w:hAnsi="Times New Roman" w:eastAsia="Times New Roman"/>
                <w:b w:val="0"/>
                <w:i w:val="0"/>
                <w:sz w:val="16"/>
              </w:rPr>
              <w:t xml:space="preserve"> via LDSC; perform per-locus colocalization across independent loci with </w:t>
            </w:r>
            <w:r>
              <w:rPr>
                <w:rFonts w:ascii="Times New Roman" w:hAnsi="Times New Roman" w:eastAsia="Times New Roman"/>
                <w:b w:val="0"/>
                <w:i/>
                <w:sz w:val="16"/>
              </w:rPr>
              <w:t>PP</w:t>
            </w:r>
            <w:r>
              <w:rPr>
                <w:rFonts w:ascii="Times New Roman" w:hAnsi="Times New Roman" w:eastAsia="Times New Roman"/>
                <w:b w:val="0"/>
                <w:i w:val="0"/>
                <w:sz w:val="16"/>
              </w:rPr>
              <w:t>.</w:t>
            </w:r>
            <w:r>
              <w:rPr>
                <w:rFonts w:ascii="Times New Roman" w:hAnsi="Times New Roman" w:eastAsia="Times New Roman"/>
                <w:b w:val="0"/>
                <w:i/>
                <w:sz w:val="16"/>
              </w:rPr>
              <w:t>H</w:t>
            </w:r>
            <w:r>
              <w:rPr>
                <w:rFonts w:ascii="Times New Roman" w:hAnsi="Times New Roman" w:eastAsia="Times New Roman"/>
                <w:b w:val="0"/>
                <w:i w:val="0"/>
                <w:sz w:val="16"/>
              </w:rPr>
              <w:t>4 ≥ 0.80</w:t>
            </w:r>
            <w:r>
              <w:rPr>
                <w:rFonts w:ascii="Times New Roman" w:hAnsi="Times New Roman" w:eastAsia="Times New Roman"/>
                <w:b w:val="0"/>
                <w:i w:val="0"/>
                <w:sz w:val="16"/>
              </w:rPr>
              <w:t>.</w:t>
            </w:r>
          </w:p>
        </w:tc>
        <w:tc>
          <w:tcPr>
            <w:tcW w:type="dxa" w:w="1247"/>
          </w:tcPr>
          <w:p>
            <w:pPr>
              <w:spacing w:before="40" w:after="40" w:line="240" w:lineRule="auto"/>
            </w:pPr>
            <w:r>
              <w:rPr>
                <w:rFonts w:ascii="Times New Roman" w:hAnsi="Times New Roman" w:eastAsia="Times New Roman"/>
                <w:b w:val="0"/>
                <w:i w:val="0"/>
                <w:sz w:val="16"/>
              </w:rPr>
              <w:t>1–2 h</w:t>
            </w:r>
          </w:p>
        </w:tc>
        <w:tc>
          <w:tcPr>
            <w:tcW w:type="dxa" w:w="1077"/>
          </w:tcPr>
          <w:p>
            <w:pPr>
              <w:spacing w:before="40" w:after="40" w:line="240" w:lineRule="auto"/>
            </w:pPr>
            <w:r>
              <w:rPr>
                <w:rFonts w:ascii="Times New Roman" w:hAnsi="Times New Roman" w:eastAsia="Times New Roman"/>
                <w:b w:val="0"/>
                <w:i w:val="0"/>
                <w:sz w:val="16"/>
              </w:rPr>
              <w:t>Pause point 3</w:t>
            </w:r>
          </w:p>
        </w:tc>
      </w:tr>
      <w:tr>
        <w:trPr>
          <w:cantSplit w:val="true"/>
        </w:trPr>
        <w:tc>
          <w:tcPr>
            <w:tcW w:type="dxa" w:w="539"/>
          </w:tcPr>
          <w:p>
            <w:pPr>
              <w:spacing w:before="40" w:after="40" w:line="240" w:lineRule="auto"/>
            </w:pPr>
            <w:r>
              <w:rPr>
                <w:rFonts w:ascii="Times New Roman" w:hAnsi="Times New Roman" w:eastAsia="Times New Roman"/>
                <w:b w:val="0"/>
                <w:i w:val="0"/>
                <w:sz w:val="16"/>
              </w:rPr>
              <w:t>5</w:t>
            </w:r>
          </w:p>
        </w:tc>
        <w:tc>
          <w:tcPr>
            <w:tcW w:type="dxa" w:w="1276"/>
          </w:tcPr>
          <w:p>
            <w:pPr>
              <w:spacing w:before="40" w:after="40" w:line="240" w:lineRule="auto"/>
            </w:pPr>
            <w:r>
              <w:rPr>
                <w:rFonts w:ascii="Times New Roman" w:hAnsi="Times New Roman" w:eastAsia="Times New Roman"/>
                <w:b w:val="0"/>
                <w:i w:val="0"/>
                <w:sz w:val="16"/>
              </w:rPr>
              <w:t>Gate G4</w:t>
            </w:r>
          </w:p>
        </w:tc>
        <w:tc>
          <w:tcPr>
            <w:tcW w:type="dxa" w:w="4876"/>
          </w:tcPr>
          <w:p>
            <w:pPr>
              <w:spacing w:before="40" w:after="40" w:line="240" w:lineRule="auto"/>
            </w:pPr>
            <w:r>
              <w:rPr>
                <w:rFonts w:ascii="Times New Roman" w:hAnsi="Times New Roman" w:eastAsia="Times New Roman"/>
                <w:b w:val="0"/>
                <w:i w:val="0"/>
                <w:sz w:val="16"/>
              </w:rPr>
              <w:t xml:space="preserve">Fit multivariable MR models including specified confounders; calculate conditional </w:t>
            </w:r>
            <w:r>
              <w:rPr>
                <w:rFonts w:ascii="Times New Roman" w:hAnsi="Times New Roman" w:eastAsia="Times New Roman"/>
                <w:b w:val="0"/>
                <w:i/>
                <w:sz w:val="16"/>
              </w:rPr>
              <w:t>F</w:t>
            </w:r>
            <w:r>
              <w:rPr>
                <w:rFonts w:ascii="Times New Roman" w:hAnsi="Times New Roman" w:eastAsia="Times New Roman"/>
                <w:b w:val="0"/>
                <w:i w:val="0"/>
                <w:sz w:val="16"/>
              </w:rPr>
              <w:t>-statistics.</w:t>
            </w:r>
          </w:p>
        </w:tc>
        <w:tc>
          <w:tcPr>
            <w:tcW w:type="dxa" w:w="1247"/>
          </w:tcPr>
          <w:p>
            <w:pPr>
              <w:spacing w:before="40" w:after="40" w:line="240" w:lineRule="auto"/>
            </w:pPr>
            <w:r>
              <w:rPr>
                <w:rFonts w:ascii="Times New Roman" w:hAnsi="Times New Roman" w:eastAsia="Times New Roman"/>
                <w:b w:val="0"/>
                <w:i w:val="0"/>
                <w:sz w:val="16"/>
              </w:rPr>
              <w:t>30–45 min</w:t>
            </w:r>
          </w:p>
        </w:tc>
        <w:tc>
          <w:tcPr>
            <w:tcW w:type="dxa" w:w="1077"/>
          </w:tcPr>
          <w:p>
            <w:pPr>
              <w:spacing w:before="40" w:after="40" w:line="240" w:lineRule="auto"/>
            </w:pPr>
            <w:r>
              <w:rPr>
                <w:rFonts w:ascii="Times New Roman" w:hAnsi="Times New Roman" w:eastAsia="Times New Roman"/>
                <w:b w:val="0"/>
                <w:i w:val="0"/>
                <w:sz w:val="16"/>
              </w:rPr>
              <w:t>Pause point 4</w:t>
            </w:r>
          </w:p>
        </w:tc>
      </w:tr>
      <w:tr>
        <w:trPr>
          <w:cantSplit w:val="true"/>
        </w:trPr>
        <w:tc>
          <w:tcPr>
            <w:tcW w:type="dxa" w:w="539"/>
          </w:tcPr>
          <w:p>
            <w:pPr>
              <w:spacing w:before="40" w:after="40" w:line="240" w:lineRule="auto"/>
            </w:pPr>
            <w:r>
              <w:rPr>
                <w:rFonts w:ascii="Times New Roman" w:hAnsi="Times New Roman" w:eastAsia="Times New Roman"/>
                <w:b w:val="0"/>
                <w:i w:val="0"/>
                <w:sz w:val="16"/>
              </w:rPr>
              <w:t>6</w:t>
            </w:r>
          </w:p>
        </w:tc>
        <w:tc>
          <w:tcPr>
            <w:tcW w:type="dxa" w:w="1276"/>
          </w:tcPr>
          <w:p>
            <w:pPr>
              <w:spacing w:before="40" w:after="40" w:line="240" w:lineRule="auto"/>
            </w:pPr>
            <w:r>
              <w:rPr>
                <w:rFonts w:ascii="Times New Roman" w:hAnsi="Times New Roman" w:eastAsia="Times New Roman"/>
                <w:b w:val="0"/>
                <w:i w:val="0"/>
                <w:sz w:val="16"/>
              </w:rPr>
              <w:t>Gate G5</w:t>
            </w:r>
          </w:p>
        </w:tc>
        <w:tc>
          <w:tcPr>
            <w:tcW w:type="dxa" w:w="4876"/>
          </w:tcPr>
          <w:p>
            <w:pPr>
              <w:spacing w:before="40" w:after="40" w:line="240" w:lineRule="auto"/>
            </w:pPr>
            <w:r>
              <w:rPr>
                <w:rFonts w:ascii="Times New Roman" w:hAnsi="Times New Roman" w:eastAsia="Times New Roman"/>
                <w:b w:val="0"/>
                <w:i w:val="0"/>
                <w:sz w:val="16"/>
              </w:rPr>
              <w:t xml:space="preserve">Execute two-step MR across the mediator panel; apply Benjamini–Hochberg FDR adjustments; derive </w:t>
            </w:r>
            <w:r>
              <w:rPr>
                <w:rFonts w:ascii="Times New Roman" w:hAnsi="Times New Roman" w:eastAsia="Times New Roman"/>
                <w:b w:val="0"/>
                <w:i w:val="0"/>
                <w:sz w:val="16"/>
              </w:rPr>
              <w:t>10,000</w:t>
            </w:r>
            <w:r>
              <w:rPr>
                <w:rFonts w:ascii="Times New Roman" w:hAnsi="Times New Roman" w:eastAsia="Times New Roman"/>
                <w:b w:val="0"/>
                <w:i w:val="0"/>
                <w:sz w:val="16"/>
              </w:rPr>
              <w:t>-replicate bootstrap confidence intervals for indirect effects.</w:t>
            </w:r>
          </w:p>
        </w:tc>
        <w:tc>
          <w:tcPr>
            <w:tcW w:type="dxa" w:w="1247"/>
          </w:tcPr>
          <w:p>
            <w:pPr>
              <w:spacing w:before="40" w:after="40" w:line="240" w:lineRule="auto"/>
            </w:pPr>
            <w:r>
              <w:rPr>
                <w:rFonts w:ascii="Times New Roman" w:hAnsi="Times New Roman" w:eastAsia="Times New Roman"/>
                <w:b w:val="0"/>
                <w:i w:val="0"/>
                <w:sz w:val="16"/>
              </w:rPr>
              <w:t>3–6 h</w:t>
            </w:r>
            <w:r>
              <w:rPr>
                <w:rFonts w:ascii="Times New Roman" w:hAnsi="Times New Roman" w:eastAsia="Times New Roman"/>
                <w:b w:val="0"/>
                <w:i w:val="0"/>
                <w:sz w:val="16"/>
              </w:rPr>
              <w:t>, includes bootstrap</w:t>
            </w:r>
          </w:p>
        </w:tc>
        <w:tc>
          <w:tcPr>
            <w:tcW w:type="dxa" w:w="1077"/>
          </w:tcPr>
          <w:p>
            <w:pPr>
              <w:spacing w:before="40" w:after="40" w:line="240" w:lineRule="auto"/>
            </w:pPr>
            <w:r>
              <w:rPr>
                <w:rFonts w:ascii="Times New Roman" w:hAnsi="Times New Roman" w:eastAsia="Times New Roman"/>
                <w:b w:val="0"/>
                <w:i w:val="0"/>
                <w:sz w:val="16"/>
              </w:rPr>
              <w:t>Pause point 5</w:t>
            </w:r>
          </w:p>
        </w:tc>
      </w:tr>
      <w:tr>
        <w:trPr>
          <w:cantSplit w:val="true"/>
        </w:trPr>
        <w:tc>
          <w:tcPr>
            <w:tcW w:type="dxa" w:w="539"/>
            <w:tcBorders>
              <w:bottom w:val="single" w:sz="12" w:space="0" w:color="000000"/>
            </w:tcBorders>
          </w:tcPr>
          <w:p>
            <w:pPr>
              <w:spacing w:before="40" w:after="40" w:line="240" w:lineRule="auto"/>
            </w:pPr>
            <w:r>
              <w:rPr>
                <w:rFonts w:ascii="Times New Roman" w:hAnsi="Times New Roman" w:eastAsia="Times New Roman"/>
                <w:b w:val="0"/>
                <w:i w:val="0"/>
                <w:sz w:val="16"/>
              </w:rPr>
              <w:t>7</w:t>
            </w:r>
          </w:p>
        </w:tc>
        <w:tc>
          <w:tcPr>
            <w:tcW w:type="dxa" w:w="1276"/>
            <w:tcBorders>
              <w:bottom w:val="single" w:sz="12" w:space="0" w:color="000000"/>
            </w:tcBorders>
          </w:tcPr>
          <w:p>
            <w:pPr>
              <w:spacing w:before="40" w:after="40" w:line="240" w:lineRule="auto"/>
            </w:pPr>
            <w:r>
              <w:rPr>
                <w:rFonts w:ascii="Times New Roman" w:hAnsi="Times New Roman" w:eastAsia="Times New Roman"/>
                <w:b w:val="0"/>
                <w:i w:val="0"/>
                <w:sz w:val="16"/>
              </w:rPr>
              <w:t>Gate G6</w:t>
            </w:r>
          </w:p>
        </w:tc>
        <w:tc>
          <w:tcPr>
            <w:tcW w:type="dxa" w:w="4876"/>
            <w:tcBorders>
              <w:bottom w:val="single" w:sz="12" w:space="0" w:color="000000"/>
            </w:tcBorders>
          </w:tcPr>
          <w:p>
            <w:pPr>
              <w:spacing w:before="40" w:after="40" w:line="240" w:lineRule="auto"/>
            </w:pPr>
            <w:r>
              <w:rPr>
                <w:rFonts w:ascii="Times New Roman" w:hAnsi="Times New Roman" w:eastAsia="Times New Roman"/>
                <w:b w:val="0"/>
                <w:i w:val="0"/>
                <w:sz w:val="16"/>
              </w:rPr>
              <w:t xml:space="preserve">Conduct cross-ancestry replication using ancestry-matched LD clumping; calculate validation-cohort grades. </w:t>
            </w:r>
            <w:r>
              <w:rPr>
                <w:rFonts w:ascii="Times New Roman" w:hAnsi="Times New Roman" w:eastAsia="Times New Roman"/>
                <w:b w:val="0"/>
                <w:i/>
                <w:sz w:val="16"/>
              </w:rPr>
              <w:t>End:</w:t>
            </w:r>
            <w:r>
              <w:rPr>
                <w:rFonts w:ascii="Times New Roman" w:hAnsi="Times New Roman" w:eastAsia="Times New Roman"/>
                <w:b w:val="0"/>
                <w:i w:val="0"/>
                <w:sz w:val="16"/>
              </w:rPr>
              <w:t xml:space="preserve"> sum the </w:t>
            </w:r>
            <w:r>
              <w:rPr>
                <w:rFonts w:ascii="Times New Roman" w:hAnsi="Times New Roman" w:eastAsia="Times New Roman"/>
                <w:b w:val="0"/>
                <w:i w:val="0"/>
                <w:sz w:val="16"/>
              </w:rPr>
              <w:t>0–12</w:t>
            </w:r>
            <w:r>
              <w:rPr>
                <w:rFonts w:ascii="Times New Roman" w:hAnsi="Times New Roman" w:eastAsia="Times New Roman"/>
                <w:b w:val="0"/>
                <w:i w:val="0"/>
                <w:sz w:val="16"/>
              </w:rPr>
              <w:t xml:space="preserve"> score and map the total to grades A–D.</w:t>
            </w:r>
          </w:p>
        </w:tc>
        <w:tc>
          <w:tcPr>
            <w:tcW w:type="dxa" w:w="1247"/>
            <w:tcBorders>
              <w:bottom w:val="single" w:sz="12" w:space="0" w:color="000000"/>
            </w:tcBorders>
          </w:tcPr>
          <w:p>
            <w:pPr>
              <w:spacing w:before="40" w:after="40" w:line="240" w:lineRule="auto"/>
            </w:pPr>
            <w:r>
              <w:rPr>
                <w:rFonts w:ascii="Times New Roman" w:hAnsi="Times New Roman" w:eastAsia="Times New Roman"/>
                <w:b w:val="0"/>
                <w:i w:val="0"/>
                <w:sz w:val="16"/>
              </w:rPr>
              <w:t>1–2 h</w:t>
            </w:r>
          </w:p>
        </w:tc>
        <w:tc>
          <w:tcPr>
            <w:tcW w:type="dxa" w:w="1077"/>
            <w:tcBorders>
              <w:bottom w:val="single" w:sz="12" w:space="0" w:color="000000"/>
            </w:tcBorders>
          </w:tcPr>
          <w:p>
            <w:pPr>
              <w:spacing w:before="40" w:after="40" w:line="240" w:lineRule="auto"/>
            </w:pPr>
            <w:r>
              <w:rPr>
                <w:rFonts w:ascii="Times New Roman" w:hAnsi="Times New Roman" w:eastAsia="Times New Roman"/>
                <w:b w:val="0"/>
                <w:i w:val="0"/>
                <w:sz w:val="16"/>
              </w:rPr>
              <w:t>—</w:t>
            </w:r>
          </w:p>
        </w:tc>
      </w:tr>
    </w:tbl>
    <w:p>
      <w:pPr>
        <w:spacing w:before="0" w:after="0" w:line="160" w:lineRule="exact"/>
      </w:pPr>
    </w:p>
    <w:p>
      <w:pPr>
        <w:keepNext/>
        <w:spacing w:before="280" w:after="120" w:line="240" w:lineRule="auto"/>
      </w:pPr>
      <w:r>
        <w:rPr>
          <w:rFonts w:ascii="Times New Roman" w:hAnsi="Times New Roman" w:eastAsia="Times New Roman"/>
          <w:b/>
          <w:i w:val="0"/>
        </w:rPr>
        <w:t>Table 5.</w:t>
      </w:r>
      <w:r>
        <w:rPr>
          <w:rFonts w:ascii="Times New Roman" w:hAnsi="Times New Roman" w:eastAsia="Times New Roman"/>
          <w:b w:val="0"/>
          <w:i w:val="0"/>
        </w:rPr>
        <w:t xml:space="preserve"> Troubleshooting guide: common pitfalls, causes, and remedies across the six gates.</w:t>
      </w:r>
    </w:p>
    <w:tbl>
      <w:tblPr>
        <w:tblW w:type="dxa" w:w="9015"/>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firstColumn="1" w:firstRow="1" w:lastColumn="0" w:lastRow="0" w:noHBand="0" w:noVBand="1" w:val="04A0"/>
      </w:tblPr>
      <w:tblGrid>
        <w:gridCol w:w="4513"/>
        <w:gridCol w:w="4513"/>
      </w:tblGrid>
      <w:tr>
        <w:trPr>
          <w:cantSplit w:val="true"/>
          <w:tblHeader w:val="true"/>
        </w:trPr>
        <w:tc>
          <w:tcPr>
            <w:tcW w:type="dxa" w:w="4184"/>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8"/>
              </w:rPr>
              <w:t>Issue</w:t>
            </w:r>
          </w:p>
        </w:tc>
        <w:tc>
          <w:tcPr>
            <w:tcW w:type="dxa" w:w="4830"/>
            <w:tcBorders>
              <w:top w:val="single" w:sz="12" w:space="0" w:color="000000"/>
              <w:bottom w:val="single" w:sz="8" w:space="0" w:color="000000"/>
            </w:tcBorders>
          </w:tcPr>
          <w:p>
            <w:pPr>
              <w:spacing w:before="40" w:after="40" w:line="240" w:lineRule="auto"/>
            </w:pPr>
            <w:r>
              <w:rPr>
                <w:rFonts w:ascii="Times New Roman" w:hAnsi="Times New Roman" w:eastAsia="Times New Roman"/>
                <w:b/>
                <w:i w:val="0"/>
                <w:sz w:val="18"/>
              </w:rPr>
              <w:t>Remedy</w:t>
            </w:r>
          </w:p>
        </w:tc>
      </w:tr>
      <w:tr>
        <w:trPr>
          <w:cantSplit w:val="true"/>
        </w:trPr>
        <w:tc>
          <w:tcPr>
            <w:tcW w:type="dxa" w:w="4184"/>
          </w:tcPr>
          <w:p>
            <w:pPr>
              <w:spacing w:before="40" w:after="40" w:line="240" w:lineRule="auto"/>
            </w:pPr>
            <w:r>
              <w:rPr>
                <w:rFonts w:ascii="Times New Roman" w:hAnsi="Times New Roman" w:eastAsia="Times New Roman"/>
                <w:b w:val="0"/>
                <w:i w:val="0"/>
                <w:sz w:val="18"/>
              </w:rPr>
              <w:t>MRlap covariance non-positive-definiteness under substantial sample overlap and weak instruments</w:t>
            </w:r>
          </w:p>
        </w:tc>
        <w:tc>
          <w:tcPr>
            <w:tcW w:type="dxa" w:w="4830"/>
          </w:tcPr>
          <w:p>
            <w:pPr>
              <w:spacing w:before="40" w:after="40" w:line="240" w:lineRule="auto"/>
            </w:pPr>
            <w:r>
              <w:rPr>
                <w:rFonts w:ascii="Times New Roman" w:hAnsi="Times New Roman" w:eastAsia="Times New Roman"/>
                <w:b w:val="0"/>
                <w:i w:val="0"/>
                <w:sz w:val="18"/>
              </w:rPr>
              <w:t xml:space="preserve">Prune variant sets to per-SNP </w:t>
            </w:r>
            <w:r>
              <w:rPr>
                <w:rFonts w:ascii="Times New Roman" w:hAnsi="Times New Roman" w:eastAsia="Times New Roman"/>
                <w:b w:val="0"/>
                <w:i/>
                <w:sz w:val="18"/>
              </w:rPr>
              <w:t>F</w:t>
            </w:r>
            <w:r>
              <w:rPr>
                <w:rFonts w:ascii="Times New Roman" w:hAnsi="Times New Roman" w:eastAsia="Times New Roman"/>
                <w:b w:val="0"/>
                <w:i w:val="0"/>
                <w:sz w:val="18"/>
              </w:rPr>
              <w:t xml:space="preserve"> &gt; 20</w:t>
            </w:r>
            <w:r>
              <w:rPr>
                <w:rFonts w:ascii="Times New Roman" w:hAnsi="Times New Roman" w:eastAsia="Times New Roman"/>
                <w:b w:val="0"/>
                <w:i w:val="0"/>
                <w:sz w:val="18"/>
              </w:rPr>
              <w:t xml:space="preserve"> and inspect the cross-trait LDSC intercept.</w:t>
            </w:r>
          </w:p>
        </w:tc>
      </w:tr>
      <w:tr>
        <w:trPr>
          <w:cantSplit w:val="true"/>
        </w:trPr>
        <w:tc>
          <w:tcPr>
            <w:tcW w:type="dxa" w:w="4184"/>
          </w:tcPr>
          <w:p>
            <w:pPr>
              <w:spacing w:before="40" w:after="40" w:line="240" w:lineRule="auto"/>
            </w:pPr>
            <w:r>
              <w:rPr>
                <w:rFonts w:ascii="Times New Roman" w:hAnsi="Times New Roman" w:eastAsia="Times New Roman"/>
                <w:b w:val="0"/>
                <w:i w:val="0"/>
                <w:sz w:val="18"/>
              </w:rPr>
              <w:t>CAUSE non-convergence with sparse variant panels</w:t>
            </w:r>
          </w:p>
        </w:tc>
        <w:tc>
          <w:tcPr>
            <w:tcW w:type="dxa" w:w="4830"/>
          </w:tcPr>
          <w:p>
            <w:pPr>
              <w:spacing w:before="40" w:after="40" w:line="240" w:lineRule="auto"/>
            </w:pPr>
            <w:r>
              <w:rPr>
                <w:rFonts w:ascii="Times New Roman" w:hAnsi="Times New Roman" w:eastAsia="Times New Roman"/>
                <w:b w:val="0"/>
                <w:i w:val="0"/>
                <w:sz w:val="18"/>
              </w:rPr>
              <w:t xml:space="preserve">Relax pre-pruning thresholds to </w:t>
            </w:r>
            <w:r>
              <w:rPr>
                <w:rFonts w:ascii="Times New Roman" w:hAnsi="Times New Roman" w:eastAsia="Times New Roman"/>
                <w:b w:val="0"/>
                <w:i/>
                <w:sz w:val="18"/>
              </w:rPr>
              <w:t>r</w:t>
            </w:r>
            <w:r>
              <w:rPr>
                <w:rFonts w:ascii="Times New Roman" w:hAnsi="Times New Roman" w:eastAsia="Times New Roman"/>
                <w:b w:val="0"/>
                <w:i w:val="0"/>
                <w:sz w:val="18"/>
                <w:vertAlign w:val="superscript"/>
              </w:rPr>
              <w:t>2</w:t>
            </w:r>
            <w:r>
              <w:rPr>
                <w:rFonts w:ascii="Times New Roman" w:hAnsi="Times New Roman" w:eastAsia="Times New Roman"/>
                <w:b w:val="0"/>
                <w:i w:val="0"/>
                <w:sz w:val="18"/>
              </w:rPr>
              <w:t xml:space="preserve"> &lt; 0.05</w:t>
            </w:r>
            <w:r>
              <w:rPr>
                <w:rFonts w:ascii="Times New Roman" w:hAnsi="Times New Roman" w:eastAsia="Times New Roman"/>
                <w:b w:val="0"/>
                <w:i w:val="0"/>
                <w:sz w:val="18"/>
              </w:rPr>
              <w:t xml:space="preserve"> or extend the MCMC sampling chain.</w:t>
            </w:r>
          </w:p>
        </w:tc>
      </w:tr>
      <w:tr>
        <w:trPr>
          <w:cantSplit w:val="true"/>
        </w:trPr>
        <w:tc>
          <w:tcPr>
            <w:tcW w:type="dxa" w:w="4184"/>
          </w:tcPr>
          <w:p>
            <w:pPr>
              <w:spacing w:before="40" w:after="40" w:line="240" w:lineRule="auto"/>
            </w:pPr>
            <w:r>
              <w:rPr>
                <w:rFonts w:ascii="Times New Roman" w:hAnsi="Times New Roman" w:eastAsia="Times New Roman"/>
                <w:b w:val="0"/>
                <w:i w:val="0"/>
                <w:sz w:val="18"/>
              </w:rPr>
              <w:t>Colocalization power loss from incomplete regional coverage</w:t>
            </w:r>
          </w:p>
        </w:tc>
        <w:tc>
          <w:tcPr>
            <w:tcW w:type="dxa" w:w="4830"/>
          </w:tcPr>
          <w:p>
            <w:pPr>
              <w:spacing w:before="40" w:after="40" w:line="240" w:lineRule="auto"/>
            </w:pPr>
            <w:r>
              <w:rPr>
                <w:rFonts w:ascii="Times New Roman" w:hAnsi="Times New Roman" w:eastAsia="Times New Roman"/>
                <w:b w:val="0"/>
                <w:i w:val="0"/>
                <w:sz w:val="18"/>
              </w:rPr>
              <w:t>Impute regional summary statistics using the 1000 Genomes reference panel.</w:t>
            </w:r>
          </w:p>
        </w:tc>
      </w:tr>
      <w:tr>
        <w:trPr>
          <w:cantSplit w:val="true"/>
        </w:trPr>
        <w:tc>
          <w:tcPr>
            <w:tcW w:type="dxa" w:w="4184"/>
          </w:tcPr>
          <w:p>
            <w:pPr>
              <w:spacing w:before="40" w:after="40" w:line="240" w:lineRule="auto"/>
            </w:pPr>
            <w:r>
              <w:rPr>
                <w:rFonts w:ascii="Times New Roman" w:hAnsi="Times New Roman" w:eastAsia="Times New Roman"/>
                <w:b w:val="0"/>
                <w:i w:val="0"/>
                <w:sz w:val="18"/>
              </w:rPr>
              <w:t xml:space="preserve">Conditional </w:t>
            </w:r>
            <w:r>
              <w:rPr>
                <w:rFonts w:ascii="Times New Roman" w:hAnsi="Times New Roman" w:eastAsia="Times New Roman"/>
                <w:b w:val="0"/>
                <w:i/>
                <w:sz w:val="18"/>
              </w:rPr>
              <w:t>F</w:t>
            </w:r>
            <w:r>
              <w:rPr>
                <w:rFonts w:ascii="Times New Roman" w:hAnsi="Times New Roman" w:eastAsia="Times New Roman"/>
                <w:b w:val="0"/>
                <w:i w:val="0"/>
                <w:sz w:val="18"/>
              </w:rPr>
              <w:t xml:space="preserve">-statistics </w:t>
            </w:r>
            <w:r>
              <w:rPr>
                <w:rFonts w:ascii="Times New Roman" w:hAnsi="Times New Roman" w:eastAsia="Times New Roman"/>
                <w:b w:val="0"/>
                <w:i w:val="0"/>
                <w:sz w:val="18"/>
              </w:rPr>
              <w:t>&lt; 10</w:t>
            </w:r>
            <w:r>
              <w:rPr>
                <w:rFonts w:ascii="Times New Roman" w:hAnsi="Times New Roman" w:eastAsia="Times New Roman"/>
                <w:b w:val="0"/>
                <w:i w:val="0"/>
                <w:sz w:val="18"/>
              </w:rPr>
              <w:t xml:space="preserve"> in MVMR due to collinearity</w:t>
            </w:r>
          </w:p>
        </w:tc>
        <w:tc>
          <w:tcPr>
            <w:tcW w:type="dxa" w:w="4830"/>
          </w:tcPr>
          <w:p>
            <w:pPr>
              <w:spacing w:before="40" w:after="40" w:line="240" w:lineRule="auto"/>
            </w:pPr>
            <w:r>
              <w:rPr>
                <w:rFonts w:ascii="Times New Roman" w:hAnsi="Times New Roman" w:eastAsia="Times New Roman"/>
                <w:b w:val="0"/>
                <w:i w:val="0"/>
                <w:sz w:val="18"/>
              </w:rPr>
              <w:t>Restrict instruments to variants associated exclusively with the targeted exposure.</w:t>
            </w:r>
          </w:p>
        </w:tc>
      </w:tr>
      <w:tr>
        <w:trPr>
          <w:cantSplit w:val="true"/>
        </w:trPr>
        <w:tc>
          <w:tcPr>
            <w:tcW w:type="dxa" w:w="4184"/>
            <w:tcBorders>
              <w:bottom w:val="single" w:sz="12" w:space="0" w:color="000000"/>
            </w:tcBorders>
          </w:tcPr>
          <w:p>
            <w:pPr>
              <w:spacing w:before="40" w:after="40" w:line="240" w:lineRule="auto"/>
            </w:pPr>
            <w:r>
              <w:rPr>
                <w:rFonts w:ascii="Times New Roman" w:hAnsi="Times New Roman" w:eastAsia="Times New Roman"/>
                <w:b w:val="0"/>
                <w:i w:val="0"/>
                <w:sz w:val="18"/>
              </w:rPr>
              <w:t>Cross-ancestry inflation driven by LD mismatch</w:t>
            </w:r>
          </w:p>
        </w:tc>
        <w:tc>
          <w:tcPr>
            <w:tcW w:type="dxa" w:w="4830"/>
            <w:tcBorders>
              <w:bottom w:val="single" w:sz="12" w:space="0" w:color="000000"/>
            </w:tcBorders>
          </w:tcPr>
          <w:p>
            <w:pPr>
              <w:spacing w:before="40" w:after="40" w:line="240" w:lineRule="auto"/>
            </w:pPr>
            <w:r>
              <w:rPr>
                <w:rFonts w:ascii="Times New Roman" w:hAnsi="Times New Roman" w:eastAsia="Times New Roman"/>
                <w:b w:val="0"/>
                <w:i w:val="0"/>
                <w:sz w:val="18"/>
              </w:rPr>
              <w:t>Re-clump summary statistics using an ancestry-matched reference panel.</w:t>
            </w:r>
          </w:p>
        </w:tc>
      </w:tr>
    </w:tbl>
    <w:p>
      <w:pPr>
        <w:spacing w:before="0" w:after="0" w:line="160" w:lineRule="exact"/>
      </w:pPr>
    </w:p>
    <w:p>
      <w:pPr>
        <w:spacing w:before="0" w:after="280" w:line="240" w:lineRule="auto"/>
      </w:pPr>
      <w:r>
        <w:rPr>
          <w:rFonts w:ascii="Times New Roman" w:hAnsi="Times New Roman" w:eastAsia="Times New Roman"/>
          <w:b w:val="0"/>
          <w:i/>
          <w:sz w:val="18"/>
        </w:rPr>
        <w:t>Display items: 5 figures + 5 tables = 10 (within the Frontiers Methods limit of 15).</w:t>
      </w:r>
    </w:p>
    <w:sectPr w:rsidR="00FC693F" w:rsidRPr="0006063C" w:rsidSect="00034616">
      <w:footerReference w:type="default" r:id="rId9"/>
      <w:pgSz w:w="11906" w:h="16838"/>
      <w:pgMar w:top="1440" w:right="1440" w:bottom="1440" w:left="1440" w:header="720" w:footer="720" w:gutter="0"/>
      <w:lnNumType w:countBy="1" w:restart="continuous" w:distance="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six-gate falsification framework for diagnosing locus-driven confounding in Mendelian randomization: architecture, a 43,200-replicate benchmark of its scoring rule, and application to complex traits</dc:title>
  <dc:subject>Mendelian randomization; falsification framework</dc:subject>
  <dc:creator>Qin Liu; Wangyang Ye; Ming Luo</dc:creator>
  <cp:keywords>Alzheimer's disease; APOE; benchmarking; causal inference; falsification framework; locus-driven confounding; Mendelian randomization; operating characteristics</cp:keywords>
  <dc:description>generated by python-docx</dc:description>
  <cp:lastModifiedBy/>
  <cp:revision>1</cp:revision>
  <dcterms:created xsi:type="dcterms:W3CDTF">2013-12-23T23:15:00Z</dcterms:created>
  <dcterms:modified xsi:type="dcterms:W3CDTF">2013-12-23T23:15:00Z</dcterms:modified>
  <cp:category/>
</cp:coreProperties>
</file>