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1A473">
      <w:pPr>
        <w:spacing w:before="360" w:after="120"/>
        <w:jc w:val="center"/>
      </w:pPr>
      <w:r>
        <w:rPr>
          <w:rFonts w:ascii="Times New Roman" w:hAnsi="Times New Roman" w:eastAsia="宋体"/>
          <w:b/>
          <w:i w:val="0"/>
          <w:sz w:val="28"/>
        </w:rPr>
        <w:t>Supplementary</w:t>
      </w:r>
    </w:p>
    <w:p w14:paraId="70805D05">
      <w:r>
        <w:rPr>
          <w:rFonts w:ascii="Times New Roman" w:hAnsi="Times New Roman" w:eastAsia="宋体"/>
          <w:b/>
          <w:i w:val="0"/>
          <w:sz w:val="22"/>
        </w:rPr>
        <w:t>Supplementary Figures</w:t>
      </w:r>
    </w:p>
    <w:p w14:paraId="42156BC7">
      <w:pPr>
        <w:spacing w:after="60"/>
        <w:ind w:left="720" w:hanging="357"/>
        <w:rPr>
          <w:rFonts w:hint="eastAsia" w:ascii="Times New Roman" w:hAnsi="Times New Roman" w:eastAsia="宋体"/>
          <w:b/>
          <w:i w:val="0"/>
          <w:sz w:val="22"/>
          <w:lang w:eastAsia="zh-CN"/>
        </w:rPr>
      </w:pPr>
      <w:r>
        <w:rPr>
          <w:rFonts w:hint="eastAsia" w:ascii="Times New Roman" w:hAnsi="Times New Roman" w:eastAsia="宋体"/>
          <w:b/>
          <w:i w:val="0"/>
          <w:sz w:val="22"/>
          <w:lang w:eastAsia="zh-CN"/>
        </w:rPr>
        <w:drawing>
          <wp:inline distT="0" distB="0" distL="114300" distR="114300">
            <wp:extent cx="5476240" cy="1349375"/>
            <wp:effectExtent l="0" t="0" r="0" b="3175"/>
            <wp:docPr id="7" name="图片 7" descr="SuppFig3A_insomnia_prote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uppFig3A_insomnia_protei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76C4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Figure 3A</w:t>
      </w:r>
      <w:r>
        <w:rPr>
          <w:rFonts w:ascii="Times New Roman" w:hAnsi="Times New Roman" w:eastAsia="宋体"/>
          <w:b w:val="0"/>
          <w:i w:val="0"/>
          <w:sz w:val="22"/>
        </w:rPr>
        <w:t>: insomnia → plasma CRP/IL-6 → AD forest</w:t>
      </w:r>
    </w:p>
    <w:p w14:paraId="53B85796">
      <w:pPr>
        <w:spacing w:after="60"/>
        <w:ind w:left="720" w:hanging="357"/>
        <w:rPr>
          <w:rFonts w:hint="eastAsia" w:ascii="Times New Roman" w:hAnsi="Times New Roman" w:eastAsia="宋体"/>
          <w:b/>
          <w:i w:val="0"/>
          <w:sz w:val="22"/>
          <w:lang w:eastAsia="zh-CN"/>
        </w:rPr>
      </w:pPr>
      <w:r>
        <w:rPr>
          <w:rFonts w:hint="eastAsia" w:ascii="Times New Roman" w:hAnsi="Times New Roman" w:eastAsia="宋体"/>
          <w:b/>
          <w:i w:val="0"/>
          <w:sz w:val="22"/>
          <w:lang w:eastAsia="zh-CN"/>
        </w:rPr>
        <w:drawing>
          <wp:inline distT="0" distB="0" distL="114300" distR="114300">
            <wp:extent cx="5482590" cy="1347470"/>
            <wp:effectExtent l="0" t="0" r="3810" b="5080"/>
            <wp:docPr id="8" name="图片 8" descr="SuppFig3B_education_prote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uppFig3B_education_prote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4E95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Figure 3B</w:t>
      </w:r>
      <w:r>
        <w:rPr>
          <w:rFonts w:ascii="Times New Roman" w:hAnsi="Times New Roman" w:eastAsia="宋体"/>
          <w:b w:val="0"/>
          <w:i w:val="0"/>
          <w:sz w:val="22"/>
        </w:rPr>
        <w:t>: education → CRP/IL-6 → AD (exposure substitution)</w:t>
      </w:r>
    </w:p>
    <w:p w14:paraId="63A85688">
      <w:pPr>
        <w:spacing w:after="60"/>
        <w:ind w:left="720" w:hanging="357"/>
        <w:rPr>
          <w:rFonts w:hint="eastAsia" w:ascii="Times New Roman" w:hAnsi="Times New Roman" w:eastAsia="宋体"/>
          <w:b/>
          <w:i w:val="0"/>
          <w:sz w:val="22"/>
          <w:lang w:eastAsia="zh-CN"/>
        </w:rPr>
      </w:pPr>
      <w:r>
        <w:rPr>
          <w:rFonts w:hint="eastAsia" w:ascii="Times New Roman" w:hAnsi="Times New Roman" w:eastAsia="宋体"/>
          <w:b/>
          <w:i w:val="0"/>
          <w:sz w:val="22"/>
          <w:lang w:eastAsia="zh-CN"/>
        </w:rPr>
        <w:drawing>
          <wp:inline distT="0" distB="0" distL="114300" distR="114300">
            <wp:extent cx="5478780" cy="4109085"/>
            <wp:effectExtent l="0" t="0" r="7620" b="5715"/>
            <wp:docPr id="9" name="图片 9" descr="SuppFig3C_forest_top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uppFig3C_forest_top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3799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Figure 3C</w:t>
      </w:r>
      <w:r>
        <w:rPr>
          <w:rFonts w:ascii="Times New Roman" w:hAnsi="Times New Roman" w:eastAsia="宋体"/>
          <w:b w:val="0"/>
          <w:i w:val="0"/>
          <w:sz w:val="22"/>
        </w:rPr>
        <w:t>: G2b 36-protein screen volcano and top-15 forest</w:t>
      </w:r>
    </w:p>
    <w:p w14:paraId="7B3DE4C5">
      <w:pPr>
        <w:spacing w:after="60"/>
        <w:ind w:left="720" w:hanging="357"/>
        <w:rPr>
          <w:rFonts w:hint="eastAsia" w:ascii="Times New Roman" w:hAnsi="Times New Roman" w:eastAsia="宋体"/>
          <w:b/>
          <w:i w:val="0"/>
          <w:sz w:val="22"/>
          <w:lang w:eastAsia="zh-CN"/>
        </w:rPr>
      </w:pPr>
      <w:r>
        <w:rPr>
          <w:rFonts w:hint="eastAsia" w:ascii="Times New Roman" w:hAnsi="Times New Roman" w:eastAsia="宋体"/>
          <w:b/>
          <w:i w:val="0"/>
          <w:sz w:val="22"/>
          <w:lang w:eastAsia="zh-CN"/>
        </w:rPr>
        <w:drawing>
          <wp:inline distT="0" distB="0" distL="114300" distR="114300">
            <wp:extent cx="5479415" cy="6043930"/>
            <wp:effectExtent l="0" t="0" r="6985" b="13970"/>
            <wp:docPr id="10" name="图片 10" descr="SuppFig4_decision_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uppFig4_decision_tre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678B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Figure 4</w:t>
      </w:r>
      <w:r>
        <w:rPr>
          <w:rFonts w:ascii="Times New Roman" w:hAnsi="Times New Roman" w:eastAsia="宋体"/>
          <w:b w:val="0"/>
          <w:i w:val="0"/>
          <w:sz w:val="22"/>
        </w:rPr>
        <w:t>: Decision-tree flowchart for applying the six-level evidence-grading framework to any polygenic exposure–outcome pair. Encodes the practical algorithm: MR IVW significant → LD-clump robust → CAUSE/MRlap consistent → coloc rg architecture → MVMR direct effect → biological mediation → external validation → assign Grade A/B/C/D.</w:t>
      </w:r>
    </w:p>
    <w:p w14:paraId="07E4564D">
      <w:pPr>
        <w:spacing w:after="60"/>
        <w:ind w:left="720" w:hanging="357"/>
        <w:rPr>
          <w:rFonts w:hint="eastAsia" w:ascii="Times New Roman" w:hAnsi="Times New Roman" w:eastAsia="宋体"/>
          <w:b/>
          <w:i w:val="0"/>
          <w:sz w:val="22"/>
          <w:lang w:eastAsia="zh-CN"/>
        </w:rPr>
      </w:pPr>
      <w:r>
        <w:rPr>
          <w:rFonts w:hint="eastAsia" w:ascii="Times New Roman" w:hAnsi="Times New Roman" w:eastAsia="宋体"/>
          <w:b/>
          <w:i w:val="0"/>
          <w:sz w:val="22"/>
          <w:lang w:eastAsia="zh-CN"/>
        </w:rPr>
        <w:drawing>
          <wp:inline distT="0" distB="0" distL="114300" distR="114300">
            <wp:extent cx="5476875" cy="1683385"/>
            <wp:effectExtent l="0" t="0" r="9525" b="12065"/>
            <wp:docPr id="11" name="图片 11" descr="SuppFig5_simulation_opera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uppFig5_simulation_operat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B005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Figure 5</w:t>
      </w:r>
      <w:r>
        <w:rPr>
          <w:rFonts w:ascii="Times New Roman" w:hAnsi="Times New Roman" w:eastAsia="宋体"/>
          <w:b w:val="0"/>
          <w:i w:val="0"/>
          <w:sz w:val="22"/>
        </w:rPr>
        <w:t>: Simulation operating characteristics. Panel A: sensitivity vs effect size, by pleiotropy regime. Panel B: specificity and FDR by pleiotropy. Panel C: grade assignment distribution across null / weak / moderate effect × pleiotropy conditions.</w:t>
      </w:r>
    </w:p>
    <w:p w14:paraId="2086DB6A">
      <w:pPr>
        <w:rPr>
          <w:rFonts w:ascii="Times New Roman" w:hAnsi="Times New Roman" w:eastAsia="宋体"/>
          <w:b/>
          <w:i w:val="0"/>
          <w:sz w:val="22"/>
        </w:rPr>
      </w:pPr>
    </w:p>
    <w:p w14:paraId="4EAF717A">
      <w:r>
        <w:rPr>
          <w:rFonts w:ascii="Times New Roman" w:hAnsi="Times New Roman" w:eastAsia="宋体"/>
          <w:b/>
          <w:i w:val="0"/>
          <w:sz w:val="22"/>
        </w:rPr>
        <w:t>Supplementary Tables</w:t>
      </w:r>
    </w:p>
    <w:p w14:paraId="171ED705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Table S1</w:t>
      </w:r>
      <w:r>
        <w:rPr>
          <w:rFonts w:ascii="Times New Roman" w:hAnsi="Times New Roman" w:eastAsia="宋体"/>
          <w:b w:val="0"/>
          <w:i w:val="0"/>
          <w:sz w:val="22"/>
        </w:rPr>
        <w:t>: Complete colocalization results (129 loci)</w:t>
      </w:r>
    </w:p>
    <w:p w14:paraId="39CD9E63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Table S2</w:t>
      </w:r>
      <w:r>
        <w:rPr>
          <w:rFonts w:ascii="Times New Roman" w:hAnsi="Times New Roman" w:eastAsia="宋体"/>
          <w:b w:val="0"/>
          <w:i w:val="0"/>
          <w:sz w:val="22"/>
        </w:rPr>
        <w:t>: Instrument sensitivity (unclumped vs. clumped, 4 methods)</w:t>
      </w:r>
    </w:p>
    <w:p w14:paraId="366575CA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Table S3</w:t>
      </w:r>
      <w:r>
        <w:rPr>
          <w:rFonts w:ascii="Times New Roman" w:hAnsi="Times New Roman" w:eastAsia="宋体"/>
          <w:b w:val="0"/>
          <w:i w:val="0"/>
          <w:sz w:val="22"/>
        </w:rPr>
        <w:t>: Complete MVMR/UVMR results matrix (27 rows)</w:t>
      </w:r>
    </w:p>
    <w:p w14:paraId="1B01909D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Table S4</w:t>
      </w:r>
      <w:r>
        <w:rPr>
          <w:rFonts w:ascii="Times New Roman" w:hAnsi="Times New Roman" w:eastAsia="宋体"/>
          <w:b w:val="0"/>
          <w:i w:val="0"/>
          <w:sz w:val="22"/>
        </w:rPr>
        <w:t>: Educational attainment PheWAS (4 outcomes × 4 methods)</w:t>
      </w:r>
    </w:p>
    <w:p w14:paraId="1F9FD00F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Table S5</w:t>
      </w:r>
      <w:r>
        <w:rPr>
          <w:rFonts w:ascii="Times New Roman" w:hAnsi="Times New Roman" w:eastAsia="宋体"/>
          <w:b w:val="0"/>
          <w:i w:val="0"/>
          <w:sz w:val="22"/>
        </w:rPr>
        <w:t>: STROBE-MR checklist</w:t>
      </w:r>
      <w:bookmarkStart w:id="0" w:name="_GoBack"/>
      <w:bookmarkEnd w:id="0"/>
    </w:p>
    <w:p w14:paraId="2BBAE097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Table S</w:t>
      </w:r>
      <w:r>
        <w:rPr>
          <w:rFonts w:hint="eastAsia" w:eastAsia="宋体"/>
          <w:b/>
          <w:i w:val="0"/>
          <w:sz w:val="22"/>
          <w:lang w:val="en-US" w:eastAsia="zh-CN"/>
        </w:rPr>
        <w:t>6</w:t>
      </w:r>
      <w:r>
        <w:rPr>
          <w:rFonts w:ascii="Times New Roman" w:hAnsi="Times New Roman" w:eastAsia="宋体"/>
          <w:b w:val="0"/>
          <w:i w:val="0"/>
          <w:sz w:val="22"/>
        </w:rPr>
        <w:t xml:space="preserve">: Exploratory height→AD analysis: 382 instruments (F = 78.4), IVW β = −0.107 (P = 0.002), MR-Egger β = −0.071 (P = 0.44), WM β = −0.089 (P = 0.063), Cochran Q = 431 (P = 5 × </w:t>
      </w:r>
      <w:r>
        <w:rPr>
          <w:rFonts w:ascii="Times New Roman" w:hAnsi="Times New Roman" w:eastAsia="宋体"/>
          <w:b w:val="0"/>
          <w:i w:val="0"/>
          <w:sz w:val="22"/>
          <w:vertAlign w:val="superscript"/>
        </w:rPr>
        <w:t>10⁻⁵</w:t>
      </w:r>
      <w:r>
        <w:rPr>
          <w:rFonts w:ascii="Times New Roman" w:hAnsi="Times New Roman" w:eastAsia="宋体"/>
          <w:b w:val="0"/>
          <w:i w:val="0"/>
          <w:sz w:val="22"/>
        </w:rPr>
        <w:t>). Interpreted as directional pleiotropy; not used as a formal negative control.</w:t>
      </w:r>
    </w:p>
    <w:p w14:paraId="4C3D6545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Table S</w:t>
      </w:r>
      <w:r>
        <w:rPr>
          <w:rFonts w:hint="eastAsia" w:eastAsia="宋体"/>
          <w:b/>
          <w:i w:val="0"/>
          <w:sz w:val="22"/>
          <w:lang w:val="en-US" w:eastAsia="zh-CN"/>
        </w:rPr>
        <w:t>7</w:t>
      </w:r>
      <w:r>
        <w:rPr>
          <w:rFonts w:ascii="Times New Roman" w:hAnsi="Times New Roman" w:eastAsia="宋体"/>
          <w:b w:val="0"/>
          <w:i w:val="0"/>
          <w:sz w:val="22"/>
        </w:rPr>
        <w:t>: Twelve-case expanded validation cohort (LDL→CAD, Education→AD, BMI→T2D, Height→CAD, Insomnia→AD, BMI→Stroke, HDL→CAD, Depression→AD, Education→T2D, CRP→CAD, BMI→AD, T2D→AD) with full per-level 0–2 scoring, cumulative 0–12 total, F-statistics, IVW/WM/Egger estimates, and domain annotation. Available as CSV and Markdown in the Supplementary materials.</w:t>
      </w:r>
    </w:p>
    <w:p w14:paraId="4980758D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Table S</w:t>
      </w:r>
      <w:r>
        <w:rPr>
          <w:rFonts w:hint="eastAsia" w:eastAsia="宋体"/>
          <w:b/>
          <w:i w:val="0"/>
          <w:sz w:val="22"/>
          <w:lang w:val="en-US" w:eastAsia="zh-CN"/>
        </w:rPr>
        <w:t>8</w:t>
      </w:r>
      <w:r>
        <w:rPr>
          <w:rFonts w:ascii="Times New Roman" w:hAnsi="Times New Roman" w:eastAsia="宋体"/>
          <w:b w:val="0"/>
          <w:i w:val="0"/>
          <w:sz w:val="22"/>
        </w:rPr>
        <w:t>: Simulation operating characteristics across the LD-concentration × pleiotropy × sample-overlap × effect-size scenario grid (43,200 replicates; seed 20260804). Per-scenario CSV with sensitivity, specificity, FDR, and grade distribution; marginal summary by pleiotropy and effect size. Underlies Supplementary Fig. 5.</w:t>
      </w:r>
    </w:p>
    <w:p w14:paraId="234D0064">
      <w:r>
        <w:rPr>
          <w:rFonts w:ascii="Times New Roman" w:hAnsi="Times New Roman" w:eastAsia="宋体"/>
          <w:b/>
          <w:i w:val="0"/>
          <w:sz w:val="22"/>
        </w:rPr>
        <w:t>Supplementary Notes</w:t>
      </w:r>
    </w:p>
    <w:p w14:paraId="1D311C59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Note 1</w:t>
      </w:r>
      <w:r>
        <w:rPr>
          <w:rFonts w:ascii="Times New Roman" w:hAnsi="Times New Roman" w:eastAsia="宋体"/>
          <w:b w:val="0"/>
          <w:i w:val="0"/>
          <w:sz w:val="22"/>
        </w:rPr>
        <w:t>: Threshold-sensitivity analysis of the A/B/C/D grade boundaries. Tests strict (+1), lenient (−1), and extreme-strict configurations; no case changes by more than one grade across any scenario.</w:t>
      </w:r>
    </w:p>
    <w:p w14:paraId="7A9A6082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Note 2</w:t>
      </w:r>
      <w:r>
        <w:rPr>
          <w:rFonts w:ascii="Times New Roman" w:hAnsi="Times New Roman" w:eastAsia="宋体"/>
          <w:b w:val="0"/>
          <w:i w:val="0"/>
          <w:sz w:val="22"/>
        </w:rPr>
        <w:t>: Cross-ancestry (East Asian) reinforcement of Level 6. Four East Asian checks: education→T2D (BBJ; IVW β = −0.145, P = 0.012 — significant replication), T2D→AD (GARD; β = +0.006, P = 0.93 — null concordance), education→stroke (BBJ; β = −0.008, P = 0.87 — underpowered null), education→AD (GARD; β = −0.029, P = 0.85 — directional consistency). No framework-assigned direction contradicted in EAS.</w:t>
      </w:r>
    </w:p>
    <w:p w14:paraId="6479331C">
      <w:pPr>
        <w:spacing w:after="60"/>
        <w:ind w:left="720" w:hanging="357"/>
      </w:pPr>
      <w:r>
        <w:rPr>
          <w:rFonts w:ascii="Times New Roman" w:hAnsi="Times New Roman" w:eastAsia="宋体"/>
          <w:b/>
          <w:i w:val="0"/>
          <w:sz w:val="22"/>
        </w:rPr>
        <w:t>Supplementary Note 3</w:t>
      </w:r>
      <w:r>
        <w:rPr>
          <w:rFonts w:ascii="Times New Roman" w:hAnsi="Times New Roman" w:eastAsia="宋体"/>
          <w:b w:val="0"/>
          <w:i w:val="0"/>
          <w:sz w:val="22"/>
        </w:rPr>
        <w:t>: EAS depression replication feasibility. Documents why a formal East Asian depression→AD replication is currently infeasible: the EAS clinical-MD stratum of the largest multi-ancestry MDD GWAS (Meng et al. 2024) contains no genome-wide-significant variants, and the sole EAS AD outcome (GARD, 2,919 cases) covers only 2 of 6 multi-ancestry MDD loci; an exploratory two-instrument direction check is reported for transparency and does not affect the Depression→AD grade.</w:t>
      </w:r>
    </w:p>
    <w:p w14:paraId="09992F89"/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077A6"/>
    <w:rsid w:val="0C874EE1"/>
    <w:rsid w:val="12B077A6"/>
    <w:rsid w:val="1A3B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463</Words>
  <Characters>2908</Characters>
  <Lines>0</Lines>
  <Paragraphs>0</Paragraphs>
  <TotalTime>9</TotalTime>
  <ScaleCrop>false</ScaleCrop>
  <LinksUpToDate>false</LinksUpToDate>
  <CharactersWithSpaces>3351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2026-08-05T10:52:00Z</dcterms:created>
  <dc:creator>罗鸣</dc:creator>
  <cp:lastModifiedBy>罗鸣</cp:lastModifiedBy>
  <dcterms:modified xsi:type="dcterms:W3CDTF">2026-08-05T11:34:38Z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DB74D756FC5846D884D61E8FB739D077_11</vt:lpwstr>
  </property>
  <property fmtid="{D5CDD505-2E9C-101B-9397-08002B2CF9AE}" pid="4" name="KSOTemplateDocerSaveRecord">
    <vt:lpwstr>eyJoZGlkIjoiYmRhZWViNjMzZWMzYTRmMjJlZGI0YjAxYjM2ZDhmOGEiLCJ1c2VySWQiOiIyMjU2NzYyNTUifQ==</vt:lpwstr>
  </property>
</Properties>
</file>