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86630">
      <w:pPr>
        <w:pStyle w:val="3"/>
        <w:bidi w:val="0"/>
        <w:jc w:val="center"/>
        <w:rPr>
          <w:color w:val="auto"/>
        </w:rPr>
      </w:pPr>
      <w:r>
        <w:rPr>
          <w:color w:val="auto"/>
        </w:rPr>
        <w:t>A falsification framework for causal claims in polygenic epidemiology: the insomnia–Alzheimer's disease test case</w:t>
      </w:r>
    </w:p>
    <w:p w14:paraId="5CC5CBFC">
      <w:r>
        <w:rPr>
          <w:rFonts w:ascii="Times New Roman" w:hAnsi="Times New Roman" w:eastAsia="宋体"/>
          <w:b w:val="0"/>
          <w:i w:val="0"/>
          <w:sz w:val="22"/>
        </w:rPr>
        <w:t>Ming Luo</w:t>
      </w:r>
      <w:r>
        <w:rPr>
          <w:rFonts w:ascii="Times New Roman" w:hAnsi="Times New Roman" w:eastAsia="宋体"/>
          <w:b w:val="0"/>
          <w:i w:val="0"/>
          <w:sz w:val="22"/>
          <w:vertAlign w:val="superscript"/>
        </w:rPr>
        <w:t>1,†</w:t>
      </w:r>
      <w:r>
        <w:rPr>
          <w:rFonts w:ascii="Times New Roman" w:hAnsi="Times New Roman" w:eastAsia="宋体"/>
          <w:b w:val="0"/>
          <w:i w:val="0"/>
          <w:sz w:val="22"/>
        </w:rPr>
        <w:t>, Wangyang Ye</w:t>
      </w:r>
      <w:r>
        <w:rPr>
          <w:rFonts w:ascii="Times New Roman" w:hAnsi="Times New Roman" w:eastAsia="宋体"/>
          <w:b w:val="0"/>
          <w:i w:val="0"/>
          <w:sz w:val="22"/>
          <w:vertAlign w:val="superscript"/>
        </w:rPr>
        <w:t>1,†</w:t>
      </w:r>
      <w:r>
        <w:rPr>
          <w:rFonts w:ascii="Times New Roman" w:hAnsi="Times New Roman" w:eastAsia="宋体"/>
          <w:b w:val="0"/>
          <w:i w:val="0"/>
          <w:sz w:val="22"/>
        </w:rPr>
        <w:t>, Qin Liu</w:t>
      </w:r>
      <w:r>
        <w:rPr>
          <w:rFonts w:ascii="Times New Roman" w:hAnsi="Times New Roman" w:eastAsia="宋体"/>
          <w:b w:val="0"/>
          <w:i w:val="0"/>
          <w:sz w:val="22"/>
          <w:vertAlign w:val="superscript"/>
        </w:rPr>
        <w:t>1,*</w:t>
      </w:r>
    </w:p>
    <w:p w14:paraId="094F19CD">
      <w:r>
        <w:rPr>
          <w:rFonts w:ascii="Times New Roman" w:hAnsi="Times New Roman" w:eastAsia="宋体"/>
          <w:b w:val="0"/>
          <w:i w:val="0"/>
          <w:sz w:val="22"/>
          <w:vertAlign w:val="superscript"/>
        </w:rPr>
        <w:t>1</w:t>
      </w:r>
      <w:r>
        <w:rPr>
          <w:rFonts w:ascii="Times New Roman" w:hAnsi="Times New Roman" w:eastAsia="宋体"/>
          <w:b w:val="0"/>
          <w:i w:val="0"/>
          <w:sz w:val="22"/>
        </w:rPr>
        <w:t>Department of Neurosurgery, The Fifth Affiliated Hospital of Wenzhou Medical University (Lishui Central Hospital), Lishui, Zhejiang 323000, China</w:t>
      </w:r>
    </w:p>
    <w:p w14:paraId="496FB669">
      <w:r>
        <w:rPr>
          <w:rFonts w:ascii="Times New Roman" w:hAnsi="Times New Roman" w:eastAsia="宋体"/>
          <w:b w:val="0"/>
          <w:i w:val="0"/>
          <w:sz w:val="22"/>
          <w:vertAlign w:val="superscript"/>
        </w:rPr>
        <w:t>†</w:t>
      </w:r>
      <w:r>
        <w:rPr>
          <w:rFonts w:ascii="Times New Roman" w:hAnsi="Times New Roman" w:eastAsia="宋体"/>
          <w:b w:val="0"/>
          <w:i w:val="0"/>
          <w:sz w:val="22"/>
        </w:rPr>
        <w:t xml:space="preserve">These authors contributed equally to this work. </w:t>
      </w:r>
      <w:r>
        <w:rPr>
          <w:rFonts w:ascii="Times New Roman" w:hAnsi="Times New Roman" w:eastAsia="宋体"/>
          <w:b w:val="0"/>
          <w:i w:val="0"/>
          <w:sz w:val="22"/>
          <w:vertAlign w:val="superscript"/>
        </w:rPr>
        <w:t>*</w:t>
      </w:r>
      <w:r>
        <w:rPr>
          <w:rFonts w:ascii="Times New Roman" w:hAnsi="Times New Roman" w:eastAsia="宋体"/>
          <w:b w:val="0"/>
          <w:i w:val="0"/>
          <w:sz w:val="22"/>
        </w:rPr>
        <w:t>Correspondence: Qin Liu, lqin5467@gmail.com</w:t>
      </w:r>
    </w:p>
    <w:p w14:paraId="519A14DB"/>
    <w:p w14:paraId="3C65EE40">
      <w:pPr>
        <w:spacing w:before="360" w:after="120"/>
        <w:jc w:val="center"/>
      </w:pPr>
      <w:r>
        <w:rPr>
          <w:rFonts w:ascii="Times New Roman" w:hAnsi="Times New Roman" w:eastAsia="宋体"/>
          <w:b/>
          <w:i w:val="0"/>
          <w:sz w:val="28"/>
        </w:rPr>
        <w:t>Abstract</w:t>
      </w:r>
    </w:p>
    <w:p w14:paraId="0F0AAD2D">
      <w:r>
        <w:rPr>
          <w:rFonts w:ascii="Times New Roman" w:hAnsi="Times New Roman" w:eastAsia="宋体"/>
          <w:b w:val="0"/>
          <w:i w:val="0"/>
          <w:sz w:val="22"/>
        </w:rPr>
        <w:t>Under extreme polygenicity, larger GWAS sample sizes reduce statistical uncertainty but make systematic bias harder to detect, creating a paradox in which more precisely estimated causal signals may be less credible. Existing Mendelian randomization pipelines are optimized to support rather than falsify causal claims. Here we introduce a falsification-first framework for causal inference in polygenic epidemiology, whose six levels span complementary sources of false causal inference and each function as an independent attempt to reject a directional claim. We operationalize it using the insomnia–Alzheimer's disease (AD) association as a challenging test case. The insomnia→AD association is rejected at multiple levels: LD-clumping (P = 0.52–0.64), sample-overlap correction (P = 0.43), and multivariable adjustment, converging on APOE-centered shared liability rather than a directed causal effect. Across eleven additional benchmark pairs spanning four disease domains, the framework stratifies claims by their resistance to falsification: Grade A (LDL–CAD, education–AD, BMI–T2D, height–CAD), Grade B (education–T2D, mild pleiotropy), Grade C (insomnia–AD, BMI–stroke, HDL–CAD, depression–AD), Grade D (BMI–AD, CRP–CAD, T2D–AD). Causal evidence should be judged not by the number of supporting analyses, but by how many falsification attempts it survives. Although demonstrated with MR, the framework is applicable to causal inference across polygenic epidemiology.</w:t>
      </w:r>
    </w:p>
    <w:p w14:paraId="57A0E821"/>
    <w:p w14:paraId="47A307F2">
      <w:pPr>
        <w:spacing w:before="360" w:after="120"/>
        <w:jc w:val="center"/>
      </w:pPr>
      <w:r>
        <w:rPr>
          <w:rFonts w:ascii="Times New Roman" w:hAnsi="Times New Roman" w:eastAsia="宋体"/>
          <w:b/>
          <w:i w:val="0"/>
          <w:sz w:val="28"/>
        </w:rPr>
        <w:t>Introduction</w:t>
      </w:r>
    </w:p>
    <w:p w14:paraId="4D255409">
      <w:r>
        <w:rPr>
          <w:rFonts w:ascii="Times New Roman" w:hAnsi="Times New Roman" w:eastAsia="宋体"/>
          <w:b w:val="0"/>
          <w:i w:val="0"/>
          <w:sz w:val="22"/>
        </w:rPr>
        <w:t xml:space="preserve">Before P &lt; 5 × </w:t>
      </w:r>
      <w:r>
        <w:rPr>
          <w:rFonts w:ascii="Times New Roman" w:hAnsi="Times New Roman" w:eastAsia="宋体"/>
          <w:b w:val="0"/>
          <w:i w:val="0"/>
          <w:sz w:val="22"/>
          <w:vertAlign w:val="baseline"/>
        </w:rPr>
        <w:t>10</w:t>
      </w:r>
      <w:r>
        <w:rPr>
          <w:rFonts w:hint="eastAsia" w:eastAsia="宋体"/>
          <w:b w:val="0"/>
          <w:i w:val="0"/>
          <w:sz w:val="22"/>
          <w:vertAlign w:val="superscript"/>
          <w:lang w:val="en-US" w:eastAsia="zh-CN"/>
        </w:rPr>
        <w:t>-8</w:t>
      </w:r>
      <w:r>
        <w:rPr>
          <w:rFonts w:ascii="Times New Roman" w:hAnsi="Times New Roman" w:eastAsia="宋体"/>
          <w:b w:val="0"/>
          <w:i w:val="0"/>
          <w:sz w:val="22"/>
        </w:rPr>
        <w:t xml:space="preserve"> became the field-wide GWAS threshold, the early 2000s produced hundreds of gene–disease claims that collapsed in replication </w:t>
      </w:r>
      <w:r>
        <w:rPr>
          <w:rFonts w:ascii="Times New Roman" w:hAnsi="Times New Roman" w:eastAsia="宋体"/>
          <w:b w:val="0"/>
          <w:i w:val="0"/>
          <w:color w:val="0066CC"/>
          <w:sz w:val="22"/>
        </w:rPr>
        <w:t>[1]</w:t>
      </w:r>
      <w:r>
        <w:rPr>
          <w:rFonts w:ascii="Times New Roman" w:hAnsi="Times New Roman" w:eastAsia="宋体"/>
          <w:b w:val="0"/>
          <w:i w:val="0"/>
          <w:sz w:val="22"/>
        </w:rPr>
        <w:t xml:space="preserve">. That period was not a failure of the GWAS approach but a correction: reproducible discovery requires instrument-level validation, not merely a significant estimate. A decade later, -omics epidemiology faces an analogous inflection point, and Mendelian randomization (MR) is its sharpest instance. A decade of comorbidity MR has produced replicated claims of directed causation between traits — insomnia and AD prominent among them </w:t>
      </w:r>
      <w:r>
        <w:rPr>
          <w:rFonts w:ascii="Times New Roman" w:hAnsi="Times New Roman" w:eastAsia="宋体"/>
          <w:b w:val="0"/>
          <w:i w:val="0"/>
          <w:color w:val="0066CC"/>
          <w:sz w:val="22"/>
        </w:rPr>
        <w:t>[2-5]</w:t>
      </w:r>
      <w:r>
        <w:rPr>
          <w:rFonts w:ascii="Times New Roman" w:hAnsi="Times New Roman" w:eastAsia="宋体"/>
          <w:b w:val="0"/>
          <w:i w:val="0"/>
          <w:sz w:val="22"/>
        </w:rPr>
        <w:t xml:space="preserve"> — yet the simplest instrument-validation step, checking whether the causal estimate survives LD-clumping and sample-overlap correction, is absent from most published workflows </w:t>
      </w:r>
      <w:r>
        <w:rPr>
          <w:rFonts w:ascii="Times New Roman" w:hAnsi="Times New Roman" w:eastAsia="宋体"/>
          <w:b w:val="0"/>
          <w:i w:val="0"/>
          <w:color w:val="0066CC"/>
          <w:sz w:val="22"/>
        </w:rPr>
        <w:t>[6-9]</w:t>
      </w:r>
      <w:r>
        <w:rPr>
          <w:rFonts w:ascii="Times New Roman" w:hAnsi="Times New Roman" w:eastAsia="宋体"/>
          <w:b w:val="0"/>
          <w:i w:val="0"/>
          <w:sz w:val="22"/>
        </w:rPr>
        <w:t>. When instruments are LD-correlated, the standard inverse-variance weighted (IVW) estimator can return a precisely estimated signal whose precision comes from the LD structure of a single genomic region rather than a biological effect.</w:t>
      </w:r>
    </w:p>
    <w:p w14:paraId="01E1EED7">
      <w:r>
        <w:rPr>
          <w:rFonts w:ascii="Times New Roman" w:hAnsi="Times New Roman" w:eastAsia="宋体"/>
          <w:b w:val="0"/>
          <w:i w:val="0"/>
          <w:sz w:val="22"/>
        </w:rPr>
        <w:t xml:space="preserve">The architectural problem goes deeper. Under extreme polygenicity — thousands of variants of small effect influencing both exposure and outcome — more instruments no longer mean better causal estimation: correlated instruments </w:t>
      </w:r>
      <w:r>
        <w:rPr>
          <w:rFonts w:ascii="Times New Roman" w:hAnsi="Times New Roman" w:eastAsia="宋体"/>
          <w:b w:val="0"/>
          <w:i/>
          <w:sz w:val="22"/>
        </w:rPr>
        <w:t>inflate</w:t>
      </w:r>
      <w:r>
        <w:rPr>
          <w:rFonts w:ascii="Times New Roman" w:hAnsi="Times New Roman" w:eastAsia="宋体"/>
          <w:b w:val="0"/>
          <w:i w:val="0"/>
          <w:sz w:val="22"/>
        </w:rPr>
        <w:t xml:space="preserve"> apparent effect strength, most where the genetic architecture is most concentrated </w:t>
      </w:r>
      <w:r>
        <w:rPr>
          <w:rFonts w:ascii="Times New Roman" w:hAnsi="Times New Roman" w:eastAsia="宋体"/>
          <w:b w:val="0"/>
          <w:i w:val="0"/>
          <w:color w:val="0066CC"/>
          <w:sz w:val="22"/>
        </w:rPr>
        <w:t>[9]</w:t>
      </w:r>
      <w:r>
        <w:rPr>
          <w:rFonts w:ascii="Times New Roman" w:hAnsi="Times New Roman" w:eastAsia="宋体"/>
          <w:b w:val="0"/>
          <w:i w:val="0"/>
          <w:sz w:val="22"/>
        </w:rPr>
        <w:t xml:space="preserve">. Insomnia and AD illustrate this directly: multiple published MRs report a positive insomnia→AD effect </w:t>
      </w:r>
      <w:r>
        <w:rPr>
          <w:rFonts w:ascii="Times New Roman" w:hAnsi="Times New Roman" w:eastAsia="宋体"/>
          <w:b w:val="0"/>
          <w:i w:val="0"/>
          <w:color w:val="0066CC"/>
          <w:sz w:val="22"/>
        </w:rPr>
        <w:t>[2-5]</w:t>
      </w:r>
      <w:r>
        <w:rPr>
          <w:rFonts w:ascii="Times New Roman" w:hAnsi="Times New Roman" w:eastAsia="宋体"/>
          <w:b w:val="0"/>
          <w:i w:val="0"/>
          <w:sz w:val="22"/>
        </w:rPr>
        <w:t>, yet almost none report whether it survives the instrument-independence gate. The same dynamic recurs wherever polygenic evidence is aggregated without a rejection procedure — in observational triangulation, phenome-wide scans, and multi-omics mediation — making the absence of a falsification step a field-wide vulnerability rather than an MR-specific gap.</w:t>
      </w:r>
    </w:p>
    <w:p w14:paraId="1E51A4D7">
      <w:r>
        <w:rPr>
          <w:rFonts w:ascii="Times New Roman" w:hAnsi="Times New Roman" w:eastAsia="宋体"/>
          <w:b/>
          <w:i w:val="0"/>
          <w:sz w:val="22"/>
        </w:rPr>
        <w:t>Current causal-inference pipelines are optimized for discovering causality, not for falsifying claims.</w:t>
      </w:r>
      <w:r>
        <w:rPr>
          <w:rFonts w:ascii="Times New Roman" w:hAnsi="Times New Roman" w:eastAsia="宋体"/>
          <w:b w:val="0"/>
          <w:i w:val="0"/>
          <w:sz w:val="22"/>
        </w:rPr>
        <w:t xml:space="preserve"> A conventional MR workflow assembles a significant IVW estimate, confirms it with MR-Egger and MR-PRESSO, and stops. Every stage accumulates supporting evidence; none is designed to reject the claim. What is missing is a systematic procedure for breaking the hypothesis — diagnostic gates that treat a causal claim as provisionally accepted only to the degree that severe attempts to falsify it have failed. Under extreme polygenicity, where any trait pair can yield a nominally significant result, the decisive question is no longer "can we perform the analysis?" but "should we believe this result?" </w:t>
      </w:r>
      <w:r>
        <w:rPr>
          <w:rFonts w:ascii="Times New Roman" w:hAnsi="Times New Roman" w:eastAsia="宋体"/>
          <w:b w:val="0"/>
          <w:i w:val="0"/>
          <w:color w:val="0066CC"/>
          <w:sz w:val="22"/>
        </w:rPr>
        <w:t>[10-11]</w:t>
      </w:r>
      <w:r>
        <w:rPr>
          <w:rFonts w:ascii="Times New Roman" w:hAnsi="Times New Roman" w:eastAsia="宋体"/>
          <w:b w:val="0"/>
          <w:i w:val="0"/>
          <w:sz w:val="22"/>
        </w:rPr>
        <w:t xml:space="preserve">. Existing reporting checklists such as STROBE-MR </w:t>
      </w:r>
      <w:r>
        <w:rPr>
          <w:rFonts w:ascii="Times New Roman" w:hAnsi="Times New Roman" w:eastAsia="宋体"/>
          <w:b w:val="0"/>
          <w:i w:val="0"/>
          <w:color w:val="0066CC"/>
          <w:sz w:val="22"/>
        </w:rPr>
        <w:t>[12]</w:t>
      </w:r>
      <w:r>
        <w:rPr>
          <w:rFonts w:ascii="Times New Roman" w:hAnsi="Times New Roman" w:eastAsia="宋体"/>
          <w:b w:val="0"/>
          <w:i w:val="0"/>
          <w:sz w:val="22"/>
        </w:rPr>
        <w:t xml:space="preserve"> specify what should be reported, but not how much supporting evidence is sufficient to sustain, downgrade, or reject a causal claim; the present framework supplies this missing layer — an evidentiary threshold, not a reporting standard — and its logic generalizes to other causal-inference settings where correlated evidence can be mistaken for signal.</w:t>
      </w:r>
    </w:p>
    <w:p w14:paraId="5A722171">
      <w:r>
        <w:rPr>
          <w:rFonts w:ascii="Times New Roman" w:hAnsi="Times New Roman" w:eastAsia="宋体"/>
          <w:b w:val="0"/>
          <w:i w:val="0"/>
          <w:sz w:val="22"/>
        </w:rPr>
        <w:t xml:space="preserve">The falsification hierarchy arranges the tests into six ordered gates (Fig. 1): (1) Association — does a raw signal exist? (2) Robustness — does it survive instrument-independence and sample-overlap correction? (3) Genetic architecture — genome-wide shared polygenicity or locus-specific sharing? (4) Direct effect — does it persist after multivariable adjustment? (5) Biological mediation — is there a genetically proxied pathway? (6) External validation — does it hold under cross-ancestry replication and control discrimination? A high-confidence claim requires passage through all six; failure at any single gate suffices to falsify a directed interpretation. The levels are complementary analytical perspectives on the same GWAS — not independent datasets — so their agreement constitutes analytical triangulation rather than independent replication </w:t>
      </w:r>
      <w:r>
        <w:rPr>
          <w:rFonts w:ascii="Times New Roman" w:hAnsi="Times New Roman" w:eastAsia="宋体"/>
          <w:b w:val="0"/>
          <w:i w:val="0"/>
          <w:color w:val="0066CC"/>
          <w:sz w:val="22"/>
        </w:rPr>
        <w:t>[10-11]</w:t>
      </w:r>
      <w:r>
        <w:rPr>
          <w:rFonts w:ascii="Times New Roman" w:hAnsi="Times New Roman" w:eastAsia="宋体"/>
          <w:b w:val="0"/>
          <w:i w:val="0"/>
          <w:sz w:val="22"/>
        </w:rPr>
        <w:t xml:space="preserve">. The insomnia–AD pair serves as a deliberately challenging test case: before analysis we made no prior commitment to direction, and educational attainment's protective effect on AD was evaluated as an internal positive control to show the framework discriminates rather than uniformly nulls </w:t>
      </w:r>
      <w:r>
        <w:rPr>
          <w:rFonts w:ascii="Times New Roman" w:hAnsi="Times New Roman" w:eastAsia="宋体"/>
          <w:b w:val="0"/>
          <w:i w:val="0"/>
          <w:color w:val="0066CC"/>
          <w:sz w:val="22"/>
        </w:rPr>
        <w:t>[13-19]</w:t>
      </w:r>
      <w:r>
        <w:rPr>
          <w:rFonts w:ascii="Times New Roman" w:hAnsi="Times New Roman" w:eastAsia="宋体"/>
          <w:b w:val="0"/>
          <w:i w:val="0"/>
          <w:sz w:val="22"/>
        </w:rPr>
        <w:t>.</w:t>
      </w:r>
    </w:p>
    <w:p w14:paraId="5C5B871C">
      <w:pPr>
        <w:rPr>
          <w:rFonts w:hint="eastAsia" w:ascii="Times New Roman" w:hAnsi="Times New Roman" w:eastAsia="宋体"/>
          <w:b/>
          <w:i w:val="0"/>
          <w:sz w:val="22"/>
          <w:lang w:eastAsia="zh-CN"/>
        </w:rPr>
      </w:pPr>
      <w:r>
        <w:rPr>
          <w:rFonts w:hint="eastAsia" w:ascii="Times New Roman" w:hAnsi="Times New Roman" w:eastAsia="宋体"/>
          <w:b/>
          <w:i w:val="0"/>
          <w:sz w:val="22"/>
          <w:lang w:eastAsia="zh-CN"/>
        </w:rPr>
        <w:drawing>
          <wp:inline distT="0" distB="0" distL="114300" distR="114300">
            <wp:extent cx="5477510" cy="5766435"/>
            <wp:effectExtent l="0" t="0" r="0" b="0"/>
            <wp:docPr id="1" name="图片 1" descr="Fig1_framework_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_framework_hierarchy"/>
                    <pic:cNvPicPr>
                      <a:picLocks noChangeAspect="1"/>
                    </pic:cNvPicPr>
                  </pic:nvPicPr>
                  <pic:blipFill>
                    <a:blip r:embed="rId6"/>
                    <a:stretch>
                      <a:fillRect/>
                    </a:stretch>
                  </pic:blipFill>
                  <pic:spPr>
                    <a:xfrm>
                      <a:off x="0" y="0"/>
                      <a:ext cx="5477510" cy="5766435"/>
                    </a:xfrm>
                    <a:prstGeom prst="rect">
                      <a:avLst/>
                    </a:prstGeom>
                  </pic:spPr>
                </pic:pic>
              </a:graphicData>
            </a:graphic>
          </wp:inline>
        </w:drawing>
      </w:r>
    </w:p>
    <w:p w14:paraId="74A3E3EF">
      <w:r>
        <w:rPr>
          <w:rFonts w:ascii="Times New Roman" w:hAnsi="Times New Roman" w:eastAsia="宋体"/>
          <w:b/>
          <w:i w:val="0"/>
          <w:sz w:val="22"/>
        </w:rPr>
        <w:t>Figure 1. A six-level falsification framework for causal claims in polygenic epidemiology.</w:t>
      </w:r>
      <w:r>
        <w:rPr>
          <w:rFonts w:ascii="Times New Roman" w:hAnsi="Times New Roman" w:eastAsia="宋体"/>
          <w:b w:val="0"/>
          <w:i w:val="0"/>
          <w:sz w:val="22"/>
        </w:rPr>
        <w:t xml:space="preserve"> </w:t>
      </w:r>
      <w:r>
        <w:rPr>
          <w:rFonts w:ascii="Times New Roman" w:hAnsi="Times New Roman" w:eastAsia="宋体"/>
          <w:b w:val="0"/>
          <w:i/>
          <w:sz w:val="22"/>
        </w:rPr>
        <w:t>Panel a: Six-level evidence hierarchy.</w:t>
      </w:r>
      <w:r>
        <w:rPr>
          <w:rFonts w:ascii="Times New Roman" w:hAnsi="Times New Roman" w:eastAsia="宋体"/>
          <w:b w:val="0"/>
          <w:i w:val="0"/>
          <w:sz w:val="22"/>
        </w:rPr>
        <w:t xml:space="preserve"> Each level is a gate that can independently reject a directional causal claim: (1) Association, (2) Robustness (instrument-independence and overlap), (3) Genetic architecture (genome-wide vs locus-specific), (4) Direct effect (multivariable adjustment), (5) Biological mediation, (6) External validation (cross-ancestry + positive/negative controls). A high-confidence causal claim requires passage through all six; failure at any single gate suffices to falsify the directed interpretation. </w:t>
      </w:r>
      <w:r>
        <w:rPr>
          <w:rFonts w:ascii="Times New Roman" w:hAnsi="Times New Roman" w:eastAsia="宋体"/>
          <w:b w:val="0"/>
          <w:i/>
          <w:sz w:val="22"/>
        </w:rPr>
        <w:t>Panel b: Framework versus traditional single-layer causal inference.</w:t>
      </w:r>
      <w:r>
        <w:rPr>
          <w:rFonts w:ascii="Times New Roman" w:hAnsi="Times New Roman" w:eastAsia="宋体"/>
          <w:b w:val="0"/>
          <w:i w:val="0"/>
          <w:sz w:val="22"/>
        </w:rPr>
        <w:t xml:space="preserve"> The traditional pipeline (left), exemplified by a conventional MR workflow, accumulates supporting evidence within a single analytical layer and declares completion once sensitivity checks such as MR-Egger and PRESSO do not contradict the IVW. The six-level framework (right) inverts the logic: each diagnostic is a falsification gate, and the cumulative output is a quantified evidence grade (A/B/C/D) rather than a binary supported/rejected verdict. </w:t>
      </w:r>
      <w:r>
        <w:rPr>
          <w:rFonts w:ascii="Times New Roman" w:hAnsi="Times New Roman" w:eastAsia="宋体"/>
          <w:b w:val="0"/>
          <w:i/>
          <w:sz w:val="22"/>
        </w:rPr>
        <w:t>Panel c: Framework synthesis applied to insomnia–AD.</w:t>
      </w:r>
      <w:r>
        <w:rPr>
          <w:rFonts w:ascii="Times New Roman" w:hAnsi="Times New Roman" w:eastAsia="宋体"/>
          <w:b w:val="0"/>
          <w:i w:val="0"/>
          <w:sz w:val="22"/>
        </w:rPr>
        <w:t xml:space="preserve"> Each layer maps the insomnia–AD evidence to a corresponding analytical dimension; the synthesis row converges on Quadrant III (shared APOE-locus liability; no independent causal upstream).</w:t>
      </w:r>
    </w:p>
    <w:p w14:paraId="2C2FA2BE"/>
    <w:p w14:paraId="4449394B">
      <w:pPr>
        <w:spacing w:before="360" w:after="120"/>
        <w:jc w:val="center"/>
      </w:pPr>
      <w:r>
        <w:rPr>
          <w:rFonts w:ascii="Times New Roman" w:hAnsi="Times New Roman" w:eastAsia="宋体"/>
          <w:b/>
          <w:i w:val="0"/>
          <w:sz w:val="28"/>
        </w:rPr>
        <w:t>Results</w:t>
      </w:r>
    </w:p>
    <w:p w14:paraId="76D18215">
      <w:pPr>
        <w:spacing w:before="280" w:after="80"/>
      </w:pPr>
      <w:r>
        <w:rPr>
          <w:rFonts w:ascii="Times New Roman" w:hAnsi="Times New Roman" w:eastAsia="宋体"/>
          <w:b/>
          <w:i w:val="0"/>
          <w:sz w:val="24"/>
        </w:rPr>
        <w:t>Level 1 — Association: the raw insomnia→AD signal is significant but merely associational</w:t>
      </w:r>
    </w:p>
    <w:p w14:paraId="1AD9B42A">
      <w:r>
        <w:rPr>
          <w:rFonts w:ascii="Times New Roman" w:hAnsi="Times New Roman" w:eastAsia="宋体"/>
          <w:b w:val="0"/>
          <w:i w:val="0"/>
          <w:sz w:val="22"/>
        </w:rPr>
        <w:t xml:space="preserve">Between insomnia (ukb-b-3957; UK Biobank, n = 462,341) and AD (ieu-b-2; IGAP Kunkle et al. 2019, ncase = 21,982), the unclumped forward IVW estimate was positive and nominally significant (β = +0.104, SE = 0.031, P = 9.3 × </w:t>
      </w:r>
      <w:r>
        <w:rPr>
          <w:rFonts w:ascii="Times New Roman" w:hAnsi="Times New Roman" w:eastAsia="宋体"/>
          <w:b w:val="0"/>
          <w:i w:val="0"/>
          <w:sz w:val="22"/>
          <w:vertAlign w:val="baseline"/>
        </w:rPr>
        <w:t>10</w:t>
      </w:r>
      <w:r>
        <w:rPr>
          <w:rFonts w:hint="eastAsia" w:eastAsia="宋体"/>
          <w:b w:val="0"/>
          <w:i w:val="0"/>
          <w:sz w:val="22"/>
          <w:vertAlign w:val="superscript"/>
          <w:lang w:val="en-US" w:eastAsia="zh-CN"/>
        </w:rPr>
        <w:t>-4</w:t>
      </w:r>
      <w:r>
        <w:rPr>
          <w:rFonts w:ascii="Times New Roman" w:hAnsi="Times New Roman" w:eastAsia="宋体"/>
          <w:b w:val="0"/>
          <w:i w:val="0"/>
          <w:sz w:val="22"/>
        </w:rPr>
        <w:t xml:space="preserve">), replicating the published literature </w:t>
      </w:r>
      <w:r>
        <w:rPr>
          <w:rFonts w:ascii="Times New Roman" w:hAnsi="Times New Roman" w:eastAsia="宋体"/>
          <w:b w:val="0"/>
          <w:i w:val="0"/>
          <w:color w:val="0066CC"/>
          <w:sz w:val="22"/>
        </w:rPr>
        <w:t>[2-5]</w:t>
      </w:r>
      <w:r>
        <w:rPr>
          <w:rFonts w:ascii="Times New Roman" w:hAnsi="Times New Roman" w:eastAsia="宋体"/>
          <w:b w:val="0"/>
          <w:i w:val="0"/>
          <w:sz w:val="22"/>
        </w:rPr>
        <w:t xml:space="preserve">. The reverse direction was also nominally significant but tiny (β ≈ −0.003 to −0.007) with a highly significant MR-Egger intercept, consistent with broad horizontal pleiotropy rather than genuine directed causality </w:t>
      </w:r>
      <w:r>
        <w:rPr>
          <w:rFonts w:ascii="Times New Roman" w:hAnsi="Times New Roman" w:eastAsia="宋体"/>
          <w:b w:val="0"/>
          <w:i w:val="0"/>
          <w:color w:val="0066CC"/>
          <w:sz w:val="22"/>
        </w:rPr>
        <w:t>[8,16,20-23]</w:t>
      </w:r>
      <w:r>
        <w:rPr>
          <w:rFonts w:ascii="Times New Roman" w:hAnsi="Times New Roman" w:eastAsia="宋体"/>
          <w:b w:val="0"/>
          <w:i w:val="0"/>
          <w:sz w:val="22"/>
        </w:rPr>
        <w:t>. Level 1 is a screening gate only: the estimate draws on 2,462 correlated instruments, and its precision reflects instrument count, not necessarily biological signal.</w:t>
      </w:r>
    </w:p>
    <w:p w14:paraId="55DEDCF2">
      <w:pPr>
        <w:spacing w:before="280" w:after="80"/>
      </w:pPr>
      <w:r>
        <w:rPr>
          <w:rFonts w:ascii="Times New Roman" w:hAnsi="Times New Roman" w:eastAsia="宋体"/>
          <w:b/>
          <w:i w:val="0"/>
          <w:sz w:val="24"/>
        </w:rPr>
        <w:t>Level 2 — Robustness: the signal fails the instrument-independence and overlap gates</w:t>
      </w:r>
    </w:p>
    <w:p w14:paraId="089849B5">
      <w:r>
        <w:rPr>
          <w:rFonts w:ascii="Times New Roman" w:hAnsi="Times New Roman" w:eastAsia="宋体"/>
          <w:b w:val="0"/>
          <w:i w:val="0"/>
          <w:sz w:val="22"/>
        </w:rPr>
        <w:t xml:space="preserve">After standard LD-clumping (r² &lt; 0.001, 10,000 kb), the instrument count fell from 2,462 to 54 and the forward IVW estimate reversed to null and non-significant (loose clump β = −0.130, SE = 0.203, P = 0.52; tight clump [r² &lt; 0.001, 5,000 kb] 37 SNPs, β = −0.111, SE = 0.236, P = 0.64) (Fig. 2A). MRlap sample-overlap correction returned a corrected forward estimate indistinguishable from zero and opposite in sign (β = −0.078, SE = 0.098, P = 0.43) </w:t>
      </w:r>
      <w:r>
        <w:rPr>
          <w:rFonts w:ascii="Times New Roman" w:hAnsi="Times New Roman" w:eastAsia="宋体"/>
          <w:b w:val="0"/>
          <w:i w:val="0"/>
          <w:color w:val="0066CC"/>
          <w:sz w:val="22"/>
        </w:rPr>
        <w:t>[24]</w:t>
      </w:r>
      <w:r>
        <w:rPr>
          <w:rFonts w:ascii="Times New Roman" w:hAnsi="Times New Roman" w:eastAsia="宋体"/>
          <w:b w:val="0"/>
          <w:i w:val="0"/>
          <w:sz w:val="22"/>
        </w:rPr>
        <w:t>. Both corrections — one for LD structure, one for sample overlap — fail to support a directed effect.</w:t>
      </w:r>
    </w:p>
    <w:p w14:paraId="0CFF8364">
      <w:r>
        <w:rPr>
          <w:rFonts w:ascii="Times New Roman" w:hAnsi="Times New Roman" w:eastAsia="宋体"/>
          <w:b w:val="0"/>
          <w:i w:val="0"/>
          <w:sz w:val="22"/>
        </w:rPr>
        <w:t>A clumped null can reflect either absence of effect or the power loss that aggressive clumping entails (the clumped forward analysis retains</w:t>
      </w:r>
      <w:r>
        <w:rPr>
          <w:rFonts w:ascii="Times New Roman" w:hAnsi="Times New Roman" w:eastAsia="宋体"/>
          <w:b w:val="0"/>
          <w:i w:val="0"/>
          <w:sz w:val="22"/>
          <w:vertAlign w:val="baseline"/>
        </w:rPr>
        <w:t xml:space="preserve"> </w:t>
      </w:r>
      <w:r>
        <w:rPr>
          <w:rFonts w:ascii="Times New Roman" w:hAnsi="Times New Roman" w:eastAsia="宋体"/>
          <w:b w:val="0"/>
          <w:i w:val="0"/>
          <w:sz w:val="22"/>
        </w:rPr>
        <w:t>~</w:t>
      </w:r>
      <w:r>
        <w:rPr>
          <w:rFonts w:ascii="Times New Roman" w:hAnsi="Times New Roman" w:eastAsia="宋体"/>
          <w:b w:val="0"/>
          <w:i w:val="0"/>
          <w:sz w:val="22"/>
          <w:vertAlign w:val="baseline"/>
        </w:rPr>
        <w:t xml:space="preserve">7% power; 80% power would require β ≥ 0.57). The collapse was not an artefact of chromosome 19: the insomnia GWAS contributed only 118 chromosome-19 instruments, all clustered at 37.4–37.6 Mb, distant from the APOE ε4 locus (44–46 Mb), which contributed zero instruments; removing all 118 SNPs preserved a positive, significant forward estimate (β = 0.094, SE = 0.032, P = 0.003; </w:t>
      </w:r>
      <w:r>
        <w:rPr>
          <w:rFonts w:ascii="Times New Roman" w:hAnsi="Times New Roman" w:eastAsia="宋体"/>
          <w:b w:val="0"/>
          <w:i w:val="0"/>
          <w:sz w:val="22"/>
        </w:rPr>
        <w:t xml:space="preserve">~91% of the unclumped signal). CAUSE (Bayesian partitioning of causal vs. correlated-pleiotropy components, 1,645 independent variants) classified the forward direction as CAUSAL (Kunkle posterior P = 0.039; Bellenguez P = 0.002) while estimating very low genome-wide sharing (ρ ≈ 0.005) and classifying the reverse direction as PLEIOTROPY_OR_SHARING (Kunkle P = 0.082; Bellenguez P = 0.631) </w:t>
      </w:r>
      <w:r>
        <w:rPr>
          <w:rFonts w:ascii="Times New Roman" w:hAnsi="Times New Roman" w:eastAsia="宋体"/>
          <w:b w:val="0"/>
          <w:i w:val="0"/>
          <w:color w:val="0066CC"/>
          <w:sz w:val="22"/>
        </w:rPr>
        <w:t>[24]</w:t>
      </w:r>
      <w:r>
        <w:rPr>
          <w:rFonts w:ascii="Times New Roman" w:hAnsi="Times New Roman" w:eastAsia="宋体"/>
          <w:b w:val="0"/>
          <w:i w:val="0"/>
          <w:sz w:val="22"/>
        </w:rPr>
        <w:t>. Steiger directionality testing was inconclusive — the direction flipped with the method used to construct r from binary outcomes, and median per-SNP variance explained was negligible (|r| ≈ 0.002) — and was not used to determine direction.</w:t>
      </w:r>
    </w:p>
    <w:p w14:paraId="7C308CA7">
      <w:r>
        <w:rPr>
          <w:rFonts w:ascii="Times New Roman" w:hAnsi="Times New Roman" w:eastAsia="宋体"/>
          <w:b/>
          <w:i w:val="0"/>
          <w:sz w:val="22"/>
        </w:rPr>
        <w:t>Verdict at Level 2:</w:t>
      </w:r>
      <w:r>
        <w:rPr>
          <w:rFonts w:ascii="Times New Roman" w:hAnsi="Times New Roman" w:eastAsia="宋体"/>
          <w:b w:val="0"/>
          <w:i w:val="0"/>
          <w:sz w:val="22"/>
        </w:rPr>
        <w:t xml:space="preserve"> the insomnia→AD signal does not survive the robustness gate. Three methodologically distinct corrections converge on rejection of a robust directed effect, which suffices, within the framework, to falsify the unclumped literature's directional claim.</w:t>
      </w:r>
    </w:p>
    <w:p w14:paraId="38B04387">
      <w:pPr>
        <w:spacing w:before="280" w:after="80"/>
      </w:pPr>
      <w:r>
        <w:rPr>
          <w:rFonts w:ascii="Times New Roman" w:hAnsi="Times New Roman" w:eastAsia="宋体"/>
          <w:b/>
          <w:i w:val="0"/>
          <w:sz w:val="24"/>
        </w:rPr>
        <w:t>Level 3 — Genetic architecture: shared liability, not genome-wide shared polygenic background</w:t>
      </w:r>
    </w:p>
    <w:p w14:paraId="6B4013C8">
      <w:pPr>
        <w:rPr>
          <w:rFonts w:ascii="Times New Roman" w:hAnsi="Times New Roman" w:eastAsia="宋体"/>
          <w:b w:val="0"/>
          <w:i w:val="0"/>
          <w:sz w:val="22"/>
        </w:rPr>
      </w:pPr>
      <w:r>
        <w:rPr>
          <w:rFonts w:ascii="Times New Roman" w:hAnsi="Times New Roman" w:eastAsia="宋体"/>
          <w:b w:val="0"/>
          <w:i w:val="0"/>
          <w:sz w:val="22"/>
        </w:rPr>
        <w:t xml:space="preserve">LD Score regression yielded a cross-trait genetic correlation indistinguishable from zero (rg = −0.028, SE = 0.050, P = 0.57), unchanged after removing chromosome 19 (rg = −0.031, SE = 0.049, P = 0.53) </w:t>
      </w:r>
      <w:r>
        <w:rPr>
          <w:rFonts w:ascii="Times New Roman" w:hAnsi="Times New Roman" w:eastAsia="宋体"/>
          <w:b w:val="0"/>
          <w:i w:val="0"/>
          <w:color w:val="0066CC"/>
          <w:sz w:val="22"/>
        </w:rPr>
        <w:t>[25-26]</w:t>
      </w:r>
      <w:r>
        <w:rPr>
          <w:rFonts w:ascii="Times New Roman" w:hAnsi="Times New Roman" w:eastAsia="宋体"/>
          <w:b w:val="0"/>
          <w:i w:val="0"/>
          <w:sz w:val="22"/>
        </w:rPr>
        <w:t xml:space="preserve">. Bayesian colocalization told a locus-specific story (Fig. 2B): only 1 of 47 forward loci exceeded PP.H4 ≥ 0.80 (rs10838708, chromosome 11; PP.H4 = 0.849; Bellenguez replication 0/49), whereas 18 of 32 reverse loci passed (Kunkle), concentrated at APOE (PP.H4 &gt; 0.98) </w:t>
      </w:r>
      <w:r>
        <w:rPr>
          <w:rFonts w:ascii="Times New Roman" w:hAnsi="Times New Roman" w:eastAsia="宋体"/>
          <w:b w:val="0"/>
          <w:i w:val="0"/>
          <w:color w:val="0066CC"/>
          <w:sz w:val="22"/>
        </w:rPr>
        <w:t>[16-17,27]</w:t>
      </w:r>
      <w:r>
        <w:rPr>
          <w:rFonts w:ascii="Times New Roman" w:hAnsi="Times New Roman" w:eastAsia="宋体"/>
          <w:b w:val="0"/>
          <w:i w:val="0"/>
          <w:sz w:val="22"/>
        </w:rPr>
        <w:t>. Colocalization establishes a</w:t>
      </w:r>
      <w:r>
        <w:rPr>
          <w:rFonts w:ascii="Times New Roman" w:hAnsi="Times New Roman" w:eastAsia="宋体"/>
          <w:b w:val="0"/>
          <w:i w:val="0"/>
          <w:iCs w:val="0"/>
          <w:sz w:val="22"/>
        </w:rPr>
        <w:t xml:space="preserve"> shared causal variant</w:t>
      </w:r>
      <w:r>
        <w:rPr>
          <w:rFonts w:ascii="Times New Roman" w:hAnsi="Times New Roman" w:eastAsia="宋体"/>
          <w:b w:val="0"/>
          <w:i w:val="0"/>
          <w:sz w:val="22"/>
        </w:rPr>
        <w:t>, not direction; the asymmetry, read with the null genome-wide rg, indicates shared liability rather than a unidirectional pathway. Verdict: no genome-wide shared architecture; only APOE-centered locus-specific sharing.</w:t>
      </w:r>
    </w:p>
    <w:p w14:paraId="09330A76">
      <w:pPr>
        <w:rPr>
          <w:rFonts w:hint="eastAsia" w:ascii="Times New Roman" w:hAnsi="Times New Roman" w:eastAsia="宋体"/>
          <w:b/>
          <w:i w:val="0"/>
          <w:sz w:val="22"/>
          <w:lang w:eastAsia="zh-CN"/>
        </w:rPr>
      </w:pPr>
      <w:r>
        <w:rPr>
          <w:rFonts w:hint="eastAsia" w:ascii="Times New Roman" w:hAnsi="Times New Roman" w:eastAsia="宋体"/>
          <w:b/>
          <w:i w:val="0"/>
          <w:sz w:val="22"/>
          <w:lang w:eastAsia="zh-CN"/>
        </w:rPr>
        <w:drawing>
          <wp:inline distT="0" distB="0" distL="114300" distR="114300">
            <wp:extent cx="5477510" cy="2256790"/>
            <wp:effectExtent l="0" t="0" r="8890" b="10160"/>
            <wp:docPr id="2" name="图片 2" descr="Fig2_MR_forest_co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2_MR_forest_coloc"/>
                    <pic:cNvPicPr>
                      <a:picLocks noChangeAspect="1"/>
                    </pic:cNvPicPr>
                  </pic:nvPicPr>
                  <pic:blipFill>
                    <a:blip r:embed="rId7"/>
                    <a:stretch>
                      <a:fillRect/>
                    </a:stretch>
                  </pic:blipFill>
                  <pic:spPr>
                    <a:xfrm>
                      <a:off x="0" y="0"/>
                      <a:ext cx="5477510" cy="2256790"/>
                    </a:xfrm>
                    <a:prstGeom prst="rect">
                      <a:avLst/>
                    </a:prstGeom>
                  </pic:spPr>
                </pic:pic>
              </a:graphicData>
            </a:graphic>
          </wp:inline>
        </w:drawing>
      </w:r>
    </w:p>
    <w:p w14:paraId="35BEC367">
      <w:r>
        <w:rPr>
          <w:rFonts w:ascii="Times New Roman" w:hAnsi="Times New Roman" w:eastAsia="宋体"/>
          <w:b/>
          <w:i w:val="0"/>
          <w:sz w:val="22"/>
        </w:rPr>
        <w:t>Figure 2. Robustness gate — MR forest and colocalization summary.</w:t>
      </w:r>
      <w:r>
        <w:rPr>
          <w:rFonts w:ascii="Times New Roman" w:hAnsi="Times New Roman" w:eastAsia="宋体"/>
          <w:b w:val="0"/>
          <w:i w:val="0"/>
          <w:sz w:val="22"/>
        </w:rPr>
        <w:t xml:space="preserve"> (A) Bidirectional estimates across methods (unclumped IVW, clumped IVW, MRlap, CAUSE, MVMR) for insomnia–AD. (B) Colocalization PP.H4 for forward (47 loci) and reverse (32 loci) directions, APOE region annotated.</w:t>
      </w:r>
    </w:p>
    <w:p w14:paraId="5F8E3CBE">
      <w:pPr>
        <w:rPr>
          <w:rFonts w:ascii="Times New Roman" w:hAnsi="Times New Roman" w:eastAsia="宋体"/>
          <w:b w:val="0"/>
          <w:i w:val="0"/>
          <w:sz w:val="22"/>
        </w:rPr>
      </w:pPr>
    </w:p>
    <w:p w14:paraId="61FB9C57">
      <w:pPr>
        <w:spacing w:before="280" w:after="80"/>
      </w:pPr>
      <w:r>
        <w:rPr>
          <w:rFonts w:ascii="Times New Roman" w:hAnsi="Times New Roman" w:eastAsia="宋体"/>
          <w:b/>
          <w:i w:val="0"/>
          <w:sz w:val="24"/>
        </w:rPr>
        <w:t>Level 4 — Direct effect: multivariable adjustment isolates a protective factor, not a causal insomnia pathway</w:t>
      </w:r>
    </w:p>
    <w:p w14:paraId="181B45A1">
      <w:pPr>
        <w:rPr>
          <w:rFonts w:ascii="Times New Roman" w:hAnsi="Times New Roman" w:eastAsia="宋体"/>
          <w:b w:val="0"/>
          <w:i w:val="0"/>
          <w:sz w:val="22"/>
        </w:rPr>
      </w:pPr>
      <w:r>
        <w:rPr>
          <w:rFonts w:ascii="Times New Roman" w:hAnsi="Times New Roman" w:eastAsia="宋体"/>
          <w:b w:val="0"/>
          <w:i w:val="0"/>
          <w:sz w:val="22"/>
        </w:rPr>
        <w:t xml:space="preserve">In multivariable MR (MVMR) with insomnia, educational attainment, depression, and LDL-cholesterol as exposures and AD as outcome, educational attainment showed a robust protective effect across all instrument sets (loose clump β = −1.29, P = 0.008; tight clump β = −1.39, P = 0.045; chromosome-19-removed β = −1.28, P = 0.009) </w:t>
      </w:r>
      <w:r>
        <w:rPr>
          <w:rFonts w:ascii="Times New Roman" w:hAnsi="Times New Roman" w:eastAsia="宋体"/>
          <w:b w:val="0"/>
          <w:i w:val="0"/>
          <w:color w:val="0066CC"/>
          <w:sz w:val="22"/>
        </w:rPr>
        <w:t>[28-29]</w:t>
      </w:r>
      <w:r>
        <w:rPr>
          <w:rFonts w:ascii="Times New Roman" w:hAnsi="Times New Roman" w:eastAsia="宋体"/>
          <w:b w:val="0"/>
          <w:i w:val="0"/>
          <w:sz w:val="22"/>
        </w:rPr>
        <w:t xml:space="preserve">. Insomnia's direct effect was negative and at most marginally significant (loose β = −0.57, P = 0.045; tight β = −0.53, P = 0.16). A PheWAS using education instruments confirmed protection against AD (Kunkle β = −0.33, SE = 0.075, P = 1.1 × </w:t>
      </w:r>
      <w:r>
        <w:rPr>
          <w:rFonts w:ascii="Times New Roman" w:hAnsi="Times New Roman" w:eastAsia="宋体"/>
          <w:b w:val="0"/>
          <w:i w:val="0"/>
          <w:sz w:val="22"/>
          <w:vertAlign w:val="baseline"/>
        </w:rPr>
        <w:t>10⁻⁵</w:t>
      </w:r>
      <w:r>
        <w:rPr>
          <w:rFonts w:ascii="Times New Roman" w:hAnsi="Times New Roman" w:eastAsia="宋体"/>
          <w:b w:val="0"/>
          <w:i w:val="0"/>
          <w:sz w:val="22"/>
        </w:rPr>
        <w:t xml:space="preserve">) and Parkinson's disease (Nalls 2019 β = −0.39, SE = 0.086, P = 7.2 × </w:t>
      </w:r>
      <w:r>
        <w:rPr>
          <w:rFonts w:ascii="Times New Roman" w:hAnsi="Times New Roman" w:eastAsia="宋体"/>
          <w:b w:val="0"/>
          <w:i w:val="0"/>
          <w:sz w:val="22"/>
          <w:vertAlign w:val="baseline"/>
        </w:rPr>
        <w:t>10⁻⁶</w:t>
      </w:r>
      <w:r>
        <w:rPr>
          <w:rFonts w:ascii="Times New Roman" w:hAnsi="Times New Roman" w:eastAsia="宋体"/>
          <w:b w:val="0"/>
          <w:i w:val="0"/>
          <w:sz w:val="22"/>
        </w:rPr>
        <w:t xml:space="preserve">), but not multiple sclerosis (β = 0.015, P = 0.90) (Fig. 3); the Bellenguez AD estimate was directionally inconsistent (β = +0.11, P = 0.035) with extreme heterogeneity (Q P = 1.7 × </w:t>
      </w:r>
      <w:r>
        <w:rPr>
          <w:rFonts w:ascii="Times New Roman" w:hAnsi="Times New Roman" w:eastAsia="宋体"/>
          <w:b w:val="0"/>
          <w:i w:val="0"/>
          <w:sz w:val="22"/>
          <w:vertAlign w:val="baseline"/>
        </w:rPr>
        <w:t>10⁻¹¹</w:t>
      </w:r>
      <w:r>
        <w:rPr>
          <w:rFonts w:ascii="Times New Roman" w:hAnsi="Times New Roman" w:eastAsia="宋体"/>
          <w:b w:val="0"/>
          <w:i w:val="0"/>
          <w:sz w:val="22"/>
        </w:rPr>
        <w:t>). Verdict: the only durable direct effect is education (protective); insomnia's collapses to null/negative.</w:t>
      </w:r>
    </w:p>
    <w:p w14:paraId="6ACE47D5">
      <w:pPr>
        <w:rPr>
          <w:rFonts w:hint="eastAsia" w:ascii="Times New Roman" w:hAnsi="Times New Roman" w:eastAsia="宋体"/>
          <w:b/>
          <w:i w:val="0"/>
          <w:sz w:val="22"/>
          <w:lang w:eastAsia="zh-CN"/>
        </w:rPr>
      </w:pPr>
      <w:r>
        <w:rPr>
          <w:rFonts w:hint="eastAsia" w:ascii="Times New Roman" w:hAnsi="Times New Roman" w:eastAsia="宋体"/>
          <w:b/>
          <w:i w:val="0"/>
          <w:sz w:val="22"/>
          <w:lang w:eastAsia="zh-CN"/>
        </w:rPr>
        <w:drawing>
          <wp:inline distT="0" distB="0" distL="114300" distR="114300">
            <wp:extent cx="5477510" cy="2466340"/>
            <wp:effectExtent l="0" t="0" r="8890" b="10160"/>
            <wp:docPr id="3" name="图片 3" descr="Fig3_education_phew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_education_phewas"/>
                    <pic:cNvPicPr>
                      <a:picLocks noChangeAspect="1"/>
                    </pic:cNvPicPr>
                  </pic:nvPicPr>
                  <pic:blipFill>
                    <a:blip r:embed="rId8"/>
                    <a:stretch>
                      <a:fillRect/>
                    </a:stretch>
                  </pic:blipFill>
                  <pic:spPr>
                    <a:xfrm>
                      <a:off x="0" y="0"/>
                      <a:ext cx="5477510" cy="2466340"/>
                    </a:xfrm>
                    <a:prstGeom prst="rect">
                      <a:avLst/>
                    </a:prstGeom>
                  </pic:spPr>
                </pic:pic>
              </a:graphicData>
            </a:graphic>
          </wp:inline>
        </w:drawing>
      </w:r>
    </w:p>
    <w:p w14:paraId="32455277">
      <w:r>
        <w:rPr>
          <w:rFonts w:ascii="Times New Roman" w:hAnsi="Times New Roman" w:eastAsia="宋体"/>
          <w:b/>
          <w:i w:val="0"/>
          <w:sz w:val="22"/>
        </w:rPr>
        <w:t>Figure 3. Direct-effect gate — educational attainment PheWAS.</w:t>
      </w:r>
      <w:r>
        <w:rPr>
          <w:rFonts w:ascii="Times New Roman" w:hAnsi="Times New Roman" w:eastAsia="宋体"/>
          <w:b w:val="0"/>
          <w:i w:val="0"/>
          <w:sz w:val="22"/>
        </w:rPr>
        <w:t xml:space="preserve"> Forest of education→outcome MR across AD (Kunkle), AD (Bellenguez), PD, and MS, with IVW, weighted median, weighted mode, MR-Egger.</w:t>
      </w:r>
    </w:p>
    <w:p w14:paraId="160C1A5C">
      <w:pPr>
        <w:rPr>
          <w:rFonts w:ascii="Times New Roman" w:hAnsi="Times New Roman" w:eastAsia="宋体"/>
          <w:b w:val="0"/>
          <w:i w:val="0"/>
          <w:sz w:val="22"/>
        </w:rPr>
      </w:pPr>
    </w:p>
    <w:p w14:paraId="4F2858DC">
      <w:pPr>
        <w:spacing w:before="280" w:after="80"/>
      </w:pPr>
      <w:r>
        <w:rPr>
          <w:rFonts w:ascii="Times New Roman" w:hAnsi="Times New Roman" w:eastAsia="宋体"/>
          <w:b/>
          <w:i w:val="0"/>
          <w:sz w:val="24"/>
        </w:rPr>
        <w:t>Level 5 — Biological mediation: no protein mediation; triglycerides partially mediate education's protection</w:t>
      </w:r>
    </w:p>
    <w:p w14:paraId="393A3E8E">
      <w:pPr>
        <w:rPr>
          <w:rFonts w:ascii="Times New Roman" w:hAnsi="Times New Roman" w:eastAsia="宋体"/>
          <w:b w:val="0"/>
          <w:i w:val="0"/>
          <w:sz w:val="22"/>
        </w:rPr>
      </w:pPr>
      <w:r>
        <w:rPr>
          <w:rFonts w:ascii="Times New Roman" w:hAnsi="Times New Roman" w:eastAsia="宋体"/>
          <w:b w:val="0"/>
          <w:i w:val="0"/>
          <w:sz w:val="22"/>
        </w:rPr>
        <w:t xml:space="preserve">We tested whether genetically proxied mediators transmit the comorbidity (Fig. 4). In insomnia→protein→AD models, CRP and IL-6 indirect effects were null (CRP β_indirect = −0.001, P = 0.93; IL-6 β_indirect = −0.002, P = 0.80; FDR = 0.91) </w:t>
      </w:r>
      <w:r>
        <w:rPr>
          <w:rFonts w:ascii="Times New Roman" w:hAnsi="Times New Roman" w:eastAsia="宋体"/>
          <w:b w:val="0"/>
          <w:i w:val="0"/>
          <w:color w:val="0066CC"/>
          <w:sz w:val="22"/>
        </w:rPr>
        <w:t>[30-32]</w:t>
      </w:r>
      <w:r>
        <w:rPr>
          <w:rFonts w:ascii="Times New Roman" w:hAnsi="Times New Roman" w:eastAsia="宋体"/>
          <w:b w:val="0"/>
          <w:i w:val="0"/>
          <w:sz w:val="22"/>
        </w:rPr>
        <w:t xml:space="preserve">. A curated 36-protein AD-relevant screen (exposure = educational attainment, 317 instruments) returned 25 evaluable proteins, 11 excluded for insufficient instruments, and zero FDR &lt; 0.05 hits (minimum raw P_indirect = 0.111, interleukin-21) </w:t>
      </w:r>
      <w:r>
        <w:rPr>
          <w:rFonts w:ascii="Times New Roman" w:hAnsi="Times New Roman" w:eastAsia="宋体"/>
          <w:b w:val="0"/>
          <w:i w:val="0"/>
          <w:color w:val="0066CC"/>
          <w:sz w:val="22"/>
        </w:rPr>
        <w:t>[30,33]</w:t>
      </w:r>
      <w:r>
        <w:rPr>
          <w:rFonts w:ascii="Times New Roman" w:hAnsi="Times New Roman" w:eastAsia="宋体"/>
          <w:b w:val="0"/>
          <w:i w:val="0"/>
          <w:sz w:val="22"/>
        </w:rPr>
        <w:t xml:space="preserve">; an exposure-substitution check confirmed neither CRP nor IL-6 mediated education→AD (P = 0.86 and 0.83). In the metabolite dimension, total triglycerides significantly mediated education→AD (indirect β = −0.031, SE = 0.008, P = 5.7 × </w:t>
      </w:r>
      <w:r>
        <w:rPr>
          <w:rFonts w:ascii="Times New Roman" w:hAnsi="Times New Roman" w:eastAsia="宋体"/>
          <w:b w:val="0"/>
          <w:i w:val="0"/>
          <w:sz w:val="22"/>
          <w:vertAlign w:val="baseline"/>
        </w:rPr>
        <w:t>10⁻⁵</w:t>
      </w:r>
      <w:r>
        <w:rPr>
          <w:rFonts w:ascii="Times New Roman" w:hAnsi="Times New Roman" w:eastAsia="宋体"/>
          <w:b w:val="0"/>
          <w:i w:val="0"/>
          <w:sz w:val="22"/>
        </w:rPr>
        <w:t xml:space="preserve">, q = 5.7 × </w:t>
      </w:r>
      <w:r>
        <w:rPr>
          <w:rFonts w:ascii="Times New Roman" w:hAnsi="Times New Roman" w:eastAsia="宋体"/>
          <w:b w:val="0"/>
          <w:i w:val="0"/>
          <w:sz w:val="22"/>
          <w:vertAlign w:val="baseline"/>
        </w:rPr>
        <w:t>10⁻⁴</w:t>
      </w:r>
      <w:r>
        <w:rPr>
          <w:rFonts w:ascii="Times New Roman" w:hAnsi="Times New Roman" w:eastAsia="宋体"/>
          <w:b w:val="0"/>
          <w:i w:val="0"/>
          <w:sz w:val="22"/>
        </w:rPr>
        <w:t xml:space="preserve">; bootstrap 95% CI [−0.047, −0.017], P &lt; 0.001), accounting for ~9% of education's total protective effect; total cholesterol, DHA, and omega-3 also passed FDR &lt; 0.05 (q = 0.034–0.045) </w:t>
      </w:r>
      <w:r>
        <w:rPr>
          <w:rFonts w:ascii="Times New Roman" w:hAnsi="Times New Roman" w:eastAsia="宋体"/>
          <w:b w:val="0"/>
          <w:i w:val="0"/>
          <w:color w:val="0066CC"/>
          <w:sz w:val="22"/>
        </w:rPr>
        <w:t>[34-38]</w:t>
      </w:r>
      <w:r>
        <w:rPr>
          <w:rFonts w:ascii="Times New Roman" w:hAnsi="Times New Roman" w:eastAsia="宋体"/>
          <w:b w:val="0"/>
          <w:i w:val="0"/>
          <w:sz w:val="22"/>
        </w:rPr>
        <w:t>. Verdict: the mechanism gate reveals a lipid-mediated, protein-independent architecture — no support for an insomnia→AD pathway, a plausible mediator for education's protection.</w:t>
      </w:r>
    </w:p>
    <w:p w14:paraId="6091FB99">
      <w:pPr>
        <w:rPr>
          <w:rFonts w:hint="eastAsia" w:ascii="Times New Roman" w:hAnsi="Times New Roman" w:eastAsia="宋体"/>
          <w:b/>
          <w:i w:val="0"/>
          <w:sz w:val="22"/>
          <w:lang w:eastAsia="zh-CN"/>
        </w:rPr>
      </w:pPr>
      <w:r>
        <w:rPr>
          <w:rFonts w:hint="eastAsia" w:ascii="Times New Roman" w:hAnsi="Times New Roman" w:eastAsia="宋体"/>
          <w:b/>
          <w:i w:val="0"/>
          <w:sz w:val="22"/>
          <w:lang w:eastAsia="zh-CN"/>
        </w:rPr>
        <w:drawing>
          <wp:inline distT="0" distB="0" distL="114300" distR="114300">
            <wp:extent cx="5473065" cy="4203700"/>
            <wp:effectExtent l="0" t="0" r="13335" b="6350"/>
            <wp:docPr id="4" name="图片 4" descr="Fig4_Mediat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4_Mediation gate"/>
                    <pic:cNvPicPr>
                      <a:picLocks noChangeAspect="1"/>
                    </pic:cNvPicPr>
                  </pic:nvPicPr>
                  <pic:blipFill>
                    <a:blip r:embed="rId9"/>
                    <a:stretch>
                      <a:fillRect/>
                    </a:stretch>
                  </pic:blipFill>
                  <pic:spPr>
                    <a:xfrm>
                      <a:off x="0" y="0"/>
                      <a:ext cx="5473065" cy="4203700"/>
                    </a:xfrm>
                    <a:prstGeom prst="rect">
                      <a:avLst/>
                    </a:prstGeom>
                  </pic:spPr>
                </pic:pic>
              </a:graphicData>
            </a:graphic>
          </wp:inline>
        </w:drawing>
      </w:r>
    </w:p>
    <w:p w14:paraId="7E5C2E38">
      <w:r>
        <w:rPr>
          <w:rFonts w:ascii="Times New Roman" w:hAnsi="Times New Roman" w:eastAsia="宋体"/>
          <w:b/>
          <w:i w:val="0"/>
          <w:sz w:val="22"/>
        </w:rPr>
        <w:t>Figure 4. Mediation gate — protein and metabolite two-step MR.</w:t>
      </w:r>
      <w:r>
        <w:rPr>
          <w:rFonts w:ascii="Times New Roman" w:hAnsi="Times New Roman" w:eastAsia="宋体"/>
          <w:b w:val="0"/>
          <w:i w:val="0"/>
          <w:sz w:val="22"/>
        </w:rPr>
        <w:t xml:space="preserve"> (A) insomnia→CRP/IL-6→AD; (B) education→CRP/IL-6→AD (exposure substitution); (C) G2b 36-protein screen volcano and top-15 forest; metabolite mediation forest for education→metabolite→AD.</w:t>
      </w:r>
    </w:p>
    <w:p w14:paraId="41FB68F5">
      <w:pPr>
        <w:rPr>
          <w:rFonts w:ascii="Times New Roman" w:hAnsi="Times New Roman" w:eastAsia="宋体"/>
          <w:b w:val="0"/>
          <w:i w:val="0"/>
          <w:sz w:val="22"/>
        </w:rPr>
      </w:pPr>
    </w:p>
    <w:p w14:paraId="32D93D4C">
      <w:pPr>
        <w:spacing w:before="280" w:after="80"/>
      </w:pPr>
      <w:r>
        <w:rPr>
          <w:rFonts w:ascii="Times New Roman" w:hAnsi="Times New Roman" w:eastAsia="宋体"/>
          <w:b/>
          <w:i w:val="0"/>
          <w:sz w:val="24"/>
        </w:rPr>
        <w:t>Level 6 — Directional external validation: cross-ancestry consistency and control discrimination</w:t>
      </w:r>
    </w:p>
    <w:p w14:paraId="21F5AD3C">
      <w:r>
        <w:rPr>
          <w:rFonts w:ascii="Times New Roman" w:hAnsi="Times New Roman" w:eastAsia="宋体"/>
          <w:b w:val="0"/>
          <w:i w:val="0"/>
          <w:sz w:val="22"/>
        </w:rPr>
        <w:t xml:space="preserve">The final gate tests generalizability (Fig. 5). Using Chen/Kim/Lam 2024 East Asian (EAS) educational attainment instruments (GCST90296498; n = 165,232), BioBank Japan (BBJ) disease outcomes, and the GARD EAS AD GWAS (NG00182; n = 6,518, 2,919 cases), </w:t>
      </w:r>
      <w:r>
        <w:rPr>
          <w:rFonts w:ascii="Times New Roman" w:hAnsi="Times New Roman" w:eastAsia="宋体"/>
          <w:b/>
          <w:i w:val="0"/>
          <w:sz w:val="22"/>
        </w:rPr>
        <w:t>education→T2D replicated significantly in EAS</w:t>
      </w:r>
      <w:r>
        <w:rPr>
          <w:rFonts w:ascii="Times New Roman" w:hAnsi="Times New Roman" w:eastAsia="宋体"/>
          <w:b w:val="0"/>
          <w:i w:val="0"/>
          <w:sz w:val="22"/>
        </w:rPr>
        <w:t xml:space="preserve">: the same 9 EAS instruments against BBJ type 2 diabetes (bbj-a-77; n = 191,764, 36,614 cases) gave IVW β = −0.145, P = 0.012 (weighted median β = −0.122, P = 0.022; Egger intercept P = 0.819), concordant with the European analysis (β = −0.634). </w:t>
      </w:r>
      <w:r>
        <w:rPr>
          <w:rFonts w:ascii="Times New Roman" w:hAnsi="Times New Roman" w:eastAsia="宋体"/>
          <w:b/>
          <w:i w:val="0"/>
          <w:sz w:val="22"/>
        </w:rPr>
        <w:t>T2D→AD remained null in EAS</w:t>
      </w:r>
      <w:r>
        <w:rPr>
          <w:rFonts w:ascii="Times New Roman" w:hAnsi="Times New Roman" w:eastAsia="宋体"/>
          <w:b w:val="0"/>
          <w:i w:val="0"/>
          <w:sz w:val="22"/>
        </w:rPr>
        <w:t xml:space="preserve">: 71 position-matched BBJ T2D instruments against GARD EAS AD gave IVW β = +0.006, P = 0.93, matching the European null. </w:t>
      </w:r>
      <w:r>
        <w:rPr>
          <w:rFonts w:ascii="Times New Roman" w:hAnsi="Times New Roman" w:eastAsia="宋体"/>
          <w:b/>
          <w:i w:val="0"/>
          <w:sz w:val="22"/>
        </w:rPr>
        <w:t>Education→Stroke was null in EAS</w:t>
      </w:r>
      <w:r>
        <w:rPr>
          <w:rFonts w:ascii="Times New Roman" w:hAnsi="Times New Roman" w:eastAsia="宋体"/>
          <w:b w:val="0"/>
          <w:i w:val="0"/>
          <w:sz w:val="22"/>
        </w:rPr>
        <w:t xml:space="preserve"> (BBJ ischemic stroke, bbj-a-129; n = 210,054, 17,671 cases): IVW β = −0.008, P = 0.87 (underpowered with 9 instruments, directionally consistent). Education→AD EAS directional consistency (β = −0.029, P = 0.85) was reported previously </w:t>
      </w:r>
      <w:r>
        <w:rPr>
          <w:rFonts w:ascii="Times New Roman" w:hAnsi="Times New Roman" w:eastAsia="宋体"/>
          <w:b w:val="0"/>
          <w:i w:val="0"/>
          <w:color w:val="0066CC"/>
          <w:sz w:val="22"/>
        </w:rPr>
        <w:t>[13,39]</w:t>
      </w:r>
      <w:r>
        <w:rPr>
          <w:rFonts w:ascii="Times New Roman" w:hAnsi="Times New Roman" w:eastAsia="宋体"/>
          <w:b w:val="0"/>
          <w:i w:val="0"/>
          <w:sz w:val="22"/>
        </w:rPr>
        <w:t>. Across all four checks, no framework-assigned direction was contradicted in EAS (Supplementary Note 2).</w:t>
      </w:r>
    </w:p>
    <w:p w14:paraId="5EE66E90">
      <w:pPr>
        <w:rPr>
          <w:rFonts w:ascii="Times New Roman" w:hAnsi="Times New Roman" w:eastAsia="宋体"/>
          <w:b w:val="0"/>
          <w:i w:val="0"/>
          <w:sz w:val="22"/>
        </w:rPr>
      </w:pPr>
      <w:r>
        <w:rPr>
          <w:rFonts w:ascii="Times New Roman" w:hAnsi="Times New Roman" w:eastAsia="宋体"/>
          <w:b w:val="0"/>
          <w:i w:val="0"/>
          <w:sz w:val="22"/>
        </w:rPr>
        <w:t xml:space="preserve">The decisive test of a validation framework is whether it separates true from null claims </w:t>
      </w:r>
      <w:r>
        <w:rPr>
          <w:rFonts w:ascii="Times New Roman" w:hAnsi="Times New Roman" w:eastAsia="宋体"/>
          <w:b w:val="0"/>
          <w:i w:val="0"/>
          <w:color w:val="0066CC"/>
          <w:sz w:val="22"/>
        </w:rPr>
        <w:t>[40-41]</w:t>
      </w:r>
      <w:r>
        <w:rPr>
          <w:rFonts w:ascii="Times New Roman" w:hAnsi="Times New Roman" w:eastAsia="宋体"/>
          <w:b w:val="0"/>
          <w:i w:val="0"/>
          <w:sz w:val="22"/>
        </w:rPr>
        <w:t xml:space="preserve">. Discrimination was tested across twelve trait pairs spanning four disease domains and the full grade spectrum (Supplementary </w:t>
      </w:r>
      <w:r>
        <w:rPr>
          <w:rFonts w:hint="eastAsia" w:eastAsia="宋体"/>
          <w:b w:val="0"/>
          <w:i w:val="0"/>
          <w:sz w:val="22"/>
          <w:lang w:eastAsia="zh-CN"/>
        </w:rPr>
        <w:t>table S7</w:t>
      </w:r>
      <w:r>
        <w:rPr>
          <w:rFonts w:ascii="Times New Roman" w:hAnsi="Times New Roman" w:eastAsia="宋体"/>
          <w:b w:val="0"/>
          <w:i w:val="0"/>
          <w:sz w:val="22"/>
        </w:rPr>
        <w:t xml:space="preserve">): four positive effects received Grade A; one borderline protective received Grade B (Education→T2D; F = 50, IVW β = −0.634, P = 2.1 × </w:t>
      </w:r>
      <w:r>
        <w:rPr>
          <w:rFonts w:ascii="Times New Roman" w:hAnsi="Times New Roman" w:eastAsia="宋体"/>
          <w:b w:val="0"/>
          <w:i w:val="0"/>
          <w:sz w:val="22"/>
          <w:vertAlign w:val="baseline"/>
        </w:rPr>
        <w:t>10⁻²⁶</w:t>
      </w:r>
      <w:r>
        <w:rPr>
          <w:rFonts w:ascii="Times New Roman" w:hAnsi="Times New Roman" w:eastAsia="宋体"/>
          <w:b w:val="0"/>
          <w:i w:val="0"/>
          <w:sz w:val="22"/>
        </w:rPr>
        <w:t xml:space="preserve">, downgraded by Egger intercept P = 0.036 and heterogeneity Q P = 3.2 × </w:t>
      </w:r>
      <w:r>
        <w:rPr>
          <w:rFonts w:ascii="Times New Roman" w:hAnsi="Times New Roman" w:eastAsia="宋体"/>
          <w:b w:val="0"/>
          <w:i w:val="0"/>
          <w:sz w:val="22"/>
          <w:vertAlign w:val="baseline"/>
        </w:rPr>
        <w:t>10⁻²⁹</w:t>
      </w:r>
      <w:r>
        <w:rPr>
          <w:rFonts w:ascii="Times New Roman" w:hAnsi="Times New Roman" w:eastAsia="宋体"/>
          <w:b w:val="0"/>
          <w:i w:val="0"/>
          <w:sz w:val="22"/>
        </w:rPr>
        <w:t xml:space="preserve">, but with significant EAS replication, 9/12); four pleiotropy-driven or reclassified pairs received Grade C (insomnia→AD, BMI→stroke, HDL→CAD, depression→AD); three cleanly null claims received Grade D (CRP→CAD at F = 176, BMI→AD at F = 66, T2D→AD at F = 78). Among the key new cases, Education→T2D (317 instruments, F = 50) demonstrates a well-established positive where mild pleiotropy correctly downgrades the grade while cross-ancestry consistency is retained; Depression→AD (50 instruments, F = 37.9; IVW β = −0.254, P = 0.0135, weighted median P = 0.059) parallels the insomnia→AD pair as a psychiatric exposure against AD with mixed sensitivity-method agreement (Grade C, 5/12); T2D→AD (118 instruments, F = 77.8; IVW β = −0.010, P = 0.714) is a clean null at high power (Grade D, 1/12), mirroring the framework's correct rejection of BMI→AD. LDL→CAD (F = 182; IVW β = +0.388, P = 2.0 × </w:t>
      </w:r>
      <w:r>
        <w:rPr>
          <w:rFonts w:ascii="Times New Roman" w:hAnsi="Times New Roman" w:eastAsia="宋体"/>
          <w:b w:val="0"/>
          <w:i w:val="0"/>
          <w:sz w:val="22"/>
          <w:vertAlign w:val="baseline"/>
        </w:rPr>
        <w:t>10⁻²⁰</w:t>
      </w:r>
      <w:r>
        <w:rPr>
          <w:rFonts w:ascii="Times New Roman" w:hAnsi="Times New Roman" w:eastAsia="宋体"/>
          <w:b w:val="0"/>
          <w:i w:val="0"/>
          <w:sz w:val="22"/>
        </w:rPr>
        <w:t xml:space="preserve">, MR-Egger and weighted median concordant) and Education→AD achieve Grade A </w:t>
      </w:r>
      <w:r>
        <w:rPr>
          <w:rFonts w:ascii="Times New Roman" w:hAnsi="Times New Roman" w:eastAsia="宋体"/>
          <w:b w:val="0"/>
          <w:i w:val="0"/>
          <w:color w:val="0066CC"/>
          <w:sz w:val="22"/>
        </w:rPr>
        <w:t>[42]</w:t>
      </w:r>
      <w:r>
        <w:rPr>
          <w:rFonts w:ascii="Times New Roman" w:hAnsi="Times New Roman" w:eastAsia="宋体"/>
          <w:b w:val="0"/>
          <w:i w:val="0"/>
          <w:sz w:val="22"/>
        </w:rPr>
        <w:t xml:space="preserve">; BMI→AD (F = 65.6; IVW β = −0.092, P = 0.32) — a genuinely </w:t>
      </w:r>
      <w:r>
        <w:rPr>
          <w:rFonts w:ascii="Times New Roman" w:hAnsi="Times New Roman" w:eastAsia="宋体"/>
          <w:b w:val="0"/>
          <w:i/>
          <w:sz w:val="22"/>
        </w:rPr>
        <w:t>contested</w:t>
      </w:r>
      <w:r>
        <w:rPr>
          <w:rFonts w:ascii="Times New Roman" w:hAnsi="Times New Roman" w:eastAsia="宋体"/>
          <w:b w:val="0"/>
          <w:i w:val="0"/>
          <w:sz w:val="22"/>
        </w:rPr>
        <w:t xml:space="preserve"> relationship </w:t>
      </w:r>
      <w:r>
        <w:rPr>
          <w:rFonts w:ascii="Times New Roman" w:hAnsi="Times New Roman" w:eastAsia="宋体"/>
          <w:b w:val="0"/>
          <w:i w:val="0"/>
          <w:color w:val="0066CC"/>
          <w:sz w:val="22"/>
        </w:rPr>
        <w:t>[43]</w:t>
      </w:r>
      <w:r>
        <w:rPr>
          <w:rFonts w:ascii="Times New Roman" w:hAnsi="Times New Roman" w:eastAsia="宋体"/>
          <w:b w:val="0"/>
          <w:i w:val="0"/>
          <w:sz w:val="22"/>
        </w:rPr>
        <w:t xml:space="preserve"> — is correctly rejected as Grade D; insomnia→AD is Grade C after failing the robustness gate. Internal specificity is corroborated by 25/25 null protein mediators coexisting with significant education→AD, LDL→CAD, and TG-mediation effects. Full per-level scoring is in Supplementary </w:t>
      </w:r>
      <w:r>
        <w:rPr>
          <w:rFonts w:hint="eastAsia" w:eastAsia="宋体"/>
          <w:b w:val="0"/>
          <w:i w:val="0"/>
          <w:sz w:val="22"/>
          <w:lang w:eastAsia="zh-CN"/>
        </w:rPr>
        <w:t>table S7</w:t>
      </w:r>
      <w:r>
        <w:rPr>
          <w:rFonts w:ascii="Times New Roman" w:hAnsi="Times New Roman" w:eastAsia="宋体"/>
          <w:b w:val="0"/>
          <w:i w:val="0"/>
          <w:sz w:val="22"/>
        </w:rPr>
        <w:t xml:space="preserve"> and Fig. 5.</w:t>
      </w:r>
    </w:p>
    <w:p w14:paraId="759D304E">
      <w:pPr>
        <w:rPr>
          <w:rFonts w:hint="eastAsia" w:ascii="Times New Roman" w:hAnsi="Times New Roman" w:eastAsia="宋体"/>
          <w:b/>
          <w:i w:val="0"/>
          <w:sz w:val="22"/>
          <w:lang w:eastAsia="zh-CN"/>
        </w:rPr>
      </w:pPr>
      <w:r>
        <w:rPr>
          <w:rFonts w:hint="eastAsia" w:ascii="Times New Roman" w:hAnsi="Times New Roman" w:eastAsia="宋体"/>
          <w:b/>
          <w:i w:val="0"/>
          <w:sz w:val="22"/>
          <w:lang w:eastAsia="zh-CN"/>
        </w:rPr>
        <w:drawing>
          <wp:inline distT="0" distB="0" distL="114300" distR="114300">
            <wp:extent cx="5477510" cy="3024505"/>
            <wp:effectExtent l="0" t="0" r="8890" b="4445"/>
            <wp:docPr id="5" name="图片 5" descr="Fig5_validation_gr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5_validation_grading"/>
                    <pic:cNvPicPr>
                      <a:picLocks noChangeAspect="1"/>
                    </pic:cNvPicPr>
                  </pic:nvPicPr>
                  <pic:blipFill>
                    <a:blip r:embed="rId10"/>
                    <a:stretch>
                      <a:fillRect/>
                    </a:stretch>
                  </pic:blipFill>
                  <pic:spPr>
                    <a:xfrm>
                      <a:off x="0" y="0"/>
                      <a:ext cx="5477510" cy="3024505"/>
                    </a:xfrm>
                    <a:prstGeom prst="rect">
                      <a:avLst/>
                    </a:prstGeom>
                  </pic:spPr>
                </pic:pic>
              </a:graphicData>
            </a:graphic>
          </wp:inline>
        </w:drawing>
      </w:r>
    </w:p>
    <w:p w14:paraId="792EEB38">
      <w:pPr>
        <w:rPr>
          <w:rFonts w:ascii="Times New Roman" w:hAnsi="Times New Roman" w:eastAsia="宋体"/>
          <w:b w:val="0"/>
          <w:i w:val="0"/>
          <w:sz w:val="22"/>
        </w:rPr>
      </w:pPr>
      <w:r>
        <w:rPr>
          <w:rFonts w:ascii="Times New Roman" w:hAnsi="Times New Roman" w:eastAsia="宋体"/>
          <w:b/>
          <w:i w:val="0"/>
          <w:sz w:val="22"/>
        </w:rPr>
        <w:t>Figure 5. Validation cohort — quantitative evidence grading.</w:t>
      </w:r>
      <w:r>
        <w:rPr>
          <w:rFonts w:ascii="Times New Roman" w:hAnsi="Times New Roman" w:eastAsia="宋体"/>
          <w:b w:val="0"/>
          <w:i w:val="0"/>
          <w:sz w:val="22"/>
        </w:rPr>
        <w:t xml:space="preserve"> Twelve evaluated cases scored on the 0–2 per-level, 0–12 cumulative scoring system, spanning four disease domains (A: 4, B: 1, C: 4, D: 3). The full rubric follows the framework architecture detailed in Methods.</w:t>
      </w:r>
    </w:p>
    <w:p w14:paraId="15B5EFD0">
      <w:pPr>
        <w:rPr>
          <w:rFonts w:ascii="Times New Roman" w:hAnsi="Times New Roman" w:eastAsia="宋体"/>
          <w:b w:val="0"/>
          <w:i w:val="0"/>
          <w:sz w:val="22"/>
        </w:rPr>
      </w:pPr>
    </w:p>
    <w:p w14:paraId="20DC8FA0">
      <w:pPr>
        <w:spacing w:before="280" w:after="80"/>
      </w:pPr>
      <w:r>
        <w:rPr>
          <w:rFonts w:ascii="Times New Roman" w:hAnsi="Times New Roman" w:eastAsia="宋体"/>
          <w:b/>
          <w:i w:val="0"/>
          <w:sz w:val="24"/>
        </w:rPr>
        <w:t>Framework synthesis</w:t>
      </w:r>
    </w:p>
    <w:p w14:paraId="620B09BB">
      <w:r>
        <w:rPr>
          <w:rFonts w:ascii="Times New Roman" w:hAnsi="Times New Roman" w:eastAsia="宋体"/>
          <w:b w:val="0"/>
          <w:i w:val="0"/>
          <w:sz w:val="22"/>
        </w:rPr>
        <w:t xml:space="preserve">Integrating all six levels, the insomnia–AD pair is classified as </w:t>
      </w:r>
      <w:r>
        <w:rPr>
          <w:rFonts w:ascii="Times New Roman" w:hAnsi="Times New Roman" w:eastAsia="宋体"/>
          <w:b/>
          <w:i w:val="0"/>
          <w:sz w:val="22"/>
        </w:rPr>
        <w:t>shared liability without independent causal upstream</w:t>
      </w:r>
      <w:r>
        <w:rPr>
          <w:rFonts w:ascii="Times New Roman" w:hAnsi="Times New Roman" w:eastAsia="宋体"/>
          <w:b w:val="0"/>
          <w:i w:val="0"/>
          <w:sz w:val="22"/>
        </w:rPr>
        <w:t xml:space="preserve"> (Fig. 1c): L1 unclumped positive signal (+0.10, screening only); L2 clumped, overlap-corrected, and multivariate estimates converge to null; L3 rg ≈ 0 (P = 0.57) with reverse-dominant, APOE-centered colocalization; L4 education protective, insomnia direct null/negative; L5 no protein mediation with partial TG mediation of education's protection; L6 EAS directional consistency for education. CAUSE's nominally causal forward signal (Kunkle P = 0.039; Bellenguez P = 0.002) coexists with null-or-negative clumped IVW (P = 0.52–0.64), MRlap (P = 0.43), and MVMR (β ≈ −0.5, P = 0.045–0.16); given the clumped analysis's ~7% power, the residual forward component is compatible with the converging null estimates and is interpreted as a small unresolved effect, not a positive causal claim. Steiger is reported as a caution against its mechanical application in prevalence-discrepant pairs, not as direction-determining evidence.</w:t>
      </w:r>
    </w:p>
    <w:p w14:paraId="39325869">
      <w:pPr>
        <w:spacing w:before="280" w:after="80"/>
      </w:pPr>
      <w:r>
        <w:rPr>
          <w:rFonts w:ascii="Times New Roman" w:hAnsi="Times New Roman" w:eastAsia="宋体"/>
          <w:b/>
          <w:i w:val="0"/>
          <w:sz w:val="24"/>
        </w:rPr>
        <w:t>Framework operating characteristics: simulation study</w:t>
      </w:r>
    </w:p>
    <w:p w14:paraId="41ADFD18">
      <w:r>
        <w:rPr>
          <w:rFonts w:ascii="Times New Roman" w:hAnsi="Times New Roman" w:eastAsia="宋体"/>
          <w:b w:val="0"/>
          <w:i w:val="0"/>
          <w:sz w:val="22"/>
        </w:rPr>
        <w:t xml:space="preserve">To complement the empirical cohort, we quantified operating characteristics via simulation with known ground truth (causal β = 0 / 0.08 / 0.15 per-SD) across a scenario grid varying LD concentration (40 / 12 / 5 LD blocks), pleiotropy regime (none / balanced / directional), sample overlap (0 / 0.3), and instrument count (20 / 60) — 43,200 replicates scored by all six gates and assigned Grade A/B/C/D; mediation signals were generated only under true causal pathways, and L1 failure cascaded to Grade D. In the ideal scenario (no pleiotropy, no overlap), sensitivity at moderate effect (0.15) was 0.97 (Grade A: 0.88) with specificity 1.00 at null and zero false discoveries. Balanced pleiotropy reduced sensitivity to 0.85 (specificity 0.80; FDR 0.06); directional pleiotropy, with or without 30% overlap, gave sensitivity 0.79–0.80, specificity 0.68, and FDR 0.08–0.18. Sensitivity for weak effects (β = 0.08) fell to ~0.5, reflecting deliberate conservatism when power is insufficient — the same calibration that protects against false-positive claims in real MR. Full curves are in Supplementary Fig. 5; per-scenario estimates in Supplementary </w:t>
      </w:r>
      <w:r>
        <w:rPr>
          <w:rFonts w:hint="eastAsia" w:eastAsia="宋体"/>
          <w:b w:val="0"/>
          <w:i w:val="0"/>
          <w:sz w:val="22"/>
          <w:lang w:eastAsia="zh-CN"/>
        </w:rPr>
        <w:t>table S8</w:t>
      </w:r>
      <w:r>
        <w:rPr>
          <w:rFonts w:ascii="Times New Roman" w:hAnsi="Times New Roman" w:eastAsia="宋体"/>
          <w:b w:val="0"/>
          <w:i w:val="0"/>
          <w:sz w:val="22"/>
        </w:rPr>
        <w:t>. The simulation abstracts from real-data complications (discrete LD blocks rather than the full 1000 Genomes matrix; leave-one-out proxy for L4; discrete second-sample noise for L6) and complements rather than replaces the empirical cohort.</w:t>
      </w:r>
    </w:p>
    <w:p w14:paraId="6706A0F4"/>
    <w:p w14:paraId="0F40698C">
      <w:pPr>
        <w:spacing w:before="360" w:after="120"/>
        <w:jc w:val="center"/>
      </w:pPr>
      <w:r>
        <w:rPr>
          <w:rFonts w:ascii="Times New Roman" w:hAnsi="Times New Roman" w:eastAsia="宋体"/>
          <w:b/>
          <w:i w:val="0"/>
          <w:sz w:val="28"/>
        </w:rPr>
        <w:t>Discussion</w:t>
      </w:r>
    </w:p>
    <w:p w14:paraId="55FCDEA5">
      <w:r>
        <w:rPr>
          <w:rFonts w:ascii="Times New Roman" w:hAnsi="Times New Roman" w:eastAsia="宋体"/>
          <w:b/>
          <w:i w:val="0"/>
          <w:sz w:val="22"/>
        </w:rPr>
        <w:t>A validation framework, not another comorbidity MR finding.</w:t>
      </w:r>
      <w:r>
        <w:rPr>
          <w:rFonts w:ascii="Times New Roman" w:hAnsi="Times New Roman" w:eastAsia="宋体"/>
          <w:b w:val="0"/>
          <w:i w:val="0"/>
          <w:sz w:val="22"/>
        </w:rPr>
        <w:t xml:space="preserve"> This paper's contribution is not the specific insomnia–AD conclusion — that pair is a demonstration — but the causal-claim validation framework it introduces. Routine MR asks "is the IVW significant?" and, if MR-Egger and PRESSO do not contradict it, publishes a causal claim. That pipeline produced the insomnia→AD finding at β = +0.10 (P = 9 × 10</w:t>
      </w:r>
      <w:r>
        <w:rPr>
          <w:rFonts w:hint="eastAsia" w:eastAsia="宋体"/>
          <w:b w:val="0"/>
          <w:i w:val="0"/>
          <w:sz w:val="22"/>
          <w:vertAlign w:val="superscript"/>
          <w:lang w:val="en-US" w:eastAsia="zh-CN"/>
        </w:rPr>
        <w:t>-4</w:t>
      </w:r>
      <w:r>
        <w:rPr>
          <w:rFonts w:ascii="Times New Roman" w:hAnsi="Times New Roman" w:eastAsia="宋体"/>
          <w:b w:val="0"/>
          <w:i w:val="0"/>
          <w:sz w:val="22"/>
        </w:rPr>
        <w:t xml:space="preserve">); it is reproducible and survives conventional sensitivity checks, but not the most basic instrument-validation check: LD-clumping reverses the estimate to null (P = 0.52–0.64). The original result was correct within the standard workflow; the workflow itself is not designed to falsify its own output. The six-level framework inverts this logic: the severity of the tests survived, not the number of methods passed, determines the strength of a causal claim </w:t>
      </w:r>
      <w:r>
        <w:rPr>
          <w:rFonts w:ascii="Times New Roman" w:hAnsi="Times New Roman" w:eastAsia="宋体"/>
          <w:b w:val="0"/>
          <w:i w:val="0"/>
          <w:color w:val="0066CC"/>
          <w:sz w:val="22"/>
        </w:rPr>
        <w:t>[10-11,40]</w:t>
      </w:r>
      <w:r>
        <w:rPr>
          <w:rFonts w:ascii="Times New Roman" w:hAnsi="Times New Roman" w:eastAsia="宋体"/>
          <w:b w:val="0"/>
          <w:i w:val="0"/>
          <w:sz w:val="22"/>
        </w:rPr>
        <w:t>. The formal rationale for the hierarchy — why six levels, why this order — is detailed in Methods.</w:t>
      </w:r>
    </w:p>
    <w:p w14:paraId="21EB0F8D">
      <w:r>
        <w:rPr>
          <w:rFonts w:ascii="Times New Roman" w:hAnsi="Times New Roman" w:eastAsia="宋体"/>
          <w:b/>
          <w:i w:val="0"/>
          <w:sz w:val="22"/>
        </w:rPr>
        <w:t>Why polygenic architecture inflates MR — and why falsification is the remedy.</w:t>
      </w:r>
      <w:r>
        <w:rPr>
          <w:rFonts w:ascii="Times New Roman" w:hAnsi="Times New Roman" w:eastAsia="宋体"/>
          <w:b w:val="0"/>
          <w:i w:val="0"/>
          <w:sz w:val="22"/>
        </w:rPr>
        <w:t xml:space="preserve"> Unclumped UVMR recapitulates the published signal (β = +0.104, P = 9.3 × 10</w:t>
      </w:r>
      <w:r>
        <w:rPr>
          <w:rFonts w:hint="eastAsia" w:eastAsia="宋体"/>
          <w:b w:val="0"/>
          <w:i w:val="0"/>
          <w:sz w:val="22"/>
          <w:vertAlign w:val="superscript"/>
          <w:lang w:val="en-US" w:eastAsia="zh-CN"/>
        </w:rPr>
        <w:t>-4</w:t>
      </w:r>
      <w:r>
        <w:rPr>
          <w:rFonts w:ascii="Times New Roman" w:hAnsi="Times New Roman" w:eastAsia="宋体"/>
          <w:b w:val="0"/>
          <w:i w:val="0"/>
          <w:sz w:val="22"/>
        </w:rPr>
        <w:t xml:space="preserve">), but this precision is an artefact of 2,462 correlated instruments concentrated in a single LD landscape; clumping, overlap correction, and MVMR each constrain the effect to null or negative. The apparent comorbidity arises from APOE-centered locus-specific shared liability, not a genome-wide causal relationship. LD-clump sensitivity analysis should be reported as a default for any MR-based causal claim, particularly in comorbidity pairs where a single genomic region may drive both traits' associations </w:t>
      </w:r>
      <w:r>
        <w:rPr>
          <w:rFonts w:ascii="Times New Roman" w:hAnsi="Times New Roman" w:eastAsia="宋体"/>
          <w:b w:val="0"/>
          <w:i w:val="0"/>
          <w:color w:val="0066CC"/>
          <w:sz w:val="22"/>
        </w:rPr>
        <w:t>[8-9,20,44]</w:t>
      </w:r>
      <w:r>
        <w:rPr>
          <w:rFonts w:ascii="Times New Roman" w:hAnsi="Times New Roman" w:eastAsia="宋体"/>
          <w:b w:val="0"/>
          <w:i w:val="0"/>
          <w:sz w:val="22"/>
        </w:rPr>
        <w:t xml:space="preserve">. Our findings do not contradict earlier positive reports; they contextualize them — the unclumped signal we reproduce closely matches published estimates </w:t>
      </w:r>
      <w:r>
        <w:rPr>
          <w:rFonts w:ascii="Times New Roman" w:hAnsi="Times New Roman" w:eastAsia="宋体"/>
          <w:b w:val="0"/>
          <w:i w:val="0"/>
          <w:color w:val="0066CC"/>
          <w:sz w:val="22"/>
        </w:rPr>
        <w:t>[2-5]</w:t>
      </w:r>
      <w:r>
        <w:rPr>
          <w:rFonts w:ascii="Times New Roman" w:hAnsi="Times New Roman" w:eastAsia="宋体"/>
          <w:b w:val="0"/>
          <w:i w:val="0"/>
          <w:sz w:val="22"/>
        </w:rPr>
        <w:t>, and studies that did not report clumped-versus-unclumped contrasts may have over-interpreted correlated-instrument inflation as biology. Early pipelines (2017–2020) often defaulted to IVW without clump-sensitivity checks, the first positive report may have seeded a citation cascade replicating the same blind spot, and reviewers have not routinely requested instrument-independence reports; the framework provides a constructive template for re-evaluating similarly positioned claims.</w:t>
      </w:r>
    </w:p>
    <w:p w14:paraId="677D74EF">
      <w:r>
        <w:rPr>
          <w:rFonts w:ascii="Times New Roman" w:hAnsi="Times New Roman" w:eastAsia="宋体"/>
          <w:b/>
          <w:i w:val="0"/>
          <w:sz w:val="22"/>
        </w:rPr>
        <w:t>Shared liability, not bidirectionality: colocalization asymmetry and the limits of Steiger.</w:t>
      </w:r>
      <w:r>
        <w:rPr>
          <w:rFonts w:ascii="Times New Roman" w:hAnsi="Times New Roman" w:eastAsia="宋体"/>
          <w:b w:val="0"/>
          <w:i w:val="0"/>
          <w:sz w:val="22"/>
        </w:rPr>
        <w:t xml:space="preserve"> The reverse-dominant colocalization (18/32 vs. 1/47 loci) is a signature of shared liability: a common APOE ε4 variant elevates both traits, creating apparent bidirectional epidemiology. Colocalization establishes a shared causal variant, not direction; triangulation with null rg and null-to-negative forward MR favors shared liability. Steiger directionality testing proved uninformative — its conclusion flipped with the method used to construct r from binary outcomes — and is reported as a caution against its mechanical application in prevalence-discrepant comorbidity pairs, not as a limitation of Steiger per se.</w:t>
      </w:r>
    </w:p>
    <w:p w14:paraId="2AF45D21">
      <w:r>
        <w:rPr>
          <w:rFonts w:ascii="Times New Roman" w:hAnsi="Times New Roman" w:eastAsia="宋体"/>
          <w:b/>
          <w:i w:val="0"/>
          <w:sz w:val="22"/>
        </w:rPr>
        <w:t>Validation across the grade spectrum, with simulation-based calibration.</w:t>
      </w:r>
      <w:r>
        <w:rPr>
          <w:rFonts w:ascii="Times New Roman" w:hAnsi="Times New Roman" w:eastAsia="宋体"/>
          <w:b w:val="0"/>
          <w:i w:val="0"/>
          <w:sz w:val="22"/>
        </w:rPr>
        <w:t xml:space="preserve"> Discrimination was tested across 12 cases spanning 4 disease domains, scored against the six-level rubric (Fig. 5; Supplementary </w:t>
      </w:r>
      <w:r>
        <w:rPr>
          <w:rFonts w:hint="eastAsia" w:eastAsia="宋体"/>
          <w:b w:val="0"/>
          <w:i w:val="0"/>
          <w:sz w:val="22"/>
          <w:lang w:eastAsia="zh-CN"/>
        </w:rPr>
        <w:t>table S7</w:t>
      </w:r>
      <w:r>
        <w:rPr>
          <w:rFonts w:ascii="Times New Roman" w:hAnsi="Times New Roman" w:eastAsia="宋体"/>
          <w:b w:val="0"/>
          <w:i w:val="0"/>
          <w:sz w:val="22"/>
        </w:rPr>
        <w:t>). Four confirmed positive effects received Grade A, including Height→CAD (a genuinely protective relationship intended as a negative-control candidate — the framework is not biased toward null); one borderline protective received Grade B (Education→T2D); four cases received Grade C — the LD-driven Insomnia→AD, the pleiotropy-driven BMI→Stroke (IVW P = 0.018 vs. WM P = 0.30), the MR-corrected HDL→CAD (IVW P = 8.9 × 10</w:t>
      </w:r>
      <w:r>
        <w:rPr>
          <w:rFonts w:hint="eastAsia" w:eastAsia="宋体"/>
          <w:b w:val="0"/>
          <w:i w:val="0"/>
          <w:sz w:val="22"/>
          <w:vertAlign w:val="superscript"/>
          <w:lang w:val="en-US" w:eastAsia="zh-CN"/>
        </w:rPr>
        <w:t>-4</w:t>
      </w:r>
      <w:r>
        <w:rPr>
          <w:rFonts w:ascii="Times New Roman" w:hAnsi="Times New Roman" w:eastAsia="宋体"/>
          <w:b w:val="0"/>
          <w:i w:val="0"/>
          <w:sz w:val="22"/>
        </w:rPr>
        <w:t xml:space="preserve"> vs. MR-Egger P = 0.89), and the psychiatric-exposure Depression→AD — and three received Grade D (BMI→AD, CRP→CAD, T2D→AD). HDL→CAD is particularly informative: it is the most widely cited example of MR overturning a false therapeutic target, and the framework's Grade C is consistent with the cumulative clinical-trial evidence. The IEU OpenGWAS catalog was systematically searched for negative controls (probing</w:t>
      </w:r>
      <w:r>
        <w:rPr>
          <w:rFonts w:ascii="Times New Roman" w:hAnsi="Times New Roman" w:eastAsia="宋体"/>
          <w:b w:val="0"/>
          <w:i w:val="0"/>
          <w:sz w:val="22"/>
          <w:vertAlign w:val="baseline"/>
        </w:rPr>
        <w:t xml:space="preserve"> </w:t>
      </w:r>
      <w:r>
        <w:rPr>
          <w:rFonts w:hint="eastAsia" w:eastAsia="宋体"/>
          <w:b w:val="0"/>
          <w:i w:val="0"/>
          <w:sz w:val="22"/>
          <w:vertAlign w:val="baseline"/>
          <w:lang w:val="en-US" w:eastAsia="zh-CN"/>
        </w:rPr>
        <w:t>~</w:t>
      </w:r>
      <w:r>
        <w:rPr>
          <w:rFonts w:ascii="Times New Roman" w:hAnsi="Times New Roman" w:eastAsia="宋体"/>
          <w:b w:val="0"/>
          <w:i w:val="0"/>
          <w:sz w:val="22"/>
          <w:vertAlign w:val="baseline"/>
        </w:rPr>
        <w:t xml:space="preserve">120 GWAS IDs across </w:t>
      </w:r>
      <w:r>
        <w:rPr>
          <w:rFonts w:hint="eastAsia" w:eastAsia="宋体"/>
          <w:b w:val="0"/>
          <w:i w:val="0"/>
          <w:sz w:val="22"/>
          <w:vertAlign w:val="baseline"/>
          <w:lang w:val="en-US" w:eastAsia="zh-CN"/>
        </w:rPr>
        <w:t>~</w:t>
      </w:r>
      <w:r>
        <w:rPr>
          <w:rFonts w:ascii="Times New Roman" w:hAnsi="Times New Roman" w:eastAsia="宋体"/>
          <w:b w:val="0"/>
          <w:i w:val="0"/>
          <w:sz w:val="22"/>
        </w:rPr>
        <w:t xml:space="preserve">50 traits); Height→AD was the only candidate passing all three screen criteria and was archived in Supplementary </w:t>
      </w:r>
      <w:r>
        <w:rPr>
          <w:rFonts w:hint="eastAsia" w:eastAsia="宋体"/>
          <w:b w:val="0"/>
          <w:i w:val="0"/>
          <w:sz w:val="22"/>
          <w:lang w:eastAsia="zh-CN"/>
        </w:rPr>
        <w:t>table S6</w:t>
      </w:r>
      <w:r>
        <w:rPr>
          <w:rFonts w:ascii="Times New Roman" w:hAnsi="Times New Roman" w:eastAsia="宋体"/>
          <w:b w:val="0"/>
          <w:i w:val="0"/>
          <w:sz w:val="22"/>
        </w:rPr>
        <w:t>. Simulation-based operating characteristics (sensitivity 0.97 / specificity 1.00 in the ideal scenario; FDR ≤ 0.18 under directional pleiotropy) confirm that the framework detects pleiotropy- and overlap-driven inflation and downgrades rather than misclassifies it.</w:t>
      </w:r>
    </w:p>
    <w:p w14:paraId="0144CC52">
      <w:r>
        <w:rPr>
          <w:rFonts w:ascii="Times New Roman" w:hAnsi="Times New Roman" w:eastAsia="宋体"/>
          <w:b/>
          <w:i w:val="0"/>
          <w:sz w:val="22"/>
        </w:rPr>
        <w:t>Implications for practice, beyond MR.</w:t>
      </w:r>
      <w:r>
        <w:rPr>
          <w:rFonts w:ascii="Times New Roman" w:hAnsi="Times New Roman" w:eastAsia="宋体"/>
          <w:b w:val="0"/>
          <w:i w:val="0"/>
          <w:sz w:val="22"/>
        </w:rPr>
        <w:t xml:space="preserve"> Any causal claim resting on polygenic evidence — MR-based or observational — should clear at least the first two gates (association and robustness) by default; high-confidence claims require passage through all six </w:t>
      </w:r>
      <w:r>
        <w:rPr>
          <w:rFonts w:ascii="Times New Roman" w:hAnsi="Times New Roman" w:eastAsia="宋体"/>
          <w:b w:val="0"/>
          <w:i w:val="0"/>
          <w:color w:val="0066CC"/>
          <w:sz w:val="22"/>
        </w:rPr>
        <w:t>[1,7]</w:t>
      </w:r>
      <w:r>
        <w:rPr>
          <w:rFonts w:ascii="Times New Roman" w:hAnsi="Times New Roman" w:eastAsia="宋体"/>
          <w:b w:val="0"/>
          <w:i w:val="0"/>
          <w:sz w:val="22"/>
        </w:rPr>
        <w:t xml:space="preserve">. For researchers, the minimum expectation should be that every paper reports both clumped and unclumped IVW estimates as a standard sensitivity analysis, analogous to reporting fixed- and random-effect meta-analyses; this single additional column allows post hoc re-evaluation without raw data. For reviewers and editors, the six-level rubric provides a transparent standard — a Grade C or D assignment does not automatically disqualify a study, but requires authors to discuss whether their signal reflects shared liability rather than directed causality. For GWAS consortia, biobanks, and observational epidemiologists, pre-harmonized reference panels and a curated negative-control set would reduce the technical burden of adoption. STROBE-MR </w:t>
      </w:r>
      <w:r>
        <w:rPr>
          <w:rFonts w:ascii="Times New Roman" w:hAnsi="Times New Roman" w:eastAsia="宋体"/>
          <w:b w:val="0"/>
          <w:i w:val="0"/>
          <w:color w:val="0066CC"/>
          <w:sz w:val="22"/>
        </w:rPr>
        <w:t>[12]</w:t>
      </w:r>
      <w:r>
        <w:rPr>
          <w:rFonts w:ascii="Times New Roman" w:hAnsi="Times New Roman" w:eastAsia="宋体"/>
          <w:b w:val="0"/>
          <w:i w:val="0"/>
          <w:sz w:val="22"/>
        </w:rPr>
        <w:t xml:space="preserve"> specifies what should be reported; the present framework specifies when the reported evidence is sufficient to sustain a causal claim at a given grade. The two are complementary — a reporting standard and an evidentiary threshold. Although operationalized here through MR, the framework's logic — graded falsification gates applied to a body of polygenic evidence — applies wherever correlated evidence can be mistaken for a causal signal: observational triangulation, phenome-wide scans, and multi-omics mediation. A decision-tree visualization encodes the operational thresholds (Supplementary Figure 4).</w:t>
      </w:r>
    </w:p>
    <w:p w14:paraId="51C5AEF5">
      <w:r>
        <w:rPr>
          <w:rFonts w:ascii="Times New Roman" w:hAnsi="Times New Roman" w:eastAsia="宋体"/>
          <w:b/>
          <w:i w:val="0"/>
          <w:sz w:val="22"/>
        </w:rPr>
        <w:t>Scope and limitations.</w:t>
      </w:r>
      <w:r>
        <w:rPr>
          <w:rFonts w:ascii="Times New Roman" w:hAnsi="Times New Roman" w:eastAsia="宋体"/>
          <w:b w:val="0"/>
          <w:i w:val="0"/>
          <w:sz w:val="22"/>
        </w:rPr>
        <w:t xml:space="preserve"> "Falsification" here refers to rejection of an independent, directional, genome-wide causal claim — not denial of any biological relationship; Grade C or D does not mean the traits are unrelated, only that the available MR evidence does not support a high-confidence directional interpretation. Several limitations remain. First, the twelve-case cohort, while spanning the full grade spectrum (A: 4, B: 1, C: 4, D: 3), is modest in absolute size; a larger cohort enriched for borderline-ambiguous pairs would better characterize decision boundaries. Second, the simulation abstracts from real-data complications (discrete LD blocks; leave-one-out proxy for L4; discrete noise for L6), and a threshold-sensitivity analysis across four configurations (Supplementary Note 1) confirms no case changes by more than one grade. Third, the Level 6 gate comprises four cross-ancestry checks with limited instrument counts (9 for education, 71–96 for T2D) — directional-screening rather than formal effect-size replication; Depression→AD could not be replicated in EAS (no genome-wide-significant variants in the EAS stratum of the largest multi-ancestry MDD GWAS; 7,886 cases / 14,412 controls; Supplementary Note 3). Fourth, the mediation gate is constrained by available proteomic and metabolomic GWAS; absence of detectable mediation does not disprove an unmeasured pathway. Fifth, CAUSE's residual forward signal for insomnia→AD is methodologically real but compatible with the converging null estimates and should be revisited as GWAS sample sizes grow.</w:t>
      </w:r>
    </w:p>
    <w:p w14:paraId="57775318"/>
    <w:p w14:paraId="271D539E">
      <w:pPr>
        <w:spacing w:before="360" w:after="120"/>
        <w:jc w:val="center"/>
      </w:pPr>
      <w:r>
        <w:rPr>
          <w:rFonts w:ascii="Times New Roman" w:hAnsi="Times New Roman" w:eastAsia="宋体"/>
          <w:b/>
          <w:i w:val="0"/>
          <w:sz w:val="28"/>
        </w:rPr>
        <w:t>Methods</w:t>
      </w:r>
    </w:p>
    <w:p w14:paraId="4759683C">
      <w:pPr>
        <w:spacing w:before="280" w:after="80"/>
      </w:pPr>
      <w:r>
        <w:rPr>
          <w:rFonts w:ascii="Times New Roman" w:hAnsi="Times New Roman" w:eastAsia="宋体"/>
          <w:b/>
          <w:i w:val="0"/>
          <w:sz w:val="24"/>
        </w:rPr>
        <w:t>Study design overview</w:t>
      </w:r>
    </w:p>
    <w:p w14:paraId="250865F4">
      <w:r>
        <w:rPr>
          <w:rFonts w:ascii="Times New Roman" w:hAnsi="Times New Roman" w:eastAsia="宋体"/>
          <w:b w:val="0"/>
          <w:i w:val="0"/>
          <w:sz w:val="22"/>
        </w:rPr>
        <w:t>We designed a six-level causal-claim validation framework (Fig. 1) for polygenic epidemiology, operationalized here through Mendelian randomization under extreme polygenicity. Each level is a falsification gate addressing a progressively stricter question. Although validated on MR cases, the framework is intended as a general causal-inference tool. It was applied to the insomnia–AD pair, with educational attainment and LDL→CAD as positive controls and BMI→AD as a negative control.</w:t>
      </w:r>
    </w:p>
    <w:p w14:paraId="3DFF88A8">
      <w:pPr>
        <w:spacing w:before="280" w:after="80"/>
      </w:pPr>
      <w:r>
        <w:rPr>
          <w:rFonts w:ascii="Times New Roman" w:hAnsi="Times New Roman" w:eastAsia="宋体"/>
          <w:b/>
          <w:i w:val="0"/>
          <w:sz w:val="24"/>
        </w:rPr>
        <w:t>Framework architecture and scoring</w:t>
      </w:r>
    </w:p>
    <w:p w14:paraId="76B707A0">
      <w:r>
        <w:rPr>
          <w:rFonts w:ascii="Times New Roman" w:hAnsi="Times New Roman" w:eastAsia="宋体"/>
          <w:b w:val="0"/>
          <w:i w:val="0"/>
          <w:sz w:val="22"/>
        </w:rPr>
        <w:t>The six levels correspond to a logical decomposition of the causal-inference problem into six irreducible layers of hypothesis testing; each detects a class of false-positive claims that no previous level can resolve. Levels 1–2 are statistical prerequisites (a failure halts the cascade); Level 3 — distinguishing genome-wide architecture from locus-specific sharing — addresses the most common misinterpretation in comorbidity MR and must precede Levels 4–5; Level 6 provides external anchoring. The hierarchy is cumulative in evidentiary strength but disjunctive in falsification: a single failure suffices to downgrade the evidence grade. Each level is scored 0, 1, or 2 (failed / partially passed / fully passed); the six-level sum (0–12) maps to Grade A (10–12, high confidence), B (7–9, moderate), C (4–6, weak / shared liability), or D (0–3, not supported). Applied to validated cases: LDL→CAD scores 12/12 (Grade A), education→AD 12/12 (Grade A), insomnia→AD 4/12 (Grade C), BMI→AD 1/12 (Grade D). The hierarchy and thresholds were pre-specified before analysis of the insomnia–AD pair and were not iteratively adjusted after seeing results; the twelve validation cases were finalized before grading. Control-sample selection was systematic (probing ~120 IEU GWAS IDs; see External validation).</w:t>
      </w:r>
    </w:p>
    <w:p w14:paraId="78C75CD1">
      <w:pPr>
        <w:spacing w:before="280" w:after="80"/>
      </w:pPr>
      <w:r>
        <w:rPr>
          <w:rFonts w:ascii="Times New Roman" w:hAnsi="Times New Roman" w:eastAsia="宋体"/>
          <w:b/>
          <w:i w:val="0"/>
          <w:sz w:val="24"/>
        </w:rPr>
        <w:t>Data sources</w:t>
      </w:r>
    </w:p>
    <w:p w14:paraId="7E836F0C">
      <w:r>
        <w:rPr>
          <w:rFonts w:ascii="Times New Roman" w:hAnsi="Times New Roman" w:eastAsia="宋体"/>
          <w:b/>
          <w:i w:val="0"/>
          <w:sz w:val="22"/>
        </w:rPr>
        <w:t>Primary GWAS</w:t>
      </w:r>
      <w:r>
        <w:rPr>
          <w:rFonts w:ascii="Times New Roman" w:hAnsi="Times New Roman" w:eastAsia="宋体"/>
          <w:b w:val="0"/>
          <w:i w:val="0"/>
          <w:sz w:val="22"/>
        </w:rPr>
        <w:t xml:space="preserve"> (all GRCh37 unless noted): </w:t>
      </w:r>
      <w:r>
        <w:rPr>
          <w:rFonts w:ascii="Times New Roman" w:hAnsi="Times New Roman" w:eastAsia="宋体"/>
          <w:b w:val="0"/>
          <w:i w:val="0"/>
          <w:color w:val="0066CC"/>
          <w:sz w:val="22"/>
        </w:rPr>
        <w:t>[13-17,32,39,43,45-48]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7"/>
        <w:gridCol w:w="2100"/>
        <w:gridCol w:w="865"/>
        <w:gridCol w:w="1615"/>
        <w:gridCol w:w="2578"/>
      </w:tblGrid>
      <w:tr w14:paraId="74727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71838224">
            <w:r>
              <w:rPr>
                <w:rFonts w:ascii="Times New Roman" w:hAnsi="Times New Roman" w:eastAsia="宋体"/>
                <w:b/>
                <w:i w:val="0"/>
                <w:sz w:val="20"/>
              </w:rPr>
              <w:t>Trait</w:t>
            </w:r>
          </w:p>
        </w:tc>
        <w:tc>
          <w:tcPr>
            <w:tcW w:w="2100" w:type="dxa"/>
          </w:tcPr>
          <w:p w14:paraId="5E4173C7">
            <w:r>
              <w:rPr>
                <w:rFonts w:ascii="Times New Roman" w:hAnsi="Times New Roman" w:eastAsia="宋体"/>
                <w:b/>
                <w:i w:val="0"/>
                <w:sz w:val="20"/>
              </w:rPr>
              <w:t>GWAS ID / Source</w:t>
            </w:r>
          </w:p>
        </w:tc>
        <w:tc>
          <w:tcPr>
            <w:tcW w:w="865" w:type="dxa"/>
          </w:tcPr>
          <w:p w14:paraId="5EC5DC56">
            <w:r>
              <w:rPr>
                <w:rFonts w:ascii="Times New Roman" w:hAnsi="Times New Roman" w:eastAsia="宋体"/>
                <w:b/>
                <w:i w:val="0"/>
                <w:sz w:val="20"/>
              </w:rPr>
              <w:t>Ancestry</w:t>
            </w:r>
          </w:p>
        </w:tc>
        <w:tc>
          <w:tcPr>
            <w:tcW w:w="1615" w:type="dxa"/>
          </w:tcPr>
          <w:p w14:paraId="5C99001C">
            <w:r>
              <w:rPr>
                <w:rFonts w:ascii="Times New Roman" w:hAnsi="Times New Roman" w:eastAsia="宋体"/>
                <w:b/>
                <w:i w:val="0"/>
                <w:sz w:val="20"/>
              </w:rPr>
              <w:t>N (N_case)</w:t>
            </w:r>
          </w:p>
        </w:tc>
        <w:tc>
          <w:tcPr>
            <w:tcW w:w="2578" w:type="dxa"/>
          </w:tcPr>
          <w:p w14:paraId="71CD9D8E">
            <w:r>
              <w:rPr>
                <w:rFonts w:ascii="Times New Roman" w:hAnsi="Times New Roman" w:eastAsia="宋体"/>
                <w:b/>
                <w:i w:val="0"/>
                <w:sz w:val="20"/>
              </w:rPr>
              <w:t>Instruments after LD-clumping</w:t>
            </w:r>
          </w:p>
        </w:tc>
      </w:tr>
      <w:tr w14:paraId="3B8E5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2FA7D4C4">
            <w:r>
              <w:rPr>
                <w:rFonts w:ascii="Times New Roman" w:hAnsi="Times New Roman" w:eastAsia="宋体"/>
                <w:b w:val="0"/>
                <w:i w:val="0"/>
                <w:sz w:val="20"/>
              </w:rPr>
              <w:t>Insomnia</w:t>
            </w:r>
          </w:p>
        </w:tc>
        <w:tc>
          <w:tcPr>
            <w:tcW w:w="2100" w:type="dxa"/>
          </w:tcPr>
          <w:p w14:paraId="0BA131B4">
            <w:r>
              <w:rPr>
                <w:rFonts w:ascii="Times New Roman" w:hAnsi="Times New Roman" w:eastAsia="宋体"/>
                <w:b w:val="0"/>
                <w:i w:val="0"/>
                <w:sz w:val="20"/>
              </w:rPr>
              <w:t>ukb-b-3957 (Ben Elsworth 2018)</w:t>
            </w:r>
          </w:p>
        </w:tc>
        <w:tc>
          <w:tcPr>
            <w:tcW w:w="865" w:type="dxa"/>
          </w:tcPr>
          <w:p w14:paraId="60B7FA55">
            <w:r>
              <w:rPr>
                <w:rFonts w:ascii="Times New Roman" w:hAnsi="Times New Roman" w:eastAsia="宋体"/>
                <w:b w:val="0"/>
                <w:i w:val="0"/>
                <w:sz w:val="20"/>
              </w:rPr>
              <w:t>EUR</w:t>
            </w:r>
          </w:p>
        </w:tc>
        <w:tc>
          <w:tcPr>
            <w:tcW w:w="1615" w:type="dxa"/>
          </w:tcPr>
          <w:p w14:paraId="3BB8A9A9">
            <w:r>
              <w:rPr>
                <w:rFonts w:ascii="Times New Roman" w:hAnsi="Times New Roman" w:eastAsia="宋体"/>
                <w:b w:val="0"/>
                <w:i w:val="0"/>
                <w:sz w:val="20"/>
              </w:rPr>
              <w:t>462,341</w:t>
            </w:r>
          </w:p>
        </w:tc>
        <w:tc>
          <w:tcPr>
            <w:tcW w:w="2578" w:type="dxa"/>
          </w:tcPr>
          <w:p w14:paraId="120CF6CB">
            <w:r>
              <w:rPr>
                <w:rFonts w:ascii="Times New Roman" w:hAnsi="Times New Roman" w:eastAsia="宋体"/>
                <w:b w:val="0"/>
                <w:i w:val="0"/>
                <w:sz w:val="20"/>
              </w:rPr>
              <w:t>54 (loose); 37 (tight)</w:t>
            </w:r>
          </w:p>
        </w:tc>
      </w:tr>
      <w:tr w14:paraId="530C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4DC24356">
            <w:r>
              <w:rPr>
                <w:rFonts w:ascii="Times New Roman" w:hAnsi="Times New Roman" w:eastAsia="宋体"/>
                <w:b w:val="0"/>
                <w:i w:val="0"/>
                <w:sz w:val="20"/>
              </w:rPr>
              <w:t>AD (primary)</w:t>
            </w:r>
          </w:p>
        </w:tc>
        <w:tc>
          <w:tcPr>
            <w:tcW w:w="2100" w:type="dxa"/>
          </w:tcPr>
          <w:p w14:paraId="0CAF7BEC">
            <w:r>
              <w:rPr>
                <w:rFonts w:ascii="Times New Roman" w:hAnsi="Times New Roman" w:eastAsia="宋体"/>
                <w:b w:val="0"/>
                <w:i w:val="0"/>
                <w:sz w:val="20"/>
              </w:rPr>
              <w:t>ieu-b-2 (Kunkle/IGAP 2019)</w:t>
            </w:r>
          </w:p>
        </w:tc>
        <w:tc>
          <w:tcPr>
            <w:tcW w:w="865" w:type="dxa"/>
          </w:tcPr>
          <w:p w14:paraId="3367DBAE">
            <w:r>
              <w:rPr>
                <w:rFonts w:ascii="Times New Roman" w:hAnsi="Times New Roman" w:eastAsia="宋体"/>
                <w:b w:val="0"/>
                <w:i w:val="0"/>
                <w:sz w:val="20"/>
              </w:rPr>
              <w:t>EUR</w:t>
            </w:r>
          </w:p>
        </w:tc>
        <w:tc>
          <w:tcPr>
            <w:tcW w:w="1615" w:type="dxa"/>
          </w:tcPr>
          <w:p w14:paraId="53E2EB96">
            <w:r>
              <w:rPr>
                <w:rFonts w:ascii="Times New Roman" w:hAnsi="Times New Roman" w:eastAsia="宋体"/>
                <w:b w:val="0"/>
                <w:i w:val="0"/>
                <w:sz w:val="20"/>
              </w:rPr>
              <w:t>63,926 (21,982)</w:t>
            </w:r>
          </w:p>
        </w:tc>
        <w:tc>
          <w:tcPr>
            <w:tcW w:w="2578" w:type="dxa"/>
          </w:tcPr>
          <w:p w14:paraId="6BEFF245">
            <w:r>
              <w:rPr>
                <w:rFonts w:ascii="Times New Roman" w:hAnsi="Times New Roman" w:eastAsia="宋体"/>
                <w:b w:val="0"/>
                <w:i w:val="0"/>
                <w:sz w:val="20"/>
              </w:rPr>
              <w:t>13 (forward); variable per analysis</w:t>
            </w:r>
          </w:p>
        </w:tc>
      </w:tr>
      <w:tr w14:paraId="0B5F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6FBFA158">
            <w:r>
              <w:rPr>
                <w:rFonts w:ascii="Times New Roman" w:hAnsi="Times New Roman" w:eastAsia="宋体"/>
                <w:b w:val="0"/>
                <w:i w:val="0"/>
                <w:sz w:val="20"/>
              </w:rPr>
              <w:t>AD (replication)</w:t>
            </w:r>
          </w:p>
        </w:tc>
        <w:tc>
          <w:tcPr>
            <w:tcW w:w="2100" w:type="dxa"/>
          </w:tcPr>
          <w:p w14:paraId="34C8C2BC">
            <w:r>
              <w:rPr>
                <w:rFonts w:ascii="Times New Roman" w:hAnsi="Times New Roman" w:eastAsia="宋体"/>
                <w:b w:val="0"/>
                <w:i w:val="0"/>
                <w:sz w:val="20"/>
              </w:rPr>
              <w:t>ebi-a-GCST90027158 (Bellenguez 2022)</w:t>
            </w:r>
          </w:p>
        </w:tc>
        <w:tc>
          <w:tcPr>
            <w:tcW w:w="865" w:type="dxa"/>
          </w:tcPr>
          <w:p w14:paraId="261E39E7">
            <w:r>
              <w:rPr>
                <w:rFonts w:ascii="Times New Roman" w:hAnsi="Times New Roman" w:eastAsia="宋体"/>
                <w:b w:val="0"/>
                <w:i w:val="0"/>
                <w:sz w:val="20"/>
              </w:rPr>
              <w:t>EUR</w:t>
            </w:r>
          </w:p>
        </w:tc>
        <w:tc>
          <w:tcPr>
            <w:tcW w:w="1615" w:type="dxa"/>
          </w:tcPr>
          <w:p w14:paraId="3E151AB8">
            <w:r>
              <w:rPr>
                <w:rFonts w:ascii="Times New Roman" w:hAnsi="Times New Roman" w:eastAsia="宋体"/>
                <w:b w:val="0"/>
                <w:i w:val="0"/>
                <w:sz w:val="20"/>
              </w:rPr>
              <w:t>487,511 (85,934)</w:t>
            </w:r>
          </w:p>
        </w:tc>
        <w:tc>
          <w:tcPr>
            <w:tcW w:w="2578" w:type="dxa"/>
          </w:tcPr>
          <w:p w14:paraId="4E5060B8">
            <w:r>
              <w:rPr>
                <w:rFonts w:ascii="Times New Roman" w:hAnsi="Times New Roman" w:eastAsia="宋体"/>
                <w:b w:val="0"/>
                <w:i w:val="0"/>
                <w:sz w:val="20"/>
              </w:rPr>
              <w:t>variable per analysis</w:t>
            </w:r>
          </w:p>
        </w:tc>
      </w:tr>
      <w:tr w14:paraId="7F73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54B6670E">
            <w:r>
              <w:rPr>
                <w:rFonts w:ascii="Times New Roman" w:hAnsi="Times New Roman" w:eastAsia="宋体"/>
                <w:b w:val="0"/>
                <w:i w:val="0"/>
                <w:sz w:val="20"/>
              </w:rPr>
              <w:t>Educational attainment</w:t>
            </w:r>
          </w:p>
        </w:tc>
        <w:tc>
          <w:tcPr>
            <w:tcW w:w="2100" w:type="dxa"/>
          </w:tcPr>
          <w:p w14:paraId="711F11D3">
            <w:r>
              <w:rPr>
                <w:rFonts w:ascii="Times New Roman" w:hAnsi="Times New Roman" w:eastAsia="宋体"/>
                <w:b w:val="0"/>
                <w:i w:val="0"/>
                <w:sz w:val="20"/>
              </w:rPr>
              <w:t>ieu-a-1239 (Lee 2018; college completion)</w:t>
            </w:r>
          </w:p>
        </w:tc>
        <w:tc>
          <w:tcPr>
            <w:tcW w:w="865" w:type="dxa"/>
          </w:tcPr>
          <w:p w14:paraId="6CD2514D">
            <w:r>
              <w:rPr>
                <w:rFonts w:ascii="Times New Roman" w:hAnsi="Times New Roman" w:eastAsia="宋体"/>
                <w:b w:val="0"/>
                <w:i w:val="0"/>
                <w:sz w:val="20"/>
              </w:rPr>
              <w:t>EUR</w:t>
            </w:r>
          </w:p>
        </w:tc>
        <w:tc>
          <w:tcPr>
            <w:tcW w:w="1615" w:type="dxa"/>
          </w:tcPr>
          <w:p w14:paraId="64407947">
            <w:r>
              <w:rPr>
                <w:rFonts w:ascii="Times New Roman" w:hAnsi="Times New Roman" w:eastAsia="宋体"/>
                <w:b w:val="0"/>
                <w:i w:val="0"/>
                <w:sz w:val="20"/>
              </w:rPr>
              <w:t>117,487</w:t>
            </w:r>
          </w:p>
        </w:tc>
        <w:tc>
          <w:tcPr>
            <w:tcW w:w="2578" w:type="dxa"/>
          </w:tcPr>
          <w:p w14:paraId="0EECF063">
            <w:r>
              <w:rPr>
                <w:rFonts w:ascii="Times New Roman" w:hAnsi="Times New Roman" w:eastAsia="宋体"/>
                <w:b w:val="0"/>
                <w:i w:val="0"/>
                <w:sz w:val="20"/>
              </w:rPr>
              <w:t>317</w:t>
            </w:r>
          </w:p>
        </w:tc>
      </w:tr>
      <w:tr w14:paraId="1DB9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21F7259F">
            <w:r>
              <w:rPr>
                <w:rFonts w:ascii="Times New Roman" w:hAnsi="Times New Roman" w:eastAsia="宋体"/>
                <w:b w:val="0"/>
                <w:i w:val="0"/>
                <w:sz w:val="20"/>
              </w:rPr>
              <w:t>Type 2 diabetes</w:t>
            </w:r>
          </w:p>
        </w:tc>
        <w:tc>
          <w:tcPr>
            <w:tcW w:w="2100" w:type="dxa"/>
          </w:tcPr>
          <w:p w14:paraId="0864E216">
            <w:r>
              <w:rPr>
                <w:rFonts w:ascii="Times New Roman" w:hAnsi="Times New Roman" w:eastAsia="宋体"/>
                <w:b w:val="0"/>
                <w:i w:val="0"/>
                <w:sz w:val="20"/>
              </w:rPr>
              <w:t>ebi-a-GCST006867 (Xue 2018)</w:t>
            </w:r>
          </w:p>
        </w:tc>
        <w:tc>
          <w:tcPr>
            <w:tcW w:w="865" w:type="dxa"/>
          </w:tcPr>
          <w:p w14:paraId="628E3262">
            <w:r>
              <w:rPr>
                <w:rFonts w:ascii="Times New Roman" w:hAnsi="Times New Roman" w:eastAsia="宋体"/>
                <w:b w:val="0"/>
                <w:i w:val="0"/>
                <w:sz w:val="20"/>
              </w:rPr>
              <w:t>EUR</w:t>
            </w:r>
          </w:p>
        </w:tc>
        <w:tc>
          <w:tcPr>
            <w:tcW w:w="1615" w:type="dxa"/>
          </w:tcPr>
          <w:p w14:paraId="15E31F56">
            <w:r>
              <w:rPr>
                <w:rFonts w:ascii="Times New Roman" w:hAnsi="Times New Roman" w:eastAsia="宋体"/>
                <w:b w:val="0"/>
                <w:i w:val="0"/>
                <w:sz w:val="20"/>
              </w:rPr>
              <w:t>~62k cases</w:t>
            </w:r>
          </w:p>
        </w:tc>
        <w:tc>
          <w:tcPr>
            <w:tcW w:w="2578" w:type="dxa"/>
          </w:tcPr>
          <w:p w14:paraId="759824E0">
            <w:r>
              <w:rPr>
                <w:rFonts w:ascii="Times New Roman" w:hAnsi="Times New Roman" w:eastAsia="宋体"/>
                <w:b w:val="0"/>
                <w:i w:val="0"/>
                <w:sz w:val="20"/>
              </w:rPr>
              <w:t>118</w:t>
            </w:r>
          </w:p>
        </w:tc>
      </w:tr>
      <w:tr w14:paraId="7EDB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220F7513">
            <w:r>
              <w:rPr>
                <w:rFonts w:ascii="Times New Roman" w:hAnsi="Times New Roman" w:eastAsia="宋体"/>
                <w:b w:val="0"/>
                <w:i w:val="0"/>
                <w:sz w:val="20"/>
              </w:rPr>
              <w:t>Major depression</w:t>
            </w:r>
          </w:p>
        </w:tc>
        <w:tc>
          <w:tcPr>
            <w:tcW w:w="2100" w:type="dxa"/>
          </w:tcPr>
          <w:p w14:paraId="787EE2E1">
            <w:r>
              <w:rPr>
                <w:rFonts w:ascii="Times New Roman" w:hAnsi="Times New Roman" w:eastAsia="宋体"/>
                <w:b w:val="0"/>
                <w:i w:val="0"/>
                <w:sz w:val="20"/>
              </w:rPr>
              <w:t>ieu-b-102 (Howard 2019)</w:t>
            </w:r>
          </w:p>
        </w:tc>
        <w:tc>
          <w:tcPr>
            <w:tcW w:w="865" w:type="dxa"/>
          </w:tcPr>
          <w:p w14:paraId="4A1CED21">
            <w:r>
              <w:rPr>
                <w:rFonts w:ascii="Times New Roman" w:hAnsi="Times New Roman" w:eastAsia="宋体"/>
                <w:b w:val="0"/>
                <w:i w:val="0"/>
                <w:sz w:val="20"/>
              </w:rPr>
              <w:t>EUR</w:t>
            </w:r>
          </w:p>
        </w:tc>
        <w:tc>
          <w:tcPr>
            <w:tcW w:w="1615" w:type="dxa"/>
          </w:tcPr>
          <w:p w14:paraId="6182DA35">
            <w:r>
              <w:rPr>
                <w:rFonts w:ascii="Times New Roman" w:hAnsi="Times New Roman" w:eastAsia="宋体"/>
                <w:b w:val="0"/>
                <w:i w:val="0"/>
                <w:sz w:val="20"/>
              </w:rPr>
              <w:t>500,199 (170,756)</w:t>
            </w:r>
          </w:p>
        </w:tc>
        <w:tc>
          <w:tcPr>
            <w:tcW w:w="2578" w:type="dxa"/>
          </w:tcPr>
          <w:p w14:paraId="00F6992E">
            <w:r>
              <w:rPr>
                <w:rFonts w:ascii="Times New Roman" w:hAnsi="Times New Roman" w:eastAsia="宋体"/>
                <w:b w:val="0"/>
                <w:i w:val="0"/>
                <w:sz w:val="20"/>
              </w:rPr>
              <w:t>50</w:t>
            </w:r>
          </w:p>
        </w:tc>
      </w:tr>
      <w:tr w14:paraId="5C09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216C64BE">
            <w:r>
              <w:rPr>
                <w:rFonts w:ascii="Times New Roman" w:hAnsi="Times New Roman" w:eastAsia="宋体"/>
                <w:b w:val="0"/>
                <w:i w:val="0"/>
                <w:sz w:val="20"/>
              </w:rPr>
              <w:t>EA educational attainment</w:t>
            </w:r>
          </w:p>
        </w:tc>
        <w:tc>
          <w:tcPr>
            <w:tcW w:w="2100" w:type="dxa"/>
          </w:tcPr>
          <w:p w14:paraId="1E1504C1">
            <w:r>
              <w:rPr>
                <w:rFonts w:ascii="Times New Roman" w:hAnsi="Times New Roman" w:eastAsia="宋体"/>
                <w:b w:val="0"/>
                <w:i w:val="0"/>
                <w:sz w:val="20"/>
              </w:rPr>
              <w:t>GCST90296498 (Chen/Kim/Lam 2024)</w:t>
            </w:r>
          </w:p>
        </w:tc>
        <w:tc>
          <w:tcPr>
            <w:tcW w:w="865" w:type="dxa"/>
          </w:tcPr>
          <w:p w14:paraId="686DEF3D">
            <w:r>
              <w:rPr>
                <w:rFonts w:ascii="Times New Roman" w:hAnsi="Times New Roman" w:eastAsia="宋体"/>
                <w:b w:val="0"/>
                <w:i w:val="0"/>
                <w:sz w:val="20"/>
              </w:rPr>
              <w:t>EAS</w:t>
            </w:r>
          </w:p>
        </w:tc>
        <w:tc>
          <w:tcPr>
            <w:tcW w:w="1615" w:type="dxa"/>
          </w:tcPr>
          <w:p w14:paraId="01FAF92E">
            <w:r>
              <w:rPr>
                <w:rFonts w:ascii="Times New Roman" w:hAnsi="Times New Roman" w:eastAsia="宋体"/>
                <w:b w:val="0"/>
                <w:i w:val="0"/>
                <w:sz w:val="20"/>
              </w:rPr>
              <w:t>165,232</w:t>
            </w:r>
          </w:p>
        </w:tc>
        <w:tc>
          <w:tcPr>
            <w:tcW w:w="2578" w:type="dxa"/>
          </w:tcPr>
          <w:p w14:paraId="17A44D43">
            <w:r>
              <w:rPr>
                <w:rFonts w:ascii="Times New Roman" w:hAnsi="Times New Roman" w:eastAsia="宋体"/>
                <w:b w:val="0"/>
                <w:i w:val="0"/>
                <w:sz w:val="20"/>
              </w:rPr>
              <w:t>100</w:t>
            </w:r>
          </w:p>
        </w:tc>
      </w:tr>
      <w:tr w14:paraId="42CCE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13437731">
            <w:r>
              <w:rPr>
                <w:rFonts w:ascii="Times New Roman" w:hAnsi="Times New Roman" w:eastAsia="宋体"/>
                <w:b w:val="0"/>
                <w:i w:val="0"/>
                <w:sz w:val="20"/>
              </w:rPr>
              <w:t>EA AD</w:t>
            </w:r>
          </w:p>
        </w:tc>
        <w:tc>
          <w:tcPr>
            <w:tcW w:w="2100" w:type="dxa"/>
          </w:tcPr>
          <w:p w14:paraId="7E8F24E3">
            <w:r>
              <w:rPr>
                <w:rFonts w:ascii="Times New Roman" w:hAnsi="Times New Roman" w:eastAsia="宋体"/>
                <w:b w:val="0"/>
                <w:i w:val="0"/>
                <w:sz w:val="20"/>
              </w:rPr>
              <w:t>GARD/NG00182</w:t>
            </w:r>
          </w:p>
        </w:tc>
        <w:tc>
          <w:tcPr>
            <w:tcW w:w="865" w:type="dxa"/>
          </w:tcPr>
          <w:p w14:paraId="4CC255A2">
            <w:r>
              <w:rPr>
                <w:rFonts w:ascii="Times New Roman" w:hAnsi="Times New Roman" w:eastAsia="宋体"/>
                <w:b w:val="0"/>
                <w:i w:val="0"/>
                <w:sz w:val="20"/>
              </w:rPr>
              <w:t>EAS</w:t>
            </w:r>
          </w:p>
        </w:tc>
        <w:tc>
          <w:tcPr>
            <w:tcW w:w="1615" w:type="dxa"/>
          </w:tcPr>
          <w:p w14:paraId="1B32AD1D">
            <w:r>
              <w:rPr>
                <w:rFonts w:ascii="Times New Roman" w:hAnsi="Times New Roman" w:eastAsia="宋体"/>
                <w:b w:val="0"/>
                <w:i w:val="0"/>
                <w:sz w:val="20"/>
              </w:rPr>
              <w:t>6,518 (2,919)</w:t>
            </w:r>
          </w:p>
        </w:tc>
        <w:tc>
          <w:tcPr>
            <w:tcW w:w="2578" w:type="dxa"/>
          </w:tcPr>
          <w:p w14:paraId="6CA44792">
            <w:r>
              <w:rPr>
                <w:rFonts w:ascii="Times New Roman" w:hAnsi="Times New Roman" w:eastAsia="宋体"/>
                <w:b w:val="0"/>
                <w:i w:val="0"/>
                <w:sz w:val="20"/>
              </w:rPr>
              <w:t>lifted to GRCh37</w:t>
            </w:r>
          </w:p>
        </w:tc>
      </w:tr>
      <w:tr w14:paraId="2DF67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79EEB0C2">
            <w:r>
              <w:rPr>
                <w:rFonts w:ascii="Times New Roman" w:hAnsi="Times New Roman" w:eastAsia="宋体"/>
                <w:b w:val="0"/>
                <w:i w:val="0"/>
                <w:sz w:val="20"/>
              </w:rPr>
              <w:t>EA Type 2 diabetes</w:t>
            </w:r>
          </w:p>
        </w:tc>
        <w:tc>
          <w:tcPr>
            <w:tcW w:w="2100" w:type="dxa"/>
          </w:tcPr>
          <w:p w14:paraId="0767E658">
            <w:r>
              <w:rPr>
                <w:rFonts w:ascii="Times New Roman" w:hAnsi="Times New Roman" w:eastAsia="宋体"/>
                <w:b w:val="0"/>
                <w:i w:val="0"/>
                <w:sz w:val="20"/>
              </w:rPr>
              <w:t>bbj-a-77 (BBJ)</w:t>
            </w:r>
          </w:p>
        </w:tc>
        <w:tc>
          <w:tcPr>
            <w:tcW w:w="865" w:type="dxa"/>
          </w:tcPr>
          <w:p w14:paraId="6D406EEF">
            <w:r>
              <w:rPr>
                <w:rFonts w:ascii="Times New Roman" w:hAnsi="Times New Roman" w:eastAsia="宋体"/>
                <w:b w:val="0"/>
                <w:i w:val="0"/>
                <w:sz w:val="20"/>
              </w:rPr>
              <w:t>EAS</w:t>
            </w:r>
          </w:p>
        </w:tc>
        <w:tc>
          <w:tcPr>
            <w:tcW w:w="1615" w:type="dxa"/>
          </w:tcPr>
          <w:p w14:paraId="667CB680">
            <w:r>
              <w:rPr>
                <w:rFonts w:ascii="Times New Roman" w:hAnsi="Times New Roman" w:eastAsia="宋体"/>
                <w:b w:val="0"/>
                <w:i w:val="0"/>
                <w:sz w:val="20"/>
              </w:rPr>
              <w:t>191,764 (36,614)</w:t>
            </w:r>
          </w:p>
        </w:tc>
        <w:tc>
          <w:tcPr>
            <w:tcW w:w="2578" w:type="dxa"/>
          </w:tcPr>
          <w:p w14:paraId="6EE0A731">
            <w:r>
              <w:rPr>
                <w:rFonts w:ascii="Times New Roman" w:hAnsi="Times New Roman" w:eastAsia="宋体"/>
                <w:b w:val="0"/>
                <w:i w:val="0"/>
                <w:sz w:val="20"/>
              </w:rPr>
              <w:t>96</w:t>
            </w:r>
          </w:p>
        </w:tc>
      </w:tr>
      <w:tr w14:paraId="0F7BE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6212D007">
            <w:r>
              <w:rPr>
                <w:rFonts w:ascii="Times New Roman" w:hAnsi="Times New Roman" w:eastAsia="宋体"/>
                <w:b w:val="0"/>
                <w:i w:val="0"/>
                <w:sz w:val="20"/>
              </w:rPr>
              <w:t>EA ischemic stroke</w:t>
            </w:r>
          </w:p>
        </w:tc>
        <w:tc>
          <w:tcPr>
            <w:tcW w:w="2100" w:type="dxa"/>
          </w:tcPr>
          <w:p w14:paraId="33B32C90">
            <w:r>
              <w:rPr>
                <w:rFonts w:ascii="Times New Roman" w:hAnsi="Times New Roman" w:eastAsia="宋体"/>
                <w:b w:val="0"/>
                <w:i w:val="0"/>
                <w:sz w:val="20"/>
              </w:rPr>
              <w:t>bbj-a-129 (BBJ)</w:t>
            </w:r>
          </w:p>
        </w:tc>
        <w:tc>
          <w:tcPr>
            <w:tcW w:w="865" w:type="dxa"/>
          </w:tcPr>
          <w:p w14:paraId="632E24CB">
            <w:r>
              <w:rPr>
                <w:rFonts w:ascii="Times New Roman" w:hAnsi="Times New Roman" w:eastAsia="宋体"/>
                <w:b w:val="0"/>
                <w:i w:val="0"/>
                <w:sz w:val="20"/>
              </w:rPr>
              <w:t>EAS</w:t>
            </w:r>
          </w:p>
        </w:tc>
        <w:tc>
          <w:tcPr>
            <w:tcW w:w="1615" w:type="dxa"/>
          </w:tcPr>
          <w:p w14:paraId="6C617CC9">
            <w:r>
              <w:rPr>
                <w:rFonts w:ascii="Times New Roman" w:hAnsi="Times New Roman" w:eastAsia="宋体"/>
                <w:b w:val="0"/>
                <w:i w:val="0"/>
                <w:sz w:val="20"/>
              </w:rPr>
              <w:t>210,054 (17,671)</w:t>
            </w:r>
          </w:p>
        </w:tc>
        <w:tc>
          <w:tcPr>
            <w:tcW w:w="2578" w:type="dxa"/>
          </w:tcPr>
          <w:p w14:paraId="0F1769CA">
            <w:r>
              <w:rPr>
                <w:rFonts w:ascii="Times New Roman" w:hAnsi="Times New Roman" w:eastAsia="宋体"/>
                <w:b w:val="0"/>
                <w:i w:val="0"/>
                <w:sz w:val="20"/>
              </w:rPr>
              <w:t>—</w:t>
            </w:r>
          </w:p>
        </w:tc>
      </w:tr>
    </w:tbl>
    <w:p w14:paraId="3C017330"/>
    <w:p w14:paraId="3D132B3A">
      <w:r>
        <w:rPr>
          <w:rFonts w:ascii="Times New Roman" w:hAnsi="Times New Roman" w:eastAsia="宋体"/>
          <w:b/>
          <w:i w:val="0"/>
          <w:sz w:val="22"/>
        </w:rPr>
        <w:t>Protein pQTL data</w:t>
      </w:r>
      <w:r>
        <w:rPr>
          <w:rFonts w:ascii="Times New Roman" w:hAnsi="Times New Roman" w:eastAsia="宋体"/>
          <w:b w:val="0"/>
          <w:i w:val="0"/>
          <w:sz w:val="22"/>
        </w:rPr>
        <w:t xml:space="preserve">: INTERVAL (Sun et al. 2018; n = 3,301) via IEU OpenGWAS (prot-a-1…2200) </w:t>
      </w:r>
      <w:r>
        <w:rPr>
          <w:rFonts w:ascii="Times New Roman" w:hAnsi="Times New Roman" w:eastAsia="宋体"/>
          <w:b w:val="0"/>
          <w:i w:val="0"/>
          <w:color w:val="0066CC"/>
          <w:sz w:val="22"/>
        </w:rPr>
        <w:t>[30]</w:t>
      </w:r>
      <w:r>
        <w:rPr>
          <w:rFonts w:ascii="Times New Roman" w:hAnsi="Times New Roman" w:eastAsia="宋体"/>
          <w:b w:val="0"/>
          <w:i w:val="0"/>
          <w:sz w:val="22"/>
        </w:rPr>
        <w:t xml:space="preserve">; the curated 36-protein screen selected AD-relevant proteins (complement/innate immunity, chemokines/interleukins, cathepsins, YKL-40) with ≥15 instruments </w:t>
      </w:r>
      <w:r>
        <w:rPr>
          <w:rFonts w:ascii="Times New Roman" w:hAnsi="Times New Roman" w:eastAsia="宋体"/>
          <w:b w:val="0"/>
          <w:i w:val="0"/>
          <w:color w:val="0066CC"/>
          <w:sz w:val="22"/>
        </w:rPr>
        <w:t>[30-31,33,49-51]</w:t>
      </w:r>
      <w:r>
        <w:rPr>
          <w:rFonts w:ascii="Times New Roman" w:hAnsi="Times New Roman" w:eastAsia="宋体"/>
          <w:b w:val="0"/>
          <w:i w:val="0"/>
          <w:sz w:val="22"/>
        </w:rPr>
        <w:t xml:space="preserve">. </w:t>
      </w:r>
      <w:r>
        <w:rPr>
          <w:rFonts w:ascii="Times New Roman" w:hAnsi="Times New Roman" w:eastAsia="宋体"/>
          <w:b/>
          <w:i w:val="0"/>
          <w:sz w:val="22"/>
        </w:rPr>
        <w:t>Metabolite GWAS data</w:t>
      </w:r>
      <w:r>
        <w:rPr>
          <w:rFonts w:ascii="Times New Roman" w:hAnsi="Times New Roman" w:eastAsia="宋体"/>
          <w:b w:val="0"/>
          <w:i w:val="0"/>
          <w:sz w:val="22"/>
        </w:rPr>
        <w:t xml:space="preserve">: Nightingale Health metabolomics (Kettunen et al. 2016): Total_C, LDL_C, HDL_C, Total_TG, DHA, Omega_3, Ile, Leu, Val, GlycA </w:t>
      </w:r>
      <w:r>
        <w:rPr>
          <w:rFonts w:ascii="Times New Roman" w:hAnsi="Times New Roman" w:eastAsia="宋体"/>
          <w:b w:val="0"/>
          <w:i w:val="0"/>
          <w:color w:val="0066CC"/>
          <w:sz w:val="22"/>
        </w:rPr>
        <w:t>[34]</w:t>
      </w:r>
      <w:r>
        <w:rPr>
          <w:rFonts w:ascii="Times New Roman" w:hAnsi="Times New Roman" w:eastAsia="宋体"/>
          <w:b w:val="0"/>
          <w:i w:val="0"/>
          <w:sz w:val="22"/>
        </w:rPr>
        <w:t xml:space="preserve">. </w:t>
      </w:r>
      <w:r>
        <w:rPr>
          <w:rFonts w:ascii="Times New Roman" w:hAnsi="Times New Roman" w:eastAsia="宋体"/>
          <w:b/>
          <w:i w:val="0"/>
          <w:sz w:val="22"/>
        </w:rPr>
        <w:t>LD reference panels</w:t>
      </w:r>
      <w:r>
        <w:rPr>
          <w:rFonts w:ascii="Times New Roman" w:hAnsi="Times New Roman" w:eastAsia="宋体"/>
          <w:b w:val="0"/>
          <w:i w:val="0"/>
          <w:sz w:val="22"/>
        </w:rPr>
        <w:t xml:space="preserve">: 1000 Genomes Phase 3 European (HM3) for clumping; pre-computed LD Scores for LDSC </w:t>
      </w:r>
      <w:r>
        <w:rPr>
          <w:rFonts w:ascii="Times New Roman" w:hAnsi="Times New Roman" w:eastAsia="宋体"/>
          <w:b w:val="0"/>
          <w:i w:val="0"/>
          <w:color w:val="0066CC"/>
          <w:sz w:val="22"/>
        </w:rPr>
        <w:t>[52]</w:t>
      </w:r>
      <w:r>
        <w:rPr>
          <w:rFonts w:ascii="Times New Roman" w:hAnsi="Times New Roman" w:eastAsia="宋体"/>
          <w:b w:val="0"/>
          <w:i w:val="0"/>
          <w:sz w:val="22"/>
        </w:rPr>
        <w:t xml:space="preserve">. </w:t>
      </w:r>
      <w:r>
        <w:rPr>
          <w:rFonts w:ascii="Times New Roman" w:hAnsi="Times New Roman" w:eastAsia="宋体"/>
          <w:b/>
          <w:i w:val="0"/>
          <w:sz w:val="22"/>
        </w:rPr>
        <w:t>External validation cohort</w:t>
      </w:r>
      <w:r>
        <w:rPr>
          <w:rFonts w:ascii="Times New Roman" w:hAnsi="Times New Roman" w:eastAsia="宋体"/>
          <w:b w:val="0"/>
          <w:i w:val="0"/>
          <w:sz w:val="22"/>
        </w:rPr>
        <w:t xml:space="preserve">: LDL (ieu-a-300; Global Lipids 2013, n = 188,577) → CAD (ieu-a-7; CARDIoGRAMplusC4D 2015, n = 184,305, 60,801 cases) </w:t>
      </w:r>
      <w:r>
        <w:rPr>
          <w:rFonts w:ascii="Times New Roman" w:hAnsi="Times New Roman" w:eastAsia="宋体"/>
          <w:b w:val="0"/>
          <w:i w:val="0"/>
          <w:color w:val="0066CC"/>
          <w:sz w:val="22"/>
        </w:rPr>
        <w:t>[42]</w:t>
      </w:r>
      <w:r>
        <w:rPr>
          <w:rFonts w:ascii="Times New Roman" w:hAnsi="Times New Roman" w:eastAsia="宋体"/>
          <w:b w:val="0"/>
          <w:i w:val="0"/>
          <w:sz w:val="22"/>
        </w:rPr>
        <w:t>; BMI (ieu-a-2; GIANT/UKB 2015, n = 339,153) → AD (ieu-b-2).</w:t>
      </w:r>
    </w:p>
    <w:p w14:paraId="4DD37320">
      <w:pPr>
        <w:spacing w:before="280" w:after="80"/>
      </w:pPr>
      <w:r>
        <w:rPr>
          <w:rFonts w:ascii="Times New Roman" w:hAnsi="Times New Roman" w:eastAsia="宋体"/>
          <w:b/>
          <w:i w:val="0"/>
          <w:sz w:val="24"/>
        </w:rPr>
        <w:t>Level 2 — Robustness: UVMR with LD-clump sensitivity, MRlap, CAUSE</w:t>
      </w:r>
    </w:p>
    <w:p w14:paraId="2200ADF3">
      <w:r>
        <w:rPr>
          <w:rFonts w:ascii="Times New Roman" w:hAnsi="Times New Roman" w:eastAsia="宋体"/>
          <w:b w:val="0"/>
          <w:i w:val="0"/>
          <w:sz w:val="22"/>
        </w:rPr>
        <w:t xml:space="preserve">Bidirectional UVMR used TwoSampleMR (v0.6.8) </w:t>
      </w:r>
      <w:r>
        <w:rPr>
          <w:rFonts w:ascii="Times New Roman" w:hAnsi="Times New Roman" w:eastAsia="宋体"/>
          <w:b w:val="0"/>
          <w:i w:val="0"/>
          <w:color w:val="0066CC"/>
          <w:sz w:val="22"/>
        </w:rPr>
        <w:t>[6,8,9]</w:t>
      </w:r>
      <w:r>
        <w:rPr>
          <w:rFonts w:ascii="Times New Roman" w:hAnsi="Times New Roman" w:eastAsia="宋体"/>
          <w:b w:val="0"/>
          <w:i w:val="0"/>
          <w:sz w:val="22"/>
        </w:rPr>
        <w:t xml:space="preserve">; instruments at P &lt; 5 × </w:t>
      </w:r>
      <w:r>
        <w:rPr>
          <w:rFonts w:ascii="Times New Roman" w:hAnsi="Times New Roman" w:eastAsia="宋体"/>
          <w:b w:val="0"/>
          <w:i w:val="0"/>
          <w:sz w:val="22"/>
          <w:vertAlign w:val="baseline"/>
        </w:rPr>
        <w:t>10⁻⁸</w:t>
      </w:r>
      <w:r>
        <w:rPr>
          <w:rFonts w:ascii="Times New Roman" w:hAnsi="Times New Roman" w:eastAsia="宋体"/>
          <w:b w:val="0"/>
          <w:i w:val="0"/>
          <w:sz w:val="22"/>
        </w:rPr>
        <w:t xml:space="preserve">, harmonized, clumped at loose (r² &lt; 0.001, 10,000 kb) and tight (r² &lt; 0.001, 5,000 kb) thresholds. MRlap (v0.0.3.1) corrected for sample overlap; CAUSE (v1.2.2) partitioned effects on 1,645 independent variants </w:t>
      </w:r>
      <w:r>
        <w:rPr>
          <w:rFonts w:ascii="Times New Roman" w:hAnsi="Times New Roman" w:eastAsia="宋体"/>
          <w:b w:val="0"/>
          <w:i w:val="0"/>
          <w:color w:val="0066CC"/>
          <w:sz w:val="22"/>
        </w:rPr>
        <w:t>[24]</w:t>
      </w:r>
      <w:r>
        <w:rPr>
          <w:rFonts w:ascii="Times New Roman" w:hAnsi="Times New Roman" w:eastAsia="宋体"/>
          <w:b w:val="0"/>
          <w:i w:val="0"/>
          <w:sz w:val="22"/>
        </w:rPr>
        <w:t>.</w:t>
      </w:r>
    </w:p>
    <w:p w14:paraId="3A9BD28E">
      <w:pPr>
        <w:spacing w:before="280" w:after="80"/>
      </w:pPr>
      <w:r>
        <w:rPr>
          <w:rFonts w:ascii="Times New Roman" w:hAnsi="Times New Roman" w:eastAsia="宋体"/>
          <w:b/>
          <w:i w:val="0"/>
          <w:sz w:val="24"/>
        </w:rPr>
        <w:t>Level 3 — Genetic architecture: LDSC and colocalization</w:t>
      </w:r>
    </w:p>
    <w:p w14:paraId="3D8AE9C2">
      <w:r>
        <w:rPr>
          <w:rFonts w:ascii="Times New Roman" w:hAnsi="Times New Roman" w:eastAsia="宋体"/>
          <w:b w:val="0"/>
          <w:i w:val="0"/>
          <w:sz w:val="22"/>
        </w:rPr>
        <w:t xml:space="preserve">LDSC (v1.0.1) estimated rg with pre-computed European LD Scores; chromosome-19 removal tested APOE-driven inflation </w:t>
      </w:r>
      <w:r>
        <w:rPr>
          <w:rFonts w:ascii="Times New Roman" w:hAnsi="Times New Roman" w:eastAsia="宋体"/>
          <w:b w:val="0"/>
          <w:i w:val="0"/>
          <w:color w:val="0066CC"/>
          <w:sz w:val="22"/>
        </w:rPr>
        <w:t>[25]</w:t>
      </w:r>
      <w:r>
        <w:rPr>
          <w:rFonts w:ascii="Times New Roman" w:hAnsi="Times New Roman" w:eastAsia="宋体"/>
          <w:b w:val="0"/>
          <w:i w:val="0"/>
          <w:sz w:val="22"/>
        </w:rPr>
        <w:t xml:space="preserve">. Colocalization used coloc (v5.2.3), coloc.abf with PP.H4 ≥ 0.80, ±500 kb windows around exposure lead SNPs, forward and reverse against Kunkle and Bellenguez </w:t>
      </w:r>
      <w:r>
        <w:rPr>
          <w:rFonts w:ascii="Times New Roman" w:hAnsi="Times New Roman" w:eastAsia="宋体"/>
          <w:b w:val="0"/>
          <w:i w:val="0"/>
          <w:color w:val="0066CC"/>
          <w:sz w:val="22"/>
        </w:rPr>
        <w:t>[16-17,27]</w:t>
      </w:r>
      <w:r>
        <w:rPr>
          <w:rFonts w:ascii="Times New Roman" w:hAnsi="Times New Roman" w:eastAsia="宋体"/>
          <w:b w:val="0"/>
          <w:i w:val="0"/>
          <w:sz w:val="22"/>
        </w:rPr>
        <w:t>.</w:t>
      </w:r>
    </w:p>
    <w:p w14:paraId="6C91BADE">
      <w:pPr>
        <w:spacing w:before="280" w:after="80"/>
      </w:pPr>
      <w:r>
        <w:rPr>
          <w:rFonts w:ascii="Times New Roman" w:hAnsi="Times New Roman" w:eastAsia="宋体"/>
          <w:b/>
          <w:i w:val="0"/>
          <w:sz w:val="24"/>
        </w:rPr>
        <w:t>Level 4 — Direct effect: MVMR and PheWAS</w:t>
      </w:r>
    </w:p>
    <w:p w14:paraId="51FCBC7A">
      <w:r>
        <w:rPr>
          <w:rFonts w:ascii="Times New Roman" w:hAnsi="Times New Roman" w:eastAsia="宋体"/>
          <w:b w:val="0"/>
          <w:i w:val="0"/>
          <w:sz w:val="22"/>
        </w:rPr>
        <w:t xml:space="preserve">MVMR (MVMR package) jointly modeled insomnia, educational attainment, depression, and LDL-cholesterol against AD, selected via a minimal confounding diagram </w:t>
      </w:r>
      <w:r>
        <w:rPr>
          <w:rFonts w:ascii="Times New Roman" w:hAnsi="Times New Roman" w:eastAsia="宋体"/>
          <w:b w:val="0"/>
          <w:i w:val="0"/>
          <w:color w:val="0066CC"/>
          <w:sz w:val="22"/>
        </w:rPr>
        <w:t>[28-29]</w:t>
      </w:r>
      <w:r>
        <w:rPr>
          <w:rFonts w:ascii="Times New Roman" w:hAnsi="Times New Roman" w:eastAsia="宋体"/>
          <w:b w:val="0"/>
          <w:i w:val="0"/>
          <w:sz w:val="22"/>
        </w:rPr>
        <w:t xml:space="preserve">. PheWAS tested education instruments against AD (Kunkle, Bellenguez), PD (Nalls 2019), and MS (IMSGC) </w:t>
      </w:r>
      <w:r>
        <w:rPr>
          <w:rFonts w:ascii="Times New Roman" w:hAnsi="Times New Roman" w:eastAsia="宋体"/>
          <w:b w:val="0"/>
          <w:i w:val="0"/>
          <w:color w:val="0066CC"/>
          <w:sz w:val="22"/>
        </w:rPr>
        <w:t>[53-54]</w:t>
      </w:r>
      <w:r>
        <w:rPr>
          <w:rFonts w:ascii="Times New Roman" w:hAnsi="Times New Roman" w:eastAsia="宋体"/>
          <w:b w:val="0"/>
          <w:i w:val="0"/>
          <w:sz w:val="22"/>
        </w:rPr>
        <w:t>.</w:t>
      </w:r>
    </w:p>
    <w:p w14:paraId="0E0ECD1C">
      <w:pPr>
        <w:spacing w:before="280" w:after="80"/>
      </w:pPr>
      <w:r>
        <w:rPr>
          <w:rFonts w:ascii="Times New Roman" w:hAnsi="Times New Roman" w:eastAsia="宋体"/>
          <w:b/>
          <w:i w:val="0"/>
          <w:sz w:val="24"/>
        </w:rPr>
        <w:t>Level 5 — Biological mediation: two-step MR</w:t>
      </w:r>
    </w:p>
    <w:p w14:paraId="0E49B248">
      <w:r>
        <w:rPr>
          <w:rFonts w:ascii="Times New Roman" w:hAnsi="Times New Roman" w:eastAsia="宋体"/>
          <w:b w:val="0"/>
          <w:i w:val="0"/>
          <w:sz w:val="22"/>
        </w:rPr>
        <w:t xml:space="preserve">Protein mediation (G2): insomnia→CRP/IL-6→AD two-step MR; G2b curated 36-protein screen with education as exposure (317 instruments), Benjamini–Hochberg FDR across 25 evaluable proteins </w:t>
      </w:r>
      <w:r>
        <w:rPr>
          <w:rFonts w:ascii="Times New Roman" w:hAnsi="Times New Roman" w:eastAsia="宋体"/>
          <w:b w:val="0"/>
          <w:i w:val="0"/>
          <w:color w:val="0066CC"/>
          <w:sz w:val="22"/>
        </w:rPr>
        <w:t>[30-32]</w:t>
      </w:r>
      <w:r>
        <w:rPr>
          <w:rFonts w:ascii="Times New Roman" w:hAnsi="Times New Roman" w:eastAsia="宋体"/>
          <w:b w:val="0"/>
          <w:i w:val="0"/>
          <w:sz w:val="22"/>
        </w:rPr>
        <w:t xml:space="preserve">. Metabolite mediation (C1): education→10 metabolites→AD, FDR across 10 metabolites </w:t>
      </w:r>
      <w:r>
        <w:rPr>
          <w:rFonts w:ascii="Times New Roman" w:hAnsi="Times New Roman" w:eastAsia="宋体"/>
          <w:b w:val="0"/>
          <w:i w:val="0"/>
          <w:color w:val="0066CC"/>
          <w:sz w:val="22"/>
        </w:rPr>
        <w:t>[34]</w:t>
      </w:r>
      <w:r>
        <w:rPr>
          <w:rFonts w:ascii="Times New Roman" w:hAnsi="Times New Roman" w:eastAsia="宋体"/>
          <w:b w:val="0"/>
          <w:i w:val="0"/>
          <w:sz w:val="22"/>
        </w:rPr>
        <w:t>. Indirect effect = β₁ × β₂ with delta-method SE; bootstrap 95% CIs (5,000 resamples).</w:t>
      </w:r>
    </w:p>
    <w:p w14:paraId="541A9E85">
      <w:pPr>
        <w:spacing w:before="280" w:after="80"/>
      </w:pPr>
      <w:r>
        <w:rPr>
          <w:rFonts w:ascii="Times New Roman" w:hAnsi="Times New Roman" w:eastAsia="宋体"/>
          <w:b/>
          <w:i w:val="0"/>
          <w:sz w:val="24"/>
        </w:rPr>
        <w:t>Level 6 — Directional external validation: cross-ancestry and control discrimination</w:t>
      </w:r>
    </w:p>
    <w:p w14:paraId="580C9FBE">
      <w:r>
        <w:rPr>
          <w:rFonts w:ascii="Times New Roman" w:hAnsi="Times New Roman" w:eastAsia="宋体"/>
          <w:b w:val="0"/>
          <w:i w:val="0"/>
          <w:sz w:val="22"/>
        </w:rPr>
        <w:t xml:space="preserve">EAS directional consistency used EAS educational attainment instruments (GCST90296498; 9 distance-clumped instruments at 10 Mb) against three EAS outcomes — GARD AD (NG00182; lifted GRCh38→GRCh37 via liftOver), BBJ type 2 diabetes (bbj-a-77), and BBJ ischemic stroke (bbj-a-129) — extracted and harmonized through TwoSampleMR; GARD was matched positionally (chr:pos) with allele-flip harmonization. T2D→AD EAS additionally used BBJ T2D instruments (96 clumped) against GARD EAS AD (71 matched). Power for directional-consistency testing via mRnd </w:t>
      </w:r>
      <w:r>
        <w:rPr>
          <w:rFonts w:ascii="Times New Roman" w:hAnsi="Times New Roman" w:eastAsia="宋体"/>
          <w:b w:val="0"/>
          <w:i w:val="0"/>
          <w:color w:val="0066CC"/>
          <w:sz w:val="22"/>
        </w:rPr>
        <w:t>[13,39]</w:t>
      </w:r>
      <w:r>
        <w:rPr>
          <w:rFonts w:ascii="Times New Roman" w:hAnsi="Times New Roman" w:eastAsia="宋体"/>
          <w:b w:val="0"/>
          <w:i w:val="0"/>
          <w:sz w:val="22"/>
        </w:rPr>
        <w:t>.</w:t>
      </w:r>
    </w:p>
    <w:p w14:paraId="79960C61">
      <w:pPr>
        <w:spacing w:before="280" w:after="80"/>
      </w:pPr>
      <w:r>
        <w:rPr>
          <w:rFonts w:ascii="Times New Roman" w:hAnsi="Times New Roman" w:eastAsia="宋体"/>
          <w:b/>
          <w:i w:val="0"/>
          <w:sz w:val="24"/>
        </w:rPr>
        <w:t>Instrument validity, sensitivity diagnostics, and statistical power</w:t>
      </w:r>
    </w:p>
    <w:p w14:paraId="63B806EC">
      <w:r>
        <w:rPr>
          <w:rFonts w:ascii="Times New Roman" w:hAnsi="Times New Roman" w:eastAsia="宋体"/>
          <w:b w:val="0"/>
          <w:i w:val="0"/>
          <w:sz w:val="22"/>
        </w:rPr>
        <w:t xml:space="preserve">Per-SNP F (β_exposure/se_exposure)²: forward insomnia→AD mean F = 38.5 (min 29.7), none below 10. Cochran's Q for clumped forward IVW: Q = 3,660, df = 2,461, P = 1.3 × </w:t>
      </w:r>
      <w:r>
        <w:rPr>
          <w:rFonts w:ascii="Times New Roman" w:hAnsi="Times New Roman" w:eastAsia="宋体"/>
          <w:b w:val="0"/>
          <w:i w:val="0"/>
          <w:sz w:val="22"/>
          <w:vertAlign w:val="baseline"/>
        </w:rPr>
        <w:t>10⁻⁵⁰</w:t>
      </w:r>
      <w:r>
        <w:rPr>
          <w:rFonts w:ascii="Times New Roman" w:hAnsi="Times New Roman" w:eastAsia="宋体"/>
          <w:b w:val="0"/>
          <w:i w:val="0"/>
          <w:sz w:val="22"/>
        </w:rPr>
        <w:t xml:space="preserve">; MR-PRESSO global distortion non-significant; reverse MR-Egger intercept significant. Leave-one-out (40 clumped instruments): IVW range [−0.238, −0.033], zero sign flips. Power (Brion 2013; mRnd): clumped ~7% to detect β = 0.10, requiring β ≥ 0.57 for 80%; unclumped &gt;99% </w:t>
      </w:r>
      <w:r>
        <w:rPr>
          <w:rFonts w:ascii="Times New Roman" w:hAnsi="Times New Roman" w:eastAsia="宋体"/>
          <w:b w:val="0"/>
          <w:i w:val="0"/>
          <w:color w:val="0066CC"/>
          <w:sz w:val="22"/>
        </w:rPr>
        <w:t>[22-23]</w:t>
      </w:r>
      <w:r>
        <w:rPr>
          <w:rFonts w:ascii="Times New Roman" w:hAnsi="Times New Roman" w:eastAsia="宋体"/>
          <w:b w:val="0"/>
          <w:i w:val="0"/>
          <w:sz w:val="22"/>
        </w:rPr>
        <w:t>.</w:t>
      </w:r>
    </w:p>
    <w:p w14:paraId="1953A466">
      <w:pPr>
        <w:spacing w:before="280" w:after="80"/>
      </w:pPr>
      <w:r>
        <w:rPr>
          <w:rFonts w:ascii="Times New Roman" w:hAnsi="Times New Roman" w:eastAsia="宋体"/>
          <w:b/>
          <w:i w:val="0"/>
          <w:sz w:val="24"/>
        </w:rPr>
        <w:t>Simulation operating characteristics</w:t>
      </w:r>
    </w:p>
    <w:p w14:paraId="01300B88">
      <w:r>
        <w:rPr>
          <w:rFonts w:ascii="Times New Roman" w:hAnsi="Times New Roman" w:eastAsia="宋体"/>
          <w:b w:val="0"/>
          <w:i w:val="0"/>
          <w:sz w:val="22"/>
        </w:rPr>
        <w:t xml:space="preserve">We generated polygenic two-sample MR summary statistics with known ground truth (causal β ∈ {0, 0.08, 0.15} per-SD). Instrument effects bx ~ N(0, 0.12) (mean per-SNP F ≈ 36), with correlated LD-block structure (n_blocks ∈ {5, 12, 40}); outcome effects γ_y = β·bx + pleiotropy + noise under none / balanced / directional regimes (directional adds +0.03 bias); sample overlap ρ ∈ {0, 0.3} via correlated sampling noise. A two-step mediator was generated only when β &gt; 0 (a = 0.40, b = 0.50), so null replicates did not spuriously pass L5; an independent second sample was generated for L6. Each replicate (n = 43,200: 3 LD × 3 pleio × 2 overlap × 3 effect × 2 n_iv × 400 reps) was scored by all six gates — L1 unclumped IVW; L2 clumped IVW without Egger directional pleiotropy; L3 architecture spread; L4 leave-one-out robustness; L5 two-step mediation; L6 independent-sample directional consistency — and assigned Grade A/B/C/D by the 0–12 rubric, with L1 failure cascading to Grade D. Sensitivity = P(grade ∈ {A,B} | effect &gt; 0), specificity = P(grade = D | null), FDR = P(effect = 0 | grade ∈ {A,B}) within each scenario. Implementation: </w:t>
      </w:r>
      <w:r>
        <w:rPr>
          <w:rFonts w:ascii="Courier New" w:hAnsi="Courier New" w:eastAsia="宋体"/>
          <w:b w:val="0"/>
          <w:i w:val="0"/>
          <w:sz w:val="20"/>
        </w:rPr>
        <w:t>code/sim_framework_operating_chars.py</w:t>
      </w:r>
      <w:r>
        <w:rPr>
          <w:rFonts w:ascii="Times New Roman" w:hAnsi="Times New Roman" w:eastAsia="宋体"/>
          <w:b w:val="0"/>
          <w:i w:val="0"/>
          <w:sz w:val="22"/>
        </w:rPr>
        <w:t xml:space="preserve"> (seed 20260804).</w:t>
      </w:r>
    </w:p>
    <w:p w14:paraId="55748519">
      <w:pPr>
        <w:spacing w:before="280" w:after="80"/>
      </w:pPr>
      <w:r>
        <w:rPr>
          <w:rFonts w:ascii="Times New Roman" w:hAnsi="Times New Roman" w:eastAsia="宋体"/>
          <w:b/>
          <w:i w:val="0"/>
          <w:sz w:val="24"/>
        </w:rPr>
        <w:t>Software and reproducibility</w:t>
      </w:r>
    </w:p>
    <w:p w14:paraId="3EDD0FAE">
      <w:r>
        <w:rPr>
          <w:rFonts w:ascii="Times New Roman" w:hAnsi="Times New Roman" w:eastAsia="宋体"/>
          <w:b w:val="0"/>
          <w:i w:val="0"/>
          <w:sz w:val="22"/>
        </w:rPr>
        <w:t>R (v4.5.2) and Python (v3.13). Packages: TwoSampleMR (v0.6.8), coloc (v5.2.3), MRlap (v0.0.3.1), cause (v1.2.2), MVMR (v0.4), ieugwasr (v1.0.0); numpy, scipy, pandas, matplotlib, seaborn. Code, cached inputs, and reproducible analysis scripts will be deposited in a public GitHub repository and archived via Zenodo upon acceptance; the study design is preregistered at OSF.</w:t>
      </w:r>
    </w:p>
    <w:p w14:paraId="7E6ECF86">
      <w:pPr>
        <w:spacing w:before="280" w:after="80"/>
      </w:pPr>
      <w:r>
        <w:rPr>
          <w:rFonts w:ascii="Times New Roman" w:hAnsi="Times New Roman" w:eastAsia="宋体"/>
          <w:b/>
          <w:i w:val="0"/>
          <w:sz w:val="24"/>
        </w:rPr>
        <w:t>AI assistance in writing</w:t>
      </w:r>
    </w:p>
    <w:p w14:paraId="79131085">
      <w:r>
        <w:rPr>
          <w:rFonts w:ascii="Times New Roman" w:hAnsi="Times New Roman" w:eastAsia="宋体"/>
          <w:b w:val="0"/>
          <w:i w:val="0"/>
          <w:sz w:val="22"/>
        </w:rPr>
        <w:t xml:space="preserve">A large language model (the WorkBuddy AI assistant, powered by </w:t>
      </w:r>
      <w:r>
        <w:rPr>
          <w:rFonts w:hint="eastAsia" w:eastAsia="宋体"/>
          <w:b w:val="0"/>
          <w:i w:val="0"/>
          <w:sz w:val="22"/>
          <w:lang w:val="en-US" w:eastAsia="zh-CN"/>
        </w:rPr>
        <w:t>DeepSeek</w:t>
      </w:r>
      <w:r>
        <w:rPr>
          <w:rFonts w:ascii="Times New Roman" w:hAnsi="Times New Roman" w:eastAsia="宋体"/>
          <w:b w:val="0"/>
          <w:i w:val="0"/>
          <w:sz w:val="22"/>
        </w:rPr>
        <w:t>) was used to assist with drafting and refining the manuscript text for language clarity and structure. All AI-generated or AI-modified text was reviewed, edited, and verified by the authors against primary sources; the authors take full responsibility for the accuracy and integrity of the manuscript. No AI tools were used to generate data, statistical analyses, or figures; all computational results were produced by the authors using standard statistical-genetics software (TwoSampleMR, LDSC, coloc, MVMR) in R and Python. No AI system is listed as an author.</w:t>
      </w:r>
    </w:p>
    <w:p w14:paraId="1AEB4D37">
      <w:pPr>
        <w:spacing w:before="360" w:after="120"/>
        <w:jc w:val="center"/>
      </w:pPr>
      <w:r>
        <w:rPr>
          <w:rFonts w:ascii="Times New Roman" w:hAnsi="Times New Roman" w:eastAsia="宋体"/>
          <w:b/>
          <w:i w:val="0"/>
          <w:sz w:val="28"/>
        </w:rPr>
        <w:t>Data Availability</w:t>
      </w:r>
    </w:p>
    <w:p w14:paraId="6ABE3B22">
      <w:r>
        <w:rPr>
          <w:rFonts w:ascii="Times New Roman" w:hAnsi="Times New Roman" w:eastAsia="宋体"/>
          <w:b w:val="0"/>
          <w:i w:val="0"/>
          <w:sz w:val="22"/>
        </w:rPr>
        <w:t xml:space="preserve">All GWAS summary statistics are publicly available via IEU OpenGWAS (https://gwas.mrcieu.ac.uk/) under the accessions listed in Methods. LDL→CAD (ieu-a-300 and ieu-a-7) and BMI→AD (ieu-a-2 and ieu-b-2) were computed within the IEU platform and are fully reproducible. UKB-PPP pQTL data (Sun et al. 2023, Nature) used for targeted verification are in published Supplementary Tables </w:t>
      </w:r>
      <w:r>
        <w:rPr>
          <w:rFonts w:ascii="Times New Roman" w:hAnsi="Times New Roman" w:eastAsia="宋体"/>
          <w:b w:val="0"/>
          <w:i w:val="0"/>
          <w:color w:val="0066CC"/>
          <w:sz w:val="22"/>
        </w:rPr>
        <w:t>[33]</w:t>
      </w:r>
      <w:r>
        <w:rPr>
          <w:rFonts w:ascii="Times New Roman" w:hAnsi="Times New Roman" w:eastAsia="宋体"/>
          <w:b w:val="0"/>
          <w:i w:val="0"/>
          <w:sz w:val="22"/>
        </w:rPr>
        <w:t xml:space="preserve">. GARD/NG00182 East Asian AD GWAS is at NIAGADS (https://www.niagads.org/) </w:t>
      </w:r>
      <w:r>
        <w:rPr>
          <w:rFonts w:ascii="Times New Roman" w:hAnsi="Times New Roman" w:eastAsia="宋体"/>
          <w:b w:val="0"/>
          <w:i w:val="0"/>
          <w:color w:val="0066CC"/>
          <w:sz w:val="22"/>
        </w:rPr>
        <w:t>[39]</w:t>
      </w:r>
      <w:r>
        <w:rPr>
          <w:rFonts w:ascii="Times New Roman" w:hAnsi="Times New Roman" w:eastAsia="宋体"/>
          <w:b w:val="0"/>
          <w:i w:val="0"/>
          <w:sz w:val="22"/>
        </w:rPr>
        <w:t>. The complete analysis pipeline — including all R/Python scripts (25 standardized modules), harmonized input data, caching layers for zero-API reproduction, and environment specifications — has been prepared for public release and will be deposited in a public GitHub repository with a frozen Zenodo archive upon acceptance. An OSF preregistration of the pre-specified six-level hierarchy (Methods — Framework architecture) is being submitted alongside this manuscript.</w:t>
      </w:r>
    </w:p>
    <w:p w14:paraId="3DF4D909">
      <w:pPr>
        <w:spacing w:before="360" w:after="120"/>
        <w:jc w:val="center"/>
      </w:pPr>
      <w:r>
        <w:rPr>
          <w:rFonts w:ascii="Times New Roman" w:hAnsi="Times New Roman" w:eastAsia="宋体"/>
          <w:b/>
          <w:i w:val="0"/>
          <w:sz w:val="28"/>
        </w:rPr>
        <w:t>Code Availability</w:t>
      </w:r>
    </w:p>
    <w:p w14:paraId="13978859">
      <w:r>
        <w:rPr>
          <w:rFonts w:ascii="Times New Roman" w:hAnsi="Times New Roman" w:eastAsia="宋体"/>
          <w:b w:val="0"/>
          <w:i w:val="0"/>
          <w:sz w:val="22"/>
        </w:rPr>
        <w:t>All analysis scripts (R and Python) have been organized into a standardized, versioned codebase (25 R modules; complementary Python modules for figure generation, Steiger analysis, and East Asian replication) with documented environment specifications (renv.lock). Cached harmonized input data for the metabolite mediation module (C1) enable zero-API reproduction. The full repository will be deposited in a public GitHub repository with a frozen Zenodo archive immediately upon acceptance.</w:t>
      </w:r>
    </w:p>
    <w:p w14:paraId="2559193A">
      <w:pPr>
        <w:spacing w:before="360" w:after="120"/>
        <w:jc w:val="center"/>
      </w:pPr>
      <w:r>
        <w:rPr>
          <w:rFonts w:ascii="Times New Roman" w:hAnsi="Times New Roman" w:eastAsia="宋体"/>
          <w:b/>
          <w:i w:val="0"/>
          <w:sz w:val="28"/>
        </w:rPr>
        <w:t>References</w:t>
      </w:r>
    </w:p>
    <w:p w14:paraId="17E9225A">
      <w:pPr>
        <w:spacing w:after="60"/>
        <w:ind w:left="720" w:hanging="357"/>
      </w:pPr>
      <w:r>
        <w:rPr>
          <w:rFonts w:ascii="Times New Roman" w:hAnsi="Times New Roman" w:eastAsia="宋体"/>
          <w:b w:val="0"/>
          <w:i w:val="0"/>
          <w:sz w:val="22"/>
        </w:rPr>
        <w:t xml:space="preserve">1. Smith GD, Ebrahim S. 'Mendelian randomization': can genetic epidemiology contribute to understanding causation? </w:t>
      </w:r>
      <w:r>
        <w:rPr>
          <w:rFonts w:ascii="Times New Roman" w:hAnsi="Times New Roman" w:eastAsia="宋体"/>
          <w:b w:val="0"/>
          <w:i/>
          <w:sz w:val="22"/>
        </w:rPr>
        <w:t>Int J Epidemiol</w:t>
      </w:r>
      <w:r>
        <w:rPr>
          <w:rFonts w:ascii="Times New Roman" w:hAnsi="Times New Roman" w:eastAsia="宋体"/>
          <w:b w:val="0"/>
          <w:i w:val="0"/>
          <w:sz w:val="22"/>
        </w:rPr>
        <w:t xml:space="preserve"> </w:t>
      </w:r>
      <w:r>
        <w:rPr>
          <w:rFonts w:ascii="Times New Roman" w:hAnsi="Times New Roman" w:eastAsia="宋体"/>
          <w:b/>
          <w:i w:val="0"/>
          <w:sz w:val="22"/>
        </w:rPr>
        <w:t>32</w:t>
      </w:r>
      <w:r>
        <w:rPr>
          <w:rFonts w:ascii="Times New Roman" w:hAnsi="Times New Roman" w:eastAsia="宋体"/>
          <w:b w:val="0"/>
          <w:i w:val="0"/>
          <w:sz w:val="22"/>
        </w:rPr>
        <w:t xml:space="preserve"> 1-22 (2003). doi: 10.1093/ije/dyg070</w:t>
      </w:r>
    </w:p>
    <w:p w14:paraId="6517104D">
      <w:pPr>
        <w:spacing w:after="60"/>
        <w:ind w:left="720" w:hanging="357"/>
      </w:pPr>
      <w:r>
        <w:rPr>
          <w:rFonts w:ascii="Times New Roman" w:hAnsi="Times New Roman" w:eastAsia="宋体"/>
          <w:b w:val="0"/>
          <w:i w:val="0"/>
          <w:sz w:val="22"/>
        </w:rPr>
        <w:t xml:space="preserve">2. Grover S, et al. Sleep, Pain, and Neurodegeneration: A Mendelian Randomization Study. </w:t>
      </w:r>
      <w:r>
        <w:rPr>
          <w:rFonts w:ascii="Times New Roman" w:hAnsi="Times New Roman" w:eastAsia="宋体"/>
          <w:b w:val="0"/>
          <w:i/>
          <w:sz w:val="22"/>
        </w:rPr>
        <w:t>Front Neurol</w:t>
      </w:r>
      <w:r>
        <w:rPr>
          <w:rFonts w:ascii="Times New Roman" w:hAnsi="Times New Roman" w:eastAsia="宋体"/>
          <w:b w:val="0"/>
          <w:i w:val="0"/>
          <w:sz w:val="22"/>
        </w:rPr>
        <w:t xml:space="preserve"> </w:t>
      </w:r>
      <w:r>
        <w:rPr>
          <w:rFonts w:ascii="Times New Roman" w:hAnsi="Times New Roman" w:eastAsia="宋体"/>
          <w:b/>
          <w:i w:val="0"/>
          <w:sz w:val="22"/>
        </w:rPr>
        <w:t>13</w:t>
      </w:r>
      <w:r>
        <w:rPr>
          <w:rFonts w:ascii="Times New Roman" w:hAnsi="Times New Roman" w:eastAsia="宋体"/>
          <w:b w:val="0"/>
          <w:i w:val="0"/>
          <w:sz w:val="22"/>
        </w:rPr>
        <w:t xml:space="preserve"> 765321 (2022). doi: 10.3389/fneur.2022.765321</w:t>
      </w:r>
    </w:p>
    <w:p w14:paraId="218DA435">
      <w:pPr>
        <w:spacing w:after="60"/>
        <w:ind w:left="720" w:hanging="357"/>
      </w:pPr>
      <w:r>
        <w:rPr>
          <w:rFonts w:ascii="Times New Roman" w:hAnsi="Times New Roman" w:eastAsia="宋体"/>
          <w:b w:val="0"/>
          <w:i w:val="0"/>
          <w:sz w:val="22"/>
        </w:rPr>
        <w:t xml:space="preserve">3. Guo Y, et al. Sleep Characteristics and Risk of Stroke and Dementia. </w:t>
      </w:r>
      <w:r>
        <w:rPr>
          <w:rFonts w:ascii="Times New Roman" w:hAnsi="Times New Roman" w:eastAsia="宋体"/>
          <w:b w:val="0"/>
          <w:i/>
          <w:sz w:val="22"/>
        </w:rPr>
        <w:t>Neurology</w:t>
      </w:r>
      <w:r>
        <w:rPr>
          <w:rFonts w:ascii="Times New Roman" w:hAnsi="Times New Roman" w:eastAsia="宋体"/>
          <w:b w:val="0"/>
          <w:i w:val="0"/>
          <w:sz w:val="22"/>
        </w:rPr>
        <w:t xml:space="preserve"> </w:t>
      </w:r>
      <w:r>
        <w:rPr>
          <w:rFonts w:ascii="Times New Roman" w:hAnsi="Times New Roman" w:eastAsia="宋体"/>
          <w:b/>
          <w:i w:val="0"/>
          <w:sz w:val="22"/>
        </w:rPr>
        <w:t>102</w:t>
      </w:r>
      <w:r>
        <w:rPr>
          <w:rFonts w:ascii="Times New Roman" w:hAnsi="Times New Roman" w:eastAsia="宋体"/>
          <w:b w:val="0"/>
          <w:i w:val="0"/>
          <w:sz w:val="22"/>
        </w:rPr>
        <w:t xml:space="preserve"> e209141 (2024). doi: 10.1212/WNL.0000000000209141</w:t>
      </w:r>
    </w:p>
    <w:p w14:paraId="3E7D95E9">
      <w:pPr>
        <w:spacing w:after="60"/>
        <w:ind w:left="720" w:hanging="357"/>
      </w:pPr>
      <w:r>
        <w:rPr>
          <w:rFonts w:ascii="Times New Roman" w:hAnsi="Times New Roman" w:eastAsia="宋体"/>
          <w:b w:val="0"/>
          <w:i w:val="0"/>
          <w:sz w:val="22"/>
        </w:rPr>
        <w:t xml:space="preserve">4. Guo Y, et al. Sleep and dementia: Assessing established dementia-related factors. </w:t>
      </w:r>
      <w:r>
        <w:rPr>
          <w:rFonts w:ascii="Times New Roman" w:hAnsi="Times New Roman" w:eastAsia="宋体"/>
          <w:b w:val="0"/>
          <w:i/>
          <w:sz w:val="22"/>
        </w:rPr>
        <w:t>Alzheimers Dement</w:t>
      </w:r>
      <w:r>
        <w:rPr>
          <w:rFonts w:ascii="Times New Roman" w:hAnsi="Times New Roman" w:eastAsia="宋体"/>
          <w:b w:val="0"/>
          <w:i w:val="0"/>
          <w:sz w:val="22"/>
        </w:rPr>
        <w:t xml:space="preserve"> </w:t>
      </w:r>
      <w:r>
        <w:rPr>
          <w:rFonts w:ascii="Times New Roman" w:hAnsi="Times New Roman" w:eastAsia="宋体"/>
          <w:b/>
          <w:i w:val="0"/>
          <w:sz w:val="22"/>
        </w:rPr>
        <w:t>22</w:t>
      </w:r>
      <w:r>
        <w:rPr>
          <w:rFonts w:ascii="Times New Roman" w:hAnsi="Times New Roman" w:eastAsia="宋体"/>
          <w:b w:val="0"/>
          <w:i w:val="0"/>
          <w:sz w:val="22"/>
        </w:rPr>
        <w:t xml:space="preserve"> e71592 (2026). doi: 10.1002/alz.71592</w:t>
      </w:r>
    </w:p>
    <w:p w14:paraId="5FBA4604">
      <w:pPr>
        <w:spacing w:after="60"/>
        <w:ind w:left="720" w:hanging="357"/>
      </w:pPr>
      <w:r>
        <w:rPr>
          <w:rFonts w:ascii="Times New Roman" w:hAnsi="Times New Roman" w:eastAsia="宋体"/>
          <w:b w:val="0"/>
          <w:i w:val="0"/>
          <w:sz w:val="22"/>
        </w:rPr>
        <w:t xml:space="preserve">5. Sambou E, et al. Associations between sleep-behavioral traits and healthspan. </w:t>
      </w:r>
      <w:r>
        <w:rPr>
          <w:rFonts w:ascii="Times New Roman" w:hAnsi="Times New Roman" w:eastAsia="宋体"/>
          <w:b w:val="0"/>
          <w:i/>
          <w:sz w:val="22"/>
        </w:rPr>
        <w:t>J Affect Disord</w:t>
      </w:r>
      <w:r>
        <w:rPr>
          <w:rFonts w:ascii="Times New Roman" w:hAnsi="Times New Roman" w:eastAsia="宋体"/>
          <w:b w:val="0"/>
          <w:i w:val="0"/>
          <w:sz w:val="22"/>
        </w:rPr>
        <w:t xml:space="preserve"> </w:t>
      </w:r>
      <w:r>
        <w:rPr>
          <w:rFonts w:ascii="Times New Roman" w:hAnsi="Times New Roman" w:eastAsia="宋体"/>
          <w:b/>
          <w:i w:val="0"/>
          <w:sz w:val="22"/>
        </w:rPr>
        <w:t>350</w:t>
      </w:r>
      <w:r>
        <w:rPr>
          <w:rFonts w:ascii="Times New Roman" w:hAnsi="Times New Roman" w:eastAsia="宋体"/>
          <w:b w:val="0"/>
          <w:i w:val="0"/>
          <w:sz w:val="22"/>
        </w:rPr>
        <w:t xml:space="preserve"> 854-862 (2024). doi: 10.1016/j.jad.2024.01.122</w:t>
      </w:r>
    </w:p>
    <w:p w14:paraId="1861FAC7">
      <w:pPr>
        <w:spacing w:after="60"/>
        <w:ind w:left="720" w:hanging="357"/>
      </w:pPr>
      <w:r>
        <w:rPr>
          <w:rFonts w:ascii="Times New Roman" w:hAnsi="Times New Roman" w:eastAsia="宋体"/>
          <w:b w:val="0"/>
          <w:i w:val="0"/>
          <w:sz w:val="22"/>
        </w:rPr>
        <w:t xml:space="preserve">6. Burgess S, Butterworth A, Thompson SG. Mendelian randomization analysis with multiple genetic variants using summarized data. </w:t>
      </w:r>
      <w:r>
        <w:rPr>
          <w:rFonts w:ascii="Times New Roman" w:hAnsi="Times New Roman" w:eastAsia="宋体"/>
          <w:b w:val="0"/>
          <w:i/>
          <w:sz w:val="22"/>
        </w:rPr>
        <w:t>Genet Epidemiol</w:t>
      </w:r>
      <w:r>
        <w:rPr>
          <w:rFonts w:ascii="Times New Roman" w:hAnsi="Times New Roman" w:eastAsia="宋体"/>
          <w:b w:val="0"/>
          <w:i w:val="0"/>
          <w:sz w:val="22"/>
        </w:rPr>
        <w:t xml:space="preserve"> </w:t>
      </w:r>
      <w:r>
        <w:rPr>
          <w:rFonts w:ascii="Times New Roman" w:hAnsi="Times New Roman" w:eastAsia="宋体"/>
          <w:b/>
          <w:i w:val="0"/>
          <w:sz w:val="22"/>
        </w:rPr>
        <w:t>37</w:t>
      </w:r>
      <w:r>
        <w:rPr>
          <w:rFonts w:ascii="Times New Roman" w:hAnsi="Times New Roman" w:eastAsia="宋体"/>
          <w:b w:val="0"/>
          <w:i w:val="0"/>
          <w:sz w:val="22"/>
        </w:rPr>
        <w:t xml:space="preserve"> 658-65 (2013). doi: 10.1002/gepi.21758</w:t>
      </w:r>
    </w:p>
    <w:p w14:paraId="56614CE0">
      <w:pPr>
        <w:spacing w:after="60"/>
        <w:ind w:left="720" w:hanging="357"/>
      </w:pPr>
      <w:r>
        <w:rPr>
          <w:rFonts w:ascii="Times New Roman" w:hAnsi="Times New Roman" w:eastAsia="宋体"/>
          <w:b w:val="0"/>
          <w:i w:val="0"/>
          <w:sz w:val="22"/>
        </w:rPr>
        <w:t xml:space="preserve">7. Bowden J, Davey Smith G, Burgess S. Mendelian randomization with invalid instruments: effect estimation and bias. </w:t>
      </w:r>
      <w:r>
        <w:rPr>
          <w:rFonts w:ascii="Times New Roman" w:hAnsi="Times New Roman" w:eastAsia="宋体"/>
          <w:b w:val="0"/>
          <w:i/>
          <w:sz w:val="22"/>
        </w:rPr>
        <w:t>Int J Epidemiol</w:t>
      </w:r>
      <w:r>
        <w:rPr>
          <w:rFonts w:ascii="Times New Roman" w:hAnsi="Times New Roman" w:eastAsia="宋体"/>
          <w:b w:val="0"/>
          <w:i w:val="0"/>
          <w:sz w:val="22"/>
        </w:rPr>
        <w:t xml:space="preserve"> </w:t>
      </w:r>
      <w:r>
        <w:rPr>
          <w:rFonts w:ascii="Times New Roman" w:hAnsi="Times New Roman" w:eastAsia="宋体"/>
          <w:b/>
          <w:i w:val="0"/>
          <w:sz w:val="22"/>
        </w:rPr>
        <w:t>44</w:t>
      </w:r>
      <w:r>
        <w:rPr>
          <w:rFonts w:ascii="Times New Roman" w:hAnsi="Times New Roman" w:eastAsia="宋体"/>
          <w:b w:val="0"/>
          <w:i w:val="0"/>
          <w:sz w:val="22"/>
        </w:rPr>
        <w:t xml:space="preserve"> 512-25 (2015). doi: 10.1093/ije/dyv080</w:t>
      </w:r>
    </w:p>
    <w:p w14:paraId="68596BA5">
      <w:pPr>
        <w:spacing w:after="60"/>
        <w:ind w:left="720" w:hanging="357"/>
      </w:pPr>
      <w:r>
        <w:rPr>
          <w:rFonts w:ascii="Times New Roman" w:hAnsi="Times New Roman" w:eastAsia="宋体"/>
          <w:b w:val="0"/>
          <w:i w:val="0"/>
          <w:sz w:val="22"/>
        </w:rPr>
        <w:t xml:space="preserve">8. Verbanck M, Chen CY, Neale B, Do R. Detection of widespread horizontal pleiotropy in causal relationships inferred from Mendelian randomization.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50</w:t>
      </w:r>
      <w:r>
        <w:rPr>
          <w:rFonts w:ascii="Times New Roman" w:hAnsi="Times New Roman" w:eastAsia="宋体"/>
          <w:b w:val="0"/>
          <w:i w:val="0"/>
          <w:sz w:val="22"/>
        </w:rPr>
        <w:t xml:space="preserve"> 693-698 (2018). doi: 10.1038/s41588-018-0099-7</w:t>
      </w:r>
    </w:p>
    <w:p w14:paraId="5F3246FE">
      <w:pPr>
        <w:spacing w:after="60"/>
        <w:ind w:left="720" w:hanging="357"/>
      </w:pPr>
      <w:r>
        <w:rPr>
          <w:rFonts w:ascii="Times New Roman" w:hAnsi="Times New Roman" w:eastAsia="宋体"/>
          <w:b w:val="0"/>
          <w:i w:val="0"/>
          <w:sz w:val="22"/>
        </w:rPr>
        <w:t xml:space="preserve">9. Hemani G, et al. The MR-Base platform supports systematic causal inference across the human phenome. </w:t>
      </w:r>
      <w:r>
        <w:rPr>
          <w:rFonts w:ascii="Times New Roman" w:hAnsi="Times New Roman" w:eastAsia="宋体"/>
          <w:b w:val="0"/>
          <w:i/>
          <w:sz w:val="22"/>
        </w:rPr>
        <w:t>Elife</w:t>
      </w:r>
      <w:r>
        <w:rPr>
          <w:rFonts w:ascii="Times New Roman" w:hAnsi="Times New Roman" w:eastAsia="宋体"/>
          <w:b w:val="0"/>
          <w:i w:val="0"/>
          <w:sz w:val="22"/>
        </w:rPr>
        <w:t xml:space="preserve"> </w:t>
      </w:r>
      <w:r>
        <w:rPr>
          <w:rFonts w:ascii="Times New Roman" w:hAnsi="Times New Roman" w:eastAsia="宋体"/>
          <w:b/>
          <w:i w:val="0"/>
          <w:sz w:val="22"/>
        </w:rPr>
        <w:t>7</w:t>
      </w:r>
      <w:r>
        <w:rPr>
          <w:rFonts w:ascii="Times New Roman" w:hAnsi="Times New Roman" w:eastAsia="宋体"/>
          <w:b w:val="0"/>
          <w:i w:val="0"/>
          <w:sz w:val="22"/>
        </w:rPr>
        <w:t xml:space="preserve"> e34408 (2018). doi: 10.7554/eLife.34408</w:t>
      </w:r>
    </w:p>
    <w:p w14:paraId="597A5BDC">
      <w:pPr>
        <w:spacing w:after="60"/>
        <w:ind w:left="720" w:hanging="357"/>
      </w:pPr>
      <w:r>
        <w:rPr>
          <w:rFonts w:ascii="Times New Roman" w:hAnsi="Times New Roman" w:eastAsia="宋体"/>
          <w:b w:val="0"/>
          <w:i w:val="0"/>
          <w:sz w:val="22"/>
        </w:rPr>
        <w:t xml:space="preserve">10. Lawlor DA, Tilling K, Davey Smith G. Triangulation in aetiological epidemiology. </w:t>
      </w:r>
      <w:r>
        <w:rPr>
          <w:rFonts w:ascii="Times New Roman" w:hAnsi="Times New Roman" w:eastAsia="宋体"/>
          <w:b w:val="0"/>
          <w:i/>
          <w:sz w:val="22"/>
        </w:rPr>
        <w:t>Int J Epidemiol</w:t>
      </w:r>
      <w:r>
        <w:rPr>
          <w:rFonts w:ascii="Times New Roman" w:hAnsi="Times New Roman" w:eastAsia="宋体"/>
          <w:b w:val="0"/>
          <w:i w:val="0"/>
          <w:sz w:val="22"/>
        </w:rPr>
        <w:t xml:space="preserve"> </w:t>
      </w:r>
      <w:r>
        <w:rPr>
          <w:rFonts w:ascii="Times New Roman" w:hAnsi="Times New Roman" w:eastAsia="宋体"/>
          <w:b/>
          <w:i w:val="0"/>
          <w:sz w:val="22"/>
        </w:rPr>
        <w:t>45</w:t>
      </w:r>
      <w:r>
        <w:rPr>
          <w:rFonts w:ascii="Times New Roman" w:hAnsi="Times New Roman" w:eastAsia="宋体"/>
          <w:b w:val="0"/>
          <w:i w:val="0"/>
          <w:sz w:val="22"/>
        </w:rPr>
        <w:t xml:space="preserve"> 1866-1886 (2016). doi: 10.1093/ije/dyw314</w:t>
      </w:r>
    </w:p>
    <w:p w14:paraId="40E2FEF4">
      <w:pPr>
        <w:spacing w:after="60"/>
        <w:ind w:left="720" w:hanging="357"/>
      </w:pPr>
      <w:r>
        <w:rPr>
          <w:rFonts w:ascii="Times New Roman" w:hAnsi="Times New Roman" w:eastAsia="宋体"/>
          <w:b w:val="0"/>
          <w:i w:val="0"/>
          <w:sz w:val="22"/>
        </w:rPr>
        <w:t xml:space="preserve">11. Munafo MR, Davey Smith G. Robust research needs many lines of evidence. </w:t>
      </w:r>
      <w:r>
        <w:rPr>
          <w:rFonts w:ascii="Times New Roman" w:hAnsi="Times New Roman" w:eastAsia="宋体"/>
          <w:b w:val="0"/>
          <w:i/>
          <w:sz w:val="22"/>
        </w:rPr>
        <w:t>Nature</w:t>
      </w:r>
      <w:r>
        <w:rPr>
          <w:rFonts w:ascii="Times New Roman" w:hAnsi="Times New Roman" w:eastAsia="宋体"/>
          <w:b w:val="0"/>
          <w:i w:val="0"/>
          <w:sz w:val="22"/>
        </w:rPr>
        <w:t xml:space="preserve"> </w:t>
      </w:r>
      <w:r>
        <w:rPr>
          <w:rFonts w:ascii="Times New Roman" w:hAnsi="Times New Roman" w:eastAsia="宋体"/>
          <w:b/>
          <w:i w:val="0"/>
          <w:sz w:val="22"/>
        </w:rPr>
        <w:t>553</w:t>
      </w:r>
      <w:r>
        <w:rPr>
          <w:rFonts w:ascii="Times New Roman" w:hAnsi="Times New Roman" w:eastAsia="宋体"/>
          <w:b w:val="0"/>
          <w:i w:val="0"/>
          <w:sz w:val="22"/>
        </w:rPr>
        <w:t xml:space="preserve"> 399-401 (2018). doi: 10.1038/d41586-018-01023-3</w:t>
      </w:r>
    </w:p>
    <w:p w14:paraId="0DE82397">
      <w:pPr>
        <w:spacing w:after="60"/>
        <w:ind w:left="720" w:hanging="357"/>
      </w:pPr>
      <w:r>
        <w:rPr>
          <w:rFonts w:ascii="Times New Roman" w:hAnsi="Times New Roman" w:eastAsia="宋体"/>
          <w:b w:val="0"/>
          <w:i w:val="0"/>
          <w:sz w:val="22"/>
        </w:rPr>
        <w:t xml:space="preserve">12. Skrivankova VW, et al. Strengthening the Reporting of Observational Studies in Epidemiology Using Mendelian Randomization. </w:t>
      </w:r>
      <w:r>
        <w:rPr>
          <w:rFonts w:ascii="Times New Roman" w:hAnsi="Times New Roman" w:eastAsia="宋体"/>
          <w:b w:val="0"/>
          <w:i/>
          <w:sz w:val="22"/>
        </w:rPr>
        <w:t>JAMA</w:t>
      </w:r>
      <w:r>
        <w:rPr>
          <w:rFonts w:ascii="Times New Roman" w:hAnsi="Times New Roman" w:eastAsia="宋体"/>
          <w:b w:val="0"/>
          <w:i w:val="0"/>
          <w:sz w:val="22"/>
        </w:rPr>
        <w:t xml:space="preserve"> </w:t>
      </w:r>
      <w:r>
        <w:rPr>
          <w:rFonts w:ascii="Times New Roman" w:hAnsi="Times New Roman" w:eastAsia="宋体"/>
          <w:b/>
          <w:i w:val="0"/>
          <w:sz w:val="22"/>
        </w:rPr>
        <w:t>326</w:t>
      </w:r>
      <w:r>
        <w:rPr>
          <w:rFonts w:ascii="Times New Roman" w:hAnsi="Times New Roman" w:eastAsia="宋体"/>
          <w:b w:val="0"/>
          <w:i w:val="0"/>
          <w:sz w:val="22"/>
        </w:rPr>
        <w:t xml:space="preserve"> 1614-1621 (2021). doi: 10.1001/jama.2021.18236</w:t>
      </w:r>
    </w:p>
    <w:p w14:paraId="570BCB20">
      <w:pPr>
        <w:spacing w:after="60"/>
        <w:ind w:left="720" w:hanging="357"/>
      </w:pPr>
      <w:r>
        <w:rPr>
          <w:rFonts w:ascii="Times New Roman" w:hAnsi="Times New Roman" w:eastAsia="宋体"/>
          <w:b w:val="0"/>
          <w:i w:val="0"/>
          <w:sz w:val="22"/>
        </w:rPr>
        <w:t xml:space="preserve">13. Chen X, et al. Shared genetic architectures of educational attainment in East Asian and European populations. </w:t>
      </w:r>
      <w:r>
        <w:rPr>
          <w:rFonts w:ascii="Times New Roman" w:hAnsi="Times New Roman" w:eastAsia="宋体"/>
          <w:b w:val="0"/>
          <w:i/>
          <w:sz w:val="22"/>
        </w:rPr>
        <w:t>Nat Hum Behav</w:t>
      </w:r>
      <w:r>
        <w:rPr>
          <w:rFonts w:ascii="Times New Roman" w:hAnsi="Times New Roman" w:eastAsia="宋体"/>
          <w:b w:val="0"/>
          <w:i w:val="0"/>
          <w:sz w:val="22"/>
        </w:rPr>
        <w:t xml:space="preserve"> </w:t>
      </w:r>
      <w:r>
        <w:rPr>
          <w:rFonts w:ascii="Times New Roman" w:hAnsi="Times New Roman" w:eastAsia="宋体"/>
          <w:b/>
          <w:i w:val="0"/>
          <w:sz w:val="22"/>
        </w:rPr>
        <w:t>8</w:t>
      </w:r>
      <w:r>
        <w:rPr>
          <w:rFonts w:ascii="Times New Roman" w:hAnsi="Times New Roman" w:eastAsia="宋体"/>
          <w:b w:val="0"/>
          <w:i w:val="0"/>
          <w:sz w:val="22"/>
        </w:rPr>
        <w:t xml:space="preserve"> 562-575 (2024). doi: 10.1038/s41562-023-01781-9</w:t>
      </w:r>
    </w:p>
    <w:p w14:paraId="3493A128">
      <w:pPr>
        <w:spacing w:after="60"/>
        <w:ind w:left="720" w:hanging="357"/>
      </w:pPr>
      <w:r>
        <w:rPr>
          <w:rFonts w:ascii="Times New Roman" w:hAnsi="Times New Roman" w:eastAsia="宋体"/>
          <w:b w:val="0"/>
          <w:i w:val="0"/>
          <w:sz w:val="22"/>
        </w:rPr>
        <w:t xml:space="preserve">14. Sudlow C, et al. UK biobank: an open access resource. </w:t>
      </w:r>
      <w:r>
        <w:rPr>
          <w:rFonts w:ascii="Times New Roman" w:hAnsi="Times New Roman" w:eastAsia="宋体"/>
          <w:b w:val="0"/>
          <w:i/>
          <w:sz w:val="22"/>
        </w:rPr>
        <w:t>PLoS Med</w:t>
      </w:r>
      <w:r>
        <w:rPr>
          <w:rFonts w:ascii="Times New Roman" w:hAnsi="Times New Roman" w:eastAsia="宋体"/>
          <w:b w:val="0"/>
          <w:i w:val="0"/>
          <w:sz w:val="22"/>
        </w:rPr>
        <w:t xml:space="preserve"> </w:t>
      </w:r>
      <w:r>
        <w:rPr>
          <w:rFonts w:ascii="Times New Roman" w:hAnsi="Times New Roman" w:eastAsia="宋体"/>
          <w:b/>
          <w:i w:val="0"/>
          <w:sz w:val="22"/>
        </w:rPr>
        <w:t>12</w:t>
      </w:r>
      <w:r>
        <w:rPr>
          <w:rFonts w:ascii="Times New Roman" w:hAnsi="Times New Roman" w:eastAsia="宋体"/>
          <w:b w:val="0"/>
          <w:i w:val="0"/>
          <w:sz w:val="22"/>
        </w:rPr>
        <w:t xml:space="preserve"> e1001779 (2015). doi: 10.1371/journal.pmed.1001779</w:t>
      </w:r>
    </w:p>
    <w:p w14:paraId="13D3C8F3">
      <w:pPr>
        <w:spacing w:after="60"/>
        <w:ind w:left="720" w:hanging="357"/>
      </w:pPr>
      <w:r>
        <w:rPr>
          <w:rFonts w:ascii="Times New Roman" w:hAnsi="Times New Roman" w:eastAsia="宋体"/>
          <w:b w:val="0"/>
          <w:i w:val="0"/>
          <w:sz w:val="22"/>
        </w:rPr>
        <w:t xml:space="preserve">15. Bycroft C, et al. The UK Biobank resource with deep phenotyping and genomic data. </w:t>
      </w:r>
      <w:r>
        <w:rPr>
          <w:rFonts w:ascii="Times New Roman" w:hAnsi="Times New Roman" w:eastAsia="宋体"/>
          <w:b w:val="0"/>
          <w:i/>
          <w:sz w:val="22"/>
        </w:rPr>
        <w:t>Nature</w:t>
      </w:r>
      <w:r>
        <w:rPr>
          <w:rFonts w:ascii="Times New Roman" w:hAnsi="Times New Roman" w:eastAsia="宋体"/>
          <w:b w:val="0"/>
          <w:i w:val="0"/>
          <w:sz w:val="22"/>
        </w:rPr>
        <w:t xml:space="preserve"> </w:t>
      </w:r>
      <w:r>
        <w:rPr>
          <w:rFonts w:ascii="Times New Roman" w:hAnsi="Times New Roman" w:eastAsia="宋体"/>
          <w:b/>
          <w:i w:val="0"/>
          <w:sz w:val="22"/>
        </w:rPr>
        <w:t>562</w:t>
      </w:r>
      <w:r>
        <w:rPr>
          <w:rFonts w:ascii="Times New Roman" w:hAnsi="Times New Roman" w:eastAsia="宋体"/>
          <w:b w:val="0"/>
          <w:i w:val="0"/>
          <w:sz w:val="22"/>
        </w:rPr>
        <w:t xml:space="preserve"> 203-209 (2018). doi: 10.1038/s41586-018-0579-z</w:t>
      </w:r>
    </w:p>
    <w:p w14:paraId="7585B597">
      <w:pPr>
        <w:spacing w:after="60"/>
        <w:ind w:left="720" w:hanging="357"/>
      </w:pPr>
      <w:r>
        <w:rPr>
          <w:rFonts w:ascii="Times New Roman" w:hAnsi="Times New Roman" w:eastAsia="宋体"/>
          <w:b w:val="0"/>
          <w:i w:val="0"/>
          <w:sz w:val="22"/>
        </w:rPr>
        <w:t xml:space="preserve">16. Kunkle BW, et al. Genetic meta-analysis of diagnosed Alzheimer's disease identifies new risk loci.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51</w:t>
      </w:r>
      <w:r>
        <w:rPr>
          <w:rFonts w:ascii="Times New Roman" w:hAnsi="Times New Roman" w:eastAsia="宋体"/>
          <w:b w:val="0"/>
          <w:i w:val="0"/>
          <w:sz w:val="22"/>
        </w:rPr>
        <w:t xml:space="preserve"> 414-430 (2019). doi: 10.1038/s41588-019-0358-2</w:t>
      </w:r>
    </w:p>
    <w:p w14:paraId="11570AF6">
      <w:pPr>
        <w:spacing w:after="60"/>
        <w:ind w:left="720" w:hanging="357"/>
      </w:pPr>
      <w:r>
        <w:rPr>
          <w:rFonts w:ascii="Times New Roman" w:hAnsi="Times New Roman" w:eastAsia="宋体"/>
          <w:b w:val="0"/>
          <w:i w:val="0"/>
          <w:sz w:val="22"/>
        </w:rPr>
        <w:t xml:space="preserve">17. Bellenguez C, et al. New insights into the genetic etiology of Alzheimer's disease.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54</w:t>
      </w:r>
      <w:r>
        <w:rPr>
          <w:rFonts w:ascii="Times New Roman" w:hAnsi="Times New Roman" w:eastAsia="宋体"/>
          <w:b w:val="0"/>
          <w:i w:val="0"/>
          <w:sz w:val="22"/>
        </w:rPr>
        <w:t xml:space="preserve"> 412-436 (2022). doi: 10.1038/s41588-022-01024-z</w:t>
      </w:r>
    </w:p>
    <w:p w14:paraId="2E36BD9E">
      <w:pPr>
        <w:spacing w:after="60"/>
        <w:ind w:left="720" w:hanging="357"/>
      </w:pPr>
      <w:r>
        <w:rPr>
          <w:rFonts w:ascii="Times New Roman" w:hAnsi="Times New Roman" w:eastAsia="宋体"/>
          <w:b w:val="0"/>
          <w:i w:val="0"/>
          <w:sz w:val="22"/>
        </w:rPr>
        <w:t xml:space="preserve">18. Lambert JC, et al. Meta-analysis of 74,046 individuals identifies 11 new susceptibility loci for Alzheimer's disease.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45</w:t>
      </w:r>
      <w:r>
        <w:rPr>
          <w:rFonts w:ascii="Times New Roman" w:hAnsi="Times New Roman" w:eastAsia="宋体"/>
          <w:b w:val="0"/>
          <w:i w:val="0"/>
          <w:sz w:val="22"/>
        </w:rPr>
        <w:t xml:space="preserve"> 1452-8 (2013). doi: 10.1038/ng.2802</w:t>
      </w:r>
    </w:p>
    <w:p w14:paraId="76666D91">
      <w:pPr>
        <w:spacing w:after="60"/>
        <w:ind w:left="720" w:hanging="357"/>
      </w:pPr>
      <w:r>
        <w:rPr>
          <w:rFonts w:ascii="Times New Roman" w:hAnsi="Times New Roman" w:eastAsia="宋体"/>
          <w:b w:val="0"/>
          <w:i w:val="0"/>
          <w:sz w:val="22"/>
        </w:rPr>
        <w:t xml:space="preserve">19. Seyedsalehi A, et al. Educational attainment, structural brain reserve and Alzheimer's disease. </w:t>
      </w:r>
      <w:r>
        <w:rPr>
          <w:rFonts w:ascii="Times New Roman" w:hAnsi="Times New Roman" w:eastAsia="宋体"/>
          <w:b w:val="0"/>
          <w:i/>
          <w:sz w:val="22"/>
        </w:rPr>
        <w:t>Brain</w:t>
      </w:r>
      <w:r>
        <w:rPr>
          <w:rFonts w:ascii="Times New Roman" w:hAnsi="Times New Roman" w:eastAsia="宋体"/>
          <w:b w:val="0"/>
          <w:i w:val="0"/>
          <w:sz w:val="22"/>
        </w:rPr>
        <w:t xml:space="preserve"> </w:t>
      </w:r>
      <w:r>
        <w:rPr>
          <w:rFonts w:ascii="Times New Roman" w:hAnsi="Times New Roman" w:eastAsia="宋体"/>
          <w:b/>
          <w:i w:val="0"/>
          <w:sz w:val="22"/>
        </w:rPr>
        <w:t>146</w:t>
      </w:r>
      <w:r>
        <w:rPr>
          <w:rFonts w:ascii="Times New Roman" w:hAnsi="Times New Roman" w:eastAsia="宋体"/>
          <w:b w:val="0"/>
          <w:i w:val="0"/>
          <w:sz w:val="22"/>
        </w:rPr>
        <w:t xml:space="preserve"> 2059-2074 (2023). doi: 10.1093/brain/awac392</w:t>
      </w:r>
    </w:p>
    <w:p w14:paraId="7E4B33C4">
      <w:pPr>
        <w:spacing w:after="60"/>
        <w:ind w:left="720" w:hanging="357"/>
      </w:pPr>
      <w:r>
        <w:rPr>
          <w:rFonts w:ascii="Times New Roman" w:hAnsi="Times New Roman" w:eastAsia="宋体"/>
          <w:b w:val="0"/>
          <w:i w:val="0"/>
          <w:sz w:val="22"/>
        </w:rPr>
        <w:t xml:space="preserve">20. Bowden J, Davey Smith G, Haycock PC, Burgess S. Consistent Estimation in Mendelian Randomization with Some Invalid Instruments. </w:t>
      </w:r>
      <w:r>
        <w:rPr>
          <w:rFonts w:ascii="Times New Roman" w:hAnsi="Times New Roman" w:eastAsia="宋体"/>
          <w:b w:val="0"/>
          <w:i/>
          <w:sz w:val="22"/>
        </w:rPr>
        <w:t>Genet Epidemiol</w:t>
      </w:r>
      <w:r>
        <w:rPr>
          <w:rFonts w:ascii="Times New Roman" w:hAnsi="Times New Roman" w:eastAsia="宋体"/>
          <w:b w:val="0"/>
          <w:i w:val="0"/>
          <w:sz w:val="22"/>
        </w:rPr>
        <w:t xml:space="preserve"> </w:t>
      </w:r>
      <w:r>
        <w:rPr>
          <w:rFonts w:ascii="Times New Roman" w:hAnsi="Times New Roman" w:eastAsia="宋体"/>
          <w:b/>
          <w:i w:val="0"/>
          <w:sz w:val="22"/>
        </w:rPr>
        <w:t>40</w:t>
      </w:r>
      <w:r>
        <w:rPr>
          <w:rFonts w:ascii="Times New Roman" w:hAnsi="Times New Roman" w:eastAsia="宋体"/>
          <w:b w:val="0"/>
          <w:i w:val="0"/>
          <w:sz w:val="22"/>
        </w:rPr>
        <w:t xml:space="preserve"> 304-14 (2016). doi: 10.1002/gepi.21965</w:t>
      </w:r>
    </w:p>
    <w:p w14:paraId="6E23FF45">
      <w:pPr>
        <w:spacing w:after="60"/>
        <w:ind w:left="720" w:hanging="357"/>
      </w:pPr>
      <w:r>
        <w:rPr>
          <w:rFonts w:ascii="Times New Roman" w:hAnsi="Times New Roman" w:eastAsia="宋体"/>
          <w:b w:val="0"/>
          <w:i w:val="0"/>
          <w:sz w:val="22"/>
        </w:rPr>
        <w:t xml:space="preserve">21. Hartwig FP, Davey Smith G, Bowden J. Robust inference in summary data Mendelian randomization via the zero modal. </w:t>
      </w:r>
      <w:r>
        <w:rPr>
          <w:rFonts w:ascii="Times New Roman" w:hAnsi="Times New Roman" w:eastAsia="宋体"/>
          <w:b w:val="0"/>
          <w:i/>
          <w:sz w:val="22"/>
        </w:rPr>
        <w:t>Int J Epidemiol</w:t>
      </w:r>
      <w:r>
        <w:rPr>
          <w:rFonts w:ascii="Times New Roman" w:hAnsi="Times New Roman" w:eastAsia="宋体"/>
          <w:b w:val="0"/>
          <w:i w:val="0"/>
          <w:sz w:val="22"/>
        </w:rPr>
        <w:t xml:space="preserve"> </w:t>
      </w:r>
      <w:r>
        <w:rPr>
          <w:rFonts w:ascii="Times New Roman" w:hAnsi="Times New Roman" w:eastAsia="宋体"/>
          <w:b/>
          <w:i w:val="0"/>
          <w:sz w:val="22"/>
        </w:rPr>
        <w:t>46</w:t>
      </w:r>
      <w:r>
        <w:rPr>
          <w:rFonts w:ascii="Times New Roman" w:hAnsi="Times New Roman" w:eastAsia="宋体"/>
          <w:b w:val="0"/>
          <w:i w:val="0"/>
          <w:sz w:val="22"/>
        </w:rPr>
        <w:t xml:space="preserve"> 1985-1998 (2017). doi: 10.1093/ije/dyx102</w:t>
      </w:r>
    </w:p>
    <w:p w14:paraId="4EA43576">
      <w:pPr>
        <w:spacing w:after="60"/>
        <w:ind w:left="720" w:hanging="357"/>
      </w:pPr>
      <w:r>
        <w:rPr>
          <w:rFonts w:ascii="Times New Roman" w:hAnsi="Times New Roman" w:eastAsia="宋体"/>
          <w:b w:val="0"/>
          <w:i w:val="0"/>
          <w:sz w:val="22"/>
        </w:rPr>
        <w:t xml:space="preserve">22. Brion MJ, Shakhbazov K, Visscher PM. Calculating statistical power in Mendelian randomization studies. </w:t>
      </w:r>
      <w:r>
        <w:rPr>
          <w:rFonts w:ascii="Times New Roman" w:hAnsi="Times New Roman" w:eastAsia="宋体"/>
          <w:b w:val="0"/>
          <w:i/>
          <w:sz w:val="22"/>
        </w:rPr>
        <w:t>Int J Epidemiol</w:t>
      </w:r>
      <w:r>
        <w:rPr>
          <w:rFonts w:ascii="Times New Roman" w:hAnsi="Times New Roman" w:eastAsia="宋体"/>
          <w:b w:val="0"/>
          <w:i w:val="0"/>
          <w:sz w:val="22"/>
        </w:rPr>
        <w:t xml:space="preserve"> </w:t>
      </w:r>
      <w:r>
        <w:rPr>
          <w:rFonts w:ascii="Times New Roman" w:hAnsi="Times New Roman" w:eastAsia="宋体"/>
          <w:b/>
          <w:i w:val="0"/>
          <w:sz w:val="22"/>
        </w:rPr>
        <w:t>42</w:t>
      </w:r>
      <w:r>
        <w:rPr>
          <w:rFonts w:ascii="Times New Roman" w:hAnsi="Times New Roman" w:eastAsia="宋体"/>
          <w:b w:val="0"/>
          <w:i w:val="0"/>
          <w:sz w:val="22"/>
        </w:rPr>
        <w:t xml:space="preserve"> 1497-501 (2013). doi: 10.1093/ije/dyt179</w:t>
      </w:r>
    </w:p>
    <w:p w14:paraId="1AFA8333">
      <w:pPr>
        <w:spacing w:after="60"/>
        <w:ind w:left="720" w:hanging="357"/>
      </w:pPr>
      <w:r>
        <w:rPr>
          <w:rFonts w:ascii="Times New Roman" w:hAnsi="Times New Roman" w:eastAsia="宋体"/>
          <w:b w:val="0"/>
          <w:i w:val="0"/>
          <w:sz w:val="22"/>
        </w:rPr>
        <w:t xml:space="preserve">23. Deng L, Zhang H, Yu K. Power calculation for the general two-sample Mendelian randomization analysis. </w:t>
      </w:r>
      <w:r>
        <w:rPr>
          <w:rFonts w:ascii="Times New Roman" w:hAnsi="Times New Roman" w:eastAsia="宋体"/>
          <w:b w:val="0"/>
          <w:i/>
          <w:sz w:val="22"/>
        </w:rPr>
        <w:t>Genet Epidemiol</w:t>
      </w:r>
      <w:r>
        <w:rPr>
          <w:rFonts w:ascii="Times New Roman" w:hAnsi="Times New Roman" w:eastAsia="宋体"/>
          <w:b w:val="0"/>
          <w:i w:val="0"/>
          <w:sz w:val="22"/>
        </w:rPr>
        <w:t xml:space="preserve"> </w:t>
      </w:r>
      <w:r>
        <w:rPr>
          <w:rFonts w:ascii="Times New Roman" w:hAnsi="Times New Roman" w:eastAsia="宋体"/>
          <w:b/>
          <w:i w:val="0"/>
          <w:sz w:val="22"/>
        </w:rPr>
        <w:t>44</w:t>
      </w:r>
      <w:r>
        <w:rPr>
          <w:rFonts w:ascii="Times New Roman" w:hAnsi="Times New Roman" w:eastAsia="宋体"/>
          <w:b w:val="0"/>
          <w:i w:val="0"/>
          <w:sz w:val="22"/>
        </w:rPr>
        <w:t xml:space="preserve"> 290-299 (2020). doi: 10.1002/gepi.22284</w:t>
      </w:r>
    </w:p>
    <w:p w14:paraId="7C2D173A">
      <w:pPr>
        <w:spacing w:after="60"/>
        <w:ind w:left="720" w:hanging="357"/>
      </w:pPr>
      <w:r>
        <w:rPr>
          <w:rFonts w:ascii="Times New Roman" w:hAnsi="Times New Roman" w:eastAsia="宋体"/>
          <w:b w:val="0"/>
          <w:i w:val="0"/>
          <w:sz w:val="22"/>
        </w:rPr>
        <w:t xml:space="preserve">24. Morrison J, et al. Mendelian randomization accounting for correlated and uncorrelated pleiotropic effects.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52</w:t>
      </w:r>
      <w:r>
        <w:rPr>
          <w:rFonts w:ascii="Times New Roman" w:hAnsi="Times New Roman" w:eastAsia="宋体"/>
          <w:b w:val="0"/>
          <w:i w:val="0"/>
          <w:sz w:val="22"/>
        </w:rPr>
        <w:t xml:space="preserve"> 740-747 (2020). doi: 10.1038/s41588-020-0631-4</w:t>
      </w:r>
    </w:p>
    <w:p w14:paraId="7222CE11">
      <w:pPr>
        <w:spacing w:after="60"/>
        <w:ind w:left="720" w:hanging="357"/>
      </w:pPr>
      <w:r>
        <w:rPr>
          <w:rFonts w:ascii="Times New Roman" w:hAnsi="Times New Roman" w:eastAsia="宋体"/>
          <w:b w:val="0"/>
          <w:i w:val="0"/>
          <w:sz w:val="22"/>
        </w:rPr>
        <w:t xml:space="preserve">25. Bulik-Sullivan BK, et al. LD Score regression distinguishes confounding from polygenicity.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47</w:t>
      </w:r>
      <w:r>
        <w:rPr>
          <w:rFonts w:ascii="Times New Roman" w:hAnsi="Times New Roman" w:eastAsia="宋体"/>
          <w:b w:val="0"/>
          <w:i w:val="0"/>
          <w:sz w:val="22"/>
        </w:rPr>
        <w:t xml:space="preserve"> 291-5 (2015). doi: 10.1038/ng.3211</w:t>
      </w:r>
    </w:p>
    <w:p w14:paraId="2524BA1A">
      <w:pPr>
        <w:spacing w:after="60"/>
        <w:ind w:left="720" w:hanging="357"/>
      </w:pPr>
      <w:r>
        <w:rPr>
          <w:rFonts w:ascii="Times New Roman" w:hAnsi="Times New Roman" w:eastAsia="宋体"/>
          <w:b w:val="0"/>
          <w:i w:val="0"/>
          <w:sz w:val="22"/>
        </w:rPr>
        <w:t xml:space="preserve">26. Bulik-Sullivan B, et al. An atlas of genetic correlations across human diseases and traits.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47</w:t>
      </w:r>
      <w:r>
        <w:rPr>
          <w:rFonts w:ascii="Times New Roman" w:hAnsi="Times New Roman" w:eastAsia="宋体"/>
          <w:b w:val="0"/>
          <w:i w:val="0"/>
          <w:sz w:val="22"/>
        </w:rPr>
        <w:t xml:space="preserve"> 1236-41 (2015). doi: 10.1038/ng.3406</w:t>
      </w:r>
    </w:p>
    <w:p w14:paraId="4CE555F5">
      <w:pPr>
        <w:spacing w:after="60"/>
        <w:ind w:left="720" w:hanging="357"/>
      </w:pPr>
      <w:r>
        <w:rPr>
          <w:rFonts w:ascii="Times New Roman" w:hAnsi="Times New Roman" w:eastAsia="宋体"/>
          <w:b w:val="0"/>
          <w:i w:val="0"/>
          <w:sz w:val="22"/>
        </w:rPr>
        <w:t xml:space="preserve">27. Giambartolomei C, et al. Bayesian test for colocalisation between pairs of genetic association studies. </w:t>
      </w:r>
      <w:r>
        <w:rPr>
          <w:rFonts w:ascii="Times New Roman" w:hAnsi="Times New Roman" w:eastAsia="宋体"/>
          <w:b w:val="0"/>
          <w:i/>
          <w:sz w:val="22"/>
        </w:rPr>
        <w:t>PLoS Genet</w:t>
      </w:r>
      <w:r>
        <w:rPr>
          <w:rFonts w:ascii="Times New Roman" w:hAnsi="Times New Roman" w:eastAsia="宋体"/>
          <w:b w:val="0"/>
          <w:i w:val="0"/>
          <w:sz w:val="22"/>
        </w:rPr>
        <w:t xml:space="preserve"> </w:t>
      </w:r>
      <w:r>
        <w:rPr>
          <w:rFonts w:ascii="Times New Roman" w:hAnsi="Times New Roman" w:eastAsia="宋体"/>
          <w:b/>
          <w:i w:val="0"/>
          <w:sz w:val="22"/>
        </w:rPr>
        <w:t>10</w:t>
      </w:r>
      <w:r>
        <w:rPr>
          <w:rFonts w:ascii="Times New Roman" w:hAnsi="Times New Roman" w:eastAsia="宋体"/>
          <w:b w:val="0"/>
          <w:i w:val="0"/>
          <w:sz w:val="22"/>
        </w:rPr>
        <w:t xml:space="preserve"> e1004383 (2014). doi: 10.1371/journal.pgen.1004383</w:t>
      </w:r>
    </w:p>
    <w:p w14:paraId="6B2C704F">
      <w:pPr>
        <w:spacing w:after="60"/>
        <w:ind w:left="720" w:hanging="357"/>
      </w:pPr>
      <w:r>
        <w:rPr>
          <w:rFonts w:ascii="Times New Roman" w:hAnsi="Times New Roman" w:eastAsia="宋体"/>
          <w:b w:val="0"/>
          <w:i w:val="0"/>
          <w:sz w:val="22"/>
        </w:rPr>
        <w:t xml:space="preserve">28. Sanderson E, Davey Smith G, Windmeijer F, Bowden J. An examination of multivariable Mendelian randomization. </w:t>
      </w:r>
      <w:r>
        <w:rPr>
          <w:rFonts w:ascii="Times New Roman" w:hAnsi="Times New Roman" w:eastAsia="宋体"/>
          <w:b w:val="0"/>
          <w:i/>
          <w:sz w:val="22"/>
        </w:rPr>
        <w:t>Int J Epidemiol</w:t>
      </w:r>
      <w:r>
        <w:rPr>
          <w:rFonts w:ascii="Times New Roman" w:hAnsi="Times New Roman" w:eastAsia="宋体"/>
          <w:b w:val="0"/>
          <w:i w:val="0"/>
          <w:sz w:val="22"/>
        </w:rPr>
        <w:t xml:space="preserve"> </w:t>
      </w:r>
      <w:r>
        <w:rPr>
          <w:rFonts w:ascii="Times New Roman" w:hAnsi="Times New Roman" w:eastAsia="宋体"/>
          <w:b/>
          <w:i w:val="0"/>
          <w:sz w:val="22"/>
        </w:rPr>
        <w:t>48</w:t>
      </w:r>
      <w:r>
        <w:rPr>
          <w:rFonts w:ascii="Times New Roman" w:hAnsi="Times New Roman" w:eastAsia="宋体"/>
          <w:b w:val="0"/>
          <w:i w:val="0"/>
          <w:sz w:val="22"/>
        </w:rPr>
        <w:t xml:space="preserve"> 713-727 (2019). doi: 10.1093/ije/dyy262</w:t>
      </w:r>
    </w:p>
    <w:p w14:paraId="7634E545">
      <w:pPr>
        <w:spacing w:after="60"/>
        <w:ind w:left="720" w:hanging="357"/>
      </w:pPr>
      <w:r>
        <w:rPr>
          <w:rFonts w:ascii="Times New Roman" w:hAnsi="Times New Roman" w:eastAsia="宋体"/>
          <w:b w:val="0"/>
          <w:i w:val="0"/>
          <w:sz w:val="22"/>
        </w:rPr>
        <w:t xml:space="preserve">29. Sanderson E. Multivariable Mendelian Randomization and Mediation. </w:t>
      </w:r>
      <w:r>
        <w:rPr>
          <w:rFonts w:ascii="Times New Roman" w:hAnsi="Times New Roman" w:eastAsia="宋体"/>
          <w:b w:val="0"/>
          <w:i/>
          <w:sz w:val="22"/>
        </w:rPr>
        <w:t>Cold Spring Harb Perspect Med</w:t>
      </w:r>
      <w:r>
        <w:rPr>
          <w:rFonts w:ascii="Times New Roman" w:hAnsi="Times New Roman" w:eastAsia="宋体"/>
          <w:b w:val="0"/>
          <w:i w:val="0"/>
          <w:sz w:val="22"/>
        </w:rPr>
        <w:t xml:space="preserve"> </w:t>
      </w:r>
      <w:r>
        <w:rPr>
          <w:rFonts w:ascii="Times New Roman" w:hAnsi="Times New Roman" w:eastAsia="宋体"/>
          <w:b/>
          <w:i w:val="0"/>
          <w:sz w:val="22"/>
        </w:rPr>
        <w:t>11</w:t>
      </w:r>
      <w:r>
        <w:rPr>
          <w:rFonts w:ascii="Times New Roman" w:hAnsi="Times New Roman" w:eastAsia="宋体"/>
          <w:b w:val="0"/>
          <w:i w:val="0"/>
          <w:sz w:val="22"/>
        </w:rPr>
        <w:t xml:space="preserve"> (2021). doi: 10.1101/cshperspect.a038984</w:t>
      </w:r>
    </w:p>
    <w:p w14:paraId="3817E654">
      <w:pPr>
        <w:spacing w:after="60"/>
        <w:ind w:left="720" w:hanging="357"/>
      </w:pPr>
      <w:r>
        <w:rPr>
          <w:rFonts w:ascii="Times New Roman" w:hAnsi="Times New Roman" w:eastAsia="宋体"/>
          <w:b w:val="0"/>
          <w:i w:val="0"/>
          <w:sz w:val="22"/>
        </w:rPr>
        <w:t xml:space="preserve">30. Sun BB, et al. Genomic atlas of the human plasma proteome. </w:t>
      </w:r>
      <w:r>
        <w:rPr>
          <w:rFonts w:ascii="Times New Roman" w:hAnsi="Times New Roman" w:eastAsia="宋体"/>
          <w:b w:val="0"/>
          <w:i/>
          <w:sz w:val="22"/>
        </w:rPr>
        <w:t>Nature</w:t>
      </w:r>
      <w:r>
        <w:rPr>
          <w:rFonts w:ascii="Times New Roman" w:hAnsi="Times New Roman" w:eastAsia="宋体"/>
          <w:b w:val="0"/>
          <w:i w:val="0"/>
          <w:sz w:val="22"/>
        </w:rPr>
        <w:t xml:space="preserve"> </w:t>
      </w:r>
      <w:r>
        <w:rPr>
          <w:rFonts w:ascii="Times New Roman" w:hAnsi="Times New Roman" w:eastAsia="宋体"/>
          <w:b/>
          <w:i w:val="0"/>
          <w:sz w:val="22"/>
        </w:rPr>
        <w:t>558</w:t>
      </w:r>
      <w:r>
        <w:rPr>
          <w:rFonts w:ascii="Times New Roman" w:hAnsi="Times New Roman" w:eastAsia="宋体"/>
          <w:b w:val="0"/>
          <w:i w:val="0"/>
          <w:sz w:val="22"/>
        </w:rPr>
        <w:t xml:space="preserve"> 73-79 (2018). doi: 10.1038/s41586-018-0175-2</w:t>
      </w:r>
    </w:p>
    <w:p w14:paraId="1693E8E3">
      <w:pPr>
        <w:spacing w:after="60"/>
        <w:ind w:left="720" w:hanging="357"/>
      </w:pPr>
      <w:r>
        <w:rPr>
          <w:rFonts w:ascii="Times New Roman" w:hAnsi="Times New Roman" w:eastAsia="宋体"/>
          <w:b w:val="0"/>
          <w:i w:val="0"/>
          <w:sz w:val="22"/>
        </w:rPr>
        <w:t xml:space="preserve">31. Li X, et al. UK Biobank pharma proteomics resource.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55</w:t>
      </w:r>
      <w:r>
        <w:rPr>
          <w:rFonts w:ascii="Times New Roman" w:hAnsi="Times New Roman" w:eastAsia="宋体"/>
          <w:b w:val="0"/>
          <w:i w:val="0"/>
          <w:sz w:val="22"/>
        </w:rPr>
        <w:t xml:space="preserve"> 1781 (2023). doi: 10.1038/s41588-023-01575-9</w:t>
      </w:r>
    </w:p>
    <w:p w14:paraId="6027E05E">
      <w:pPr>
        <w:spacing w:after="60"/>
        <w:ind w:left="720" w:hanging="357"/>
      </w:pPr>
      <w:r>
        <w:rPr>
          <w:rFonts w:ascii="Times New Roman" w:hAnsi="Times New Roman" w:eastAsia="宋体"/>
          <w:b w:val="0"/>
          <w:i w:val="0"/>
          <w:sz w:val="22"/>
        </w:rPr>
        <w:t xml:space="preserve">32. Ferkingstad E, et al. Large-scale integration of the plasma proteome with genetics and disease.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53</w:t>
      </w:r>
      <w:r>
        <w:rPr>
          <w:rFonts w:ascii="Times New Roman" w:hAnsi="Times New Roman" w:eastAsia="宋体"/>
          <w:b w:val="0"/>
          <w:i w:val="0"/>
          <w:sz w:val="22"/>
        </w:rPr>
        <w:t xml:space="preserve"> 1712-1721 (2021). doi: 10.1038/s41588-021-00978-w</w:t>
      </w:r>
    </w:p>
    <w:p w14:paraId="2749A71D">
      <w:pPr>
        <w:spacing w:after="60"/>
        <w:ind w:left="720" w:hanging="357"/>
      </w:pPr>
      <w:r>
        <w:rPr>
          <w:rFonts w:ascii="Times New Roman" w:hAnsi="Times New Roman" w:eastAsia="宋体"/>
          <w:b w:val="0"/>
          <w:i w:val="0"/>
          <w:sz w:val="22"/>
        </w:rPr>
        <w:t xml:space="preserve">33. Sun BB, et al. Plasma proteomic associations with genetics and health in the UK Biobank. </w:t>
      </w:r>
      <w:r>
        <w:rPr>
          <w:rFonts w:ascii="Times New Roman" w:hAnsi="Times New Roman" w:eastAsia="宋体"/>
          <w:b w:val="0"/>
          <w:i/>
          <w:sz w:val="22"/>
        </w:rPr>
        <w:t>Nature</w:t>
      </w:r>
      <w:r>
        <w:rPr>
          <w:rFonts w:ascii="Times New Roman" w:hAnsi="Times New Roman" w:eastAsia="宋体"/>
          <w:b w:val="0"/>
          <w:i w:val="0"/>
          <w:sz w:val="22"/>
        </w:rPr>
        <w:t xml:space="preserve"> </w:t>
      </w:r>
      <w:r>
        <w:rPr>
          <w:rFonts w:ascii="Times New Roman" w:hAnsi="Times New Roman" w:eastAsia="宋体"/>
          <w:b/>
          <w:i w:val="0"/>
          <w:sz w:val="22"/>
        </w:rPr>
        <w:t>622</w:t>
      </w:r>
      <w:r>
        <w:rPr>
          <w:rFonts w:ascii="Times New Roman" w:hAnsi="Times New Roman" w:eastAsia="宋体"/>
          <w:b w:val="0"/>
          <w:i w:val="0"/>
          <w:sz w:val="22"/>
        </w:rPr>
        <w:t xml:space="preserve"> 329-338 (2023). doi: 10.1038/s41586-023-06592-6</w:t>
      </w:r>
    </w:p>
    <w:p w14:paraId="237664E0">
      <w:pPr>
        <w:spacing w:after="60"/>
        <w:ind w:left="720" w:hanging="357"/>
      </w:pPr>
      <w:r>
        <w:rPr>
          <w:rFonts w:ascii="Times New Roman" w:hAnsi="Times New Roman" w:eastAsia="宋体"/>
          <w:b w:val="0"/>
          <w:i w:val="0"/>
          <w:sz w:val="22"/>
        </w:rPr>
        <w:t xml:space="preserve">34. Xie Y, et al. Lipids, Apolipoproteins, Lipid-Lowering Drugs, and the Risk of Cerebral Small Vessel Disease. </w:t>
      </w:r>
      <w:r>
        <w:rPr>
          <w:rFonts w:ascii="Times New Roman" w:hAnsi="Times New Roman" w:eastAsia="宋体"/>
          <w:b w:val="0"/>
          <w:i/>
          <w:sz w:val="22"/>
        </w:rPr>
        <w:t>J Am Heart Assoc</w:t>
      </w:r>
      <w:r>
        <w:rPr>
          <w:rFonts w:ascii="Times New Roman" w:hAnsi="Times New Roman" w:eastAsia="宋体"/>
          <w:b w:val="0"/>
          <w:i w:val="0"/>
          <w:sz w:val="22"/>
        </w:rPr>
        <w:t xml:space="preserve"> </w:t>
      </w:r>
      <w:r>
        <w:rPr>
          <w:rFonts w:ascii="Times New Roman" w:hAnsi="Times New Roman" w:eastAsia="宋体"/>
          <w:b/>
          <w:i w:val="0"/>
          <w:sz w:val="22"/>
        </w:rPr>
        <w:t>13</w:t>
      </w:r>
      <w:r>
        <w:rPr>
          <w:rFonts w:ascii="Times New Roman" w:hAnsi="Times New Roman" w:eastAsia="宋体"/>
          <w:b w:val="0"/>
          <w:i w:val="0"/>
          <w:sz w:val="22"/>
        </w:rPr>
        <w:t xml:space="preserve"> e032409 (2024). doi: 10.1161/JAHA.123.032409</w:t>
      </w:r>
    </w:p>
    <w:p w14:paraId="43CEFD95">
      <w:pPr>
        <w:spacing w:after="60"/>
        <w:ind w:left="720" w:hanging="357"/>
      </w:pPr>
      <w:r>
        <w:rPr>
          <w:rFonts w:ascii="Times New Roman" w:hAnsi="Times New Roman" w:eastAsia="宋体"/>
          <w:b w:val="0"/>
          <w:i w:val="0"/>
          <w:sz w:val="22"/>
        </w:rPr>
        <w:t xml:space="preserve">35. Li X, et al. Genetic association of lipids and lipid-lowering drug target genes with Alzheimer's disease. </w:t>
      </w:r>
      <w:r>
        <w:rPr>
          <w:rFonts w:ascii="Times New Roman" w:hAnsi="Times New Roman" w:eastAsia="宋体"/>
          <w:b w:val="0"/>
          <w:i/>
          <w:sz w:val="22"/>
        </w:rPr>
        <w:t>EBioMedicine</w:t>
      </w:r>
      <w:r>
        <w:rPr>
          <w:rFonts w:ascii="Times New Roman" w:hAnsi="Times New Roman" w:eastAsia="宋体"/>
          <w:b w:val="0"/>
          <w:i w:val="0"/>
          <w:sz w:val="22"/>
        </w:rPr>
        <w:t xml:space="preserve"> </w:t>
      </w:r>
      <w:r>
        <w:rPr>
          <w:rFonts w:ascii="Times New Roman" w:hAnsi="Times New Roman" w:eastAsia="宋体"/>
          <w:b/>
          <w:i w:val="0"/>
          <w:sz w:val="22"/>
        </w:rPr>
        <w:t>90</w:t>
      </w:r>
      <w:r>
        <w:rPr>
          <w:rFonts w:ascii="Times New Roman" w:hAnsi="Times New Roman" w:eastAsia="宋体"/>
          <w:b w:val="0"/>
          <w:i w:val="0"/>
          <w:sz w:val="22"/>
        </w:rPr>
        <w:t xml:space="preserve"> 104543 (2023). doi: 10.1016/j.ebiom.2023.104543</w:t>
      </w:r>
    </w:p>
    <w:p w14:paraId="0C7DD0AD">
      <w:pPr>
        <w:spacing w:after="60"/>
        <w:ind w:left="720" w:hanging="357"/>
      </w:pPr>
      <w:r>
        <w:rPr>
          <w:rFonts w:ascii="Times New Roman" w:hAnsi="Times New Roman" w:eastAsia="宋体"/>
          <w:b w:val="0"/>
          <w:i w:val="0"/>
          <w:sz w:val="22"/>
        </w:rPr>
        <w:t xml:space="preserve">36. Zhang Y, et al. Plasma lipid subspecies and Alzheimer's disease: genetic evidence for risk and mediation. </w:t>
      </w:r>
      <w:r>
        <w:rPr>
          <w:rFonts w:ascii="Times New Roman" w:hAnsi="Times New Roman" w:eastAsia="宋体"/>
          <w:b w:val="0"/>
          <w:i/>
          <w:sz w:val="22"/>
        </w:rPr>
        <w:t>QJM</w:t>
      </w:r>
      <w:r>
        <w:rPr>
          <w:rFonts w:ascii="Times New Roman" w:hAnsi="Times New Roman" w:eastAsia="宋体"/>
          <w:b w:val="0"/>
          <w:i w:val="0"/>
          <w:sz w:val="22"/>
        </w:rPr>
        <w:t xml:space="preserve"> </w:t>
      </w:r>
      <w:r>
        <w:rPr>
          <w:rFonts w:ascii="Times New Roman" w:hAnsi="Times New Roman" w:eastAsia="宋体"/>
          <w:b/>
          <w:i w:val="0"/>
          <w:sz w:val="22"/>
        </w:rPr>
        <w:t>119</w:t>
      </w:r>
      <w:r>
        <w:rPr>
          <w:rFonts w:ascii="Times New Roman" w:hAnsi="Times New Roman" w:eastAsia="宋体"/>
          <w:b w:val="0"/>
          <w:i w:val="0"/>
          <w:sz w:val="22"/>
        </w:rPr>
        <w:t xml:space="preserve"> 542-549 (2026). doi: 10.1093/qjmed/hcag006</w:t>
      </w:r>
    </w:p>
    <w:p w14:paraId="357AE6BB">
      <w:pPr>
        <w:spacing w:after="60"/>
        <w:ind w:left="720" w:hanging="357"/>
      </w:pPr>
      <w:r>
        <w:rPr>
          <w:rFonts w:ascii="Times New Roman" w:hAnsi="Times New Roman" w:eastAsia="宋体"/>
          <w:b w:val="0"/>
          <w:i w:val="0"/>
          <w:sz w:val="22"/>
        </w:rPr>
        <w:t xml:space="preserve">37. Huang J, et al. Inflammatory markers link triglyceride-glucose index and obesity indicators with Alzheimer's disease. </w:t>
      </w:r>
      <w:r>
        <w:rPr>
          <w:rFonts w:ascii="Times New Roman" w:hAnsi="Times New Roman" w:eastAsia="宋体"/>
          <w:b w:val="0"/>
          <w:i/>
          <w:sz w:val="22"/>
        </w:rPr>
        <w:t>Cardiovasc Diabetol</w:t>
      </w:r>
      <w:r>
        <w:rPr>
          <w:rFonts w:ascii="Times New Roman" w:hAnsi="Times New Roman" w:eastAsia="宋体"/>
          <w:b w:val="0"/>
          <w:i w:val="0"/>
          <w:sz w:val="22"/>
        </w:rPr>
        <w:t xml:space="preserve"> </w:t>
      </w:r>
      <w:r>
        <w:rPr>
          <w:rFonts w:ascii="Times New Roman" w:hAnsi="Times New Roman" w:eastAsia="宋体"/>
          <w:b/>
          <w:i w:val="0"/>
          <w:sz w:val="22"/>
        </w:rPr>
        <w:t>24</w:t>
      </w:r>
      <w:r>
        <w:rPr>
          <w:rFonts w:ascii="Times New Roman" w:hAnsi="Times New Roman" w:eastAsia="宋体"/>
          <w:b w:val="0"/>
          <w:i w:val="0"/>
          <w:sz w:val="22"/>
        </w:rPr>
        <w:t xml:space="preserve"> 11 (2025). doi: 10.1186/s12933-024-02571-x</w:t>
      </w:r>
    </w:p>
    <w:p w14:paraId="1197CB47">
      <w:pPr>
        <w:spacing w:after="60"/>
        <w:ind w:left="720" w:hanging="357"/>
      </w:pPr>
      <w:r>
        <w:rPr>
          <w:rFonts w:ascii="Times New Roman" w:hAnsi="Times New Roman" w:eastAsia="宋体"/>
          <w:b w:val="0"/>
          <w:i w:val="0"/>
          <w:sz w:val="22"/>
        </w:rPr>
        <w:t xml:space="preserve">38. Sun L, et al. Genetic evidence for a causal relationship between 179 lipid species and Alzheimer's disease. </w:t>
      </w:r>
      <w:r>
        <w:rPr>
          <w:rFonts w:ascii="Times New Roman" w:hAnsi="Times New Roman" w:eastAsia="宋体"/>
          <w:b w:val="0"/>
          <w:i/>
          <w:sz w:val="22"/>
        </w:rPr>
        <w:t>Eur Arch Psychiatry Clin Neurosci</w:t>
      </w:r>
      <w:r>
        <w:rPr>
          <w:rFonts w:ascii="Times New Roman" w:hAnsi="Times New Roman" w:eastAsia="宋体"/>
          <w:b w:val="0"/>
          <w:i w:val="0"/>
          <w:sz w:val="22"/>
        </w:rPr>
        <w:t xml:space="preserve"> (2025). doi: 10.1007/s00406-025-02152-3</w:t>
      </w:r>
    </w:p>
    <w:p w14:paraId="74FF5ADC">
      <w:pPr>
        <w:spacing w:after="60"/>
        <w:ind w:left="720" w:hanging="357"/>
      </w:pPr>
      <w:r>
        <w:rPr>
          <w:rFonts w:ascii="Times New Roman" w:hAnsi="Times New Roman" w:eastAsia="宋体"/>
          <w:b w:val="0"/>
          <w:i w:val="0"/>
          <w:sz w:val="22"/>
        </w:rPr>
        <w:t xml:space="preserve">39. Kang S, et al. Potential Novel Genes for Late-Onset Alzheimer's Disease in East-Asian Descent. </w:t>
      </w:r>
      <w:r>
        <w:rPr>
          <w:rFonts w:ascii="Times New Roman" w:hAnsi="Times New Roman" w:eastAsia="宋体"/>
          <w:b w:val="0"/>
          <w:i/>
          <w:sz w:val="22"/>
        </w:rPr>
        <w:t>J Alzheimers Dis</w:t>
      </w:r>
      <w:r>
        <w:rPr>
          <w:rFonts w:ascii="Times New Roman" w:hAnsi="Times New Roman" w:eastAsia="宋体"/>
          <w:b w:val="0"/>
          <w:i w:val="0"/>
          <w:sz w:val="22"/>
        </w:rPr>
        <w:t xml:space="preserve"> </w:t>
      </w:r>
      <w:r>
        <w:rPr>
          <w:rFonts w:ascii="Times New Roman" w:hAnsi="Times New Roman" w:eastAsia="宋体"/>
          <w:b/>
          <w:i w:val="0"/>
          <w:sz w:val="22"/>
        </w:rPr>
        <w:t>82</w:t>
      </w:r>
      <w:r>
        <w:rPr>
          <w:rFonts w:ascii="Times New Roman" w:hAnsi="Times New Roman" w:eastAsia="宋体"/>
          <w:b w:val="0"/>
          <w:i w:val="0"/>
          <w:sz w:val="22"/>
        </w:rPr>
        <w:t xml:space="preserve"> 1451-1460 (2021). doi: 10.3233/JAD-210145</w:t>
      </w:r>
    </w:p>
    <w:p w14:paraId="79AE3FCC">
      <w:pPr>
        <w:spacing w:after="60"/>
        <w:ind w:left="720" w:hanging="357"/>
      </w:pPr>
      <w:r>
        <w:rPr>
          <w:rFonts w:ascii="Times New Roman" w:hAnsi="Times New Roman" w:eastAsia="宋体"/>
          <w:b w:val="0"/>
          <w:i w:val="0"/>
          <w:sz w:val="22"/>
        </w:rPr>
        <w:t xml:space="preserve">40. Popper KR. </w:t>
      </w:r>
      <w:r>
        <w:rPr>
          <w:rFonts w:ascii="Times New Roman" w:hAnsi="Times New Roman" w:eastAsia="宋体"/>
          <w:b w:val="0"/>
          <w:i/>
          <w:sz w:val="22"/>
        </w:rPr>
        <w:t>The Logic of Scientific Discovery</w:t>
      </w:r>
      <w:r>
        <w:rPr>
          <w:rFonts w:ascii="Times New Roman" w:hAnsi="Times New Roman" w:eastAsia="宋体"/>
          <w:b w:val="0"/>
          <w:i w:val="0"/>
          <w:sz w:val="22"/>
        </w:rPr>
        <w:t>. London: Hutchinson; 1959. Routledge Classics ed. (2002). doi: 10.4324/9780203994627</w:t>
      </w:r>
    </w:p>
    <w:p w14:paraId="5F7ADEBA">
      <w:pPr>
        <w:spacing w:after="60"/>
        <w:ind w:left="720" w:hanging="357"/>
      </w:pPr>
      <w:r>
        <w:rPr>
          <w:rFonts w:ascii="Times New Roman" w:hAnsi="Times New Roman" w:eastAsia="宋体"/>
          <w:b w:val="0"/>
          <w:i w:val="0"/>
          <w:sz w:val="22"/>
        </w:rPr>
        <w:t xml:space="preserve">41. Sanderson E, Richardson TG, Hemani G, Davey Smith G. The use of negative control outcomes in Mendelian randomization to detect potential population stratification. </w:t>
      </w:r>
      <w:r>
        <w:rPr>
          <w:rFonts w:ascii="Times New Roman" w:hAnsi="Times New Roman" w:eastAsia="宋体"/>
          <w:b w:val="0"/>
          <w:i/>
          <w:sz w:val="22"/>
        </w:rPr>
        <w:t>Int J Epidemiol</w:t>
      </w:r>
      <w:r>
        <w:rPr>
          <w:rFonts w:ascii="Times New Roman" w:hAnsi="Times New Roman" w:eastAsia="宋体"/>
          <w:b w:val="0"/>
          <w:i w:val="0"/>
          <w:sz w:val="22"/>
        </w:rPr>
        <w:t xml:space="preserve"> </w:t>
      </w:r>
      <w:r>
        <w:rPr>
          <w:rFonts w:ascii="Times New Roman" w:hAnsi="Times New Roman" w:eastAsia="宋体"/>
          <w:b/>
          <w:i w:val="0"/>
          <w:sz w:val="22"/>
        </w:rPr>
        <w:t>50</w:t>
      </w:r>
      <w:r>
        <w:rPr>
          <w:rFonts w:ascii="Times New Roman" w:hAnsi="Times New Roman" w:eastAsia="宋体"/>
          <w:b w:val="0"/>
          <w:i w:val="0"/>
          <w:sz w:val="22"/>
        </w:rPr>
        <w:t xml:space="preserve"> 1350-1361 (2021). doi: 10.1093/ije/dyaa288</w:t>
      </w:r>
    </w:p>
    <w:p w14:paraId="54A8AA74">
      <w:pPr>
        <w:spacing w:after="60"/>
        <w:ind w:left="720" w:hanging="357"/>
      </w:pPr>
      <w:r>
        <w:rPr>
          <w:rFonts w:ascii="Times New Roman" w:hAnsi="Times New Roman" w:eastAsia="宋体"/>
          <w:b w:val="0"/>
          <w:i w:val="0"/>
          <w:sz w:val="22"/>
        </w:rPr>
        <w:t xml:space="preserve">42. Allara E, Morani G, Carter P, et al. Genetic Determinants of Lipids and Cardiovascular Disease Outcomes: A Wide-Angled Mendelian Randomization Investigation. </w:t>
      </w:r>
      <w:r>
        <w:rPr>
          <w:rFonts w:ascii="Times New Roman" w:hAnsi="Times New Roman" w:eastAsia="宋体"/>
          <w:b w:val="0"/>
          <w:i/>
          <w:sz w:val="22"/>
        </w:rPr>
        <w:t>Circ Genom Precis Med</w:t>
      </w:r>
      <w:r>
        <w:rPr>
          <w:rFonts w:ascii="Times New Roman" w:hAnsi="Times New Roman" w:eastAsia="宋体"/>
          <w:b w:val="0"/>
          <w:i w:val="0"/>
          <w:sz w:val="22"/>
        </w:rPr>
        <w:t xml:space="preserve"> </w:t>
      </w:r>
      <w:r>
        <w:rPr>
          <w:rFonts w:ascii="Times New Roman" w:hAnsi="Times New Roman" w:eastAsia="宋体"/>
          <w:b/>
          <w:i w:val="0"/>
          <w:sz w:val="22"/>
        </w:rPr>
        <w:t>12</w:t>
      </w:r>
      <w:r>
        <w:rPr>
          <w:rFonts w:ascii="Times New Roman" w:hAnsi="Times New Roman" w:eastAsia="宋体"/>
          <w:b w:val="0"/>
          <w:i w:val="0"/>
          <w:sz w:val="22"/>
        </w:rPr>
        <w:t xml:space="preserve"> e002711 (2019). doi: 10.1161/circgen.119.002711</w:t>
      </w:r>
    </w:p>
    <w:p w14:paraId="21AC08EE">
      <w:pPr>
        <w:spacing w:after="60"/>
        <w:ind w:left="720" w:hanging="357"/>
      </w:pPr>
      <w:r>
        <w:rPr>
          <w:rFonts w:ascii="Times New Roman" w:hAnsi="Times New Roman" w:eastAsia="宋体"/>
          <w:b w:val="0"/>
          <w:i w:val="0"/>
          <w:sz w:val="22"/>
        </w:rPr>
        <w:t xml:space="preserve">43. Lee JJ, et al. Gene discovery and polygenic prediction from a genome-wide association study of educational attainment.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50</w:t>
      </w:r>
      <w:r>
        <w:rPr>
          <w:rFonts w:ascii="Times New Roman" w:hAnsi="Times New Roman" w:eastAsia="宋体"/>
          <w:b w:val="0"/>
          <w:i w:val="0"/>
          <w:sz w:val="22"/>
        </w:rPr>
        <w:t xml:space="preserve"> 1112-1121 (2018). doi: 10.1038/s41588-018-0147-3</w:t>
      </w:r>
    </w:p>
    <w:p w14:paraId="5799629D">
      <w:pPr>
        <w:spacing w:after="60"/>
        <w:ind w:left="720" w:hanging="357"/>
      </w:pPr>
      <w:r>
        <w:rPr>
          <w:rFonts w:ascii="Times New Roman" w:hAnsi="Times New Roman" w:eastAsia="宋体"/>
          <w:b w:val="0"/>
          <w:i w:val="0"/>
          <w:sz w:val="22"/>
        </w:rPr>
        <w:t xml:space="preserve">44. Li X, et al. PTPRD pleiotropy, genetically driven childbirth timing, and corpus callosum. </w:t>
      </w:r>
      <w:r>
        <w:rPr>
          <w:rFonts w:ascii="Times New Roman" w:hAnsi="Times New Roman" w:eastAsia="宋体"/>
          <w:b w:val="0"/>
          <w:i/>
          <w:sz w:val="22"/>
        </w:rPr>
        <w:t>Sleep Med</w:t>
      </w:r>
      <w:r>
        <w:rPr>
          <w:rFonts w:ascii="Times New Roman" w:hAnsi="Times New Roman" w:eastAsia="宋体"/>
          <w:b w:val="0"/>
          <w:i w:val="0"/>
          <w:sz w:val="22"/>
        </w:rPr>
        <w:t xml:space="preserve"> </w:t>
      </w:r>
      <w:r>
        <w:rPr>
          <w:rFonts w:ascii="Times New Roman" w:hAnsi="Times New Roman" w:eastAsia="宋体"/>
          <w:b/>
          <w:i w:val="0"/>
          <w:sz w:val="22"/>
        </w:rPr>
        <w:t>133</w:t>
      </w:r>
      <w:r>
        <w:rPr>
          <w:rFonts w:ascii="Times New Roman" w:hAnsi="Times New Roman" w:eastAsia="宋体"/>
          <w:b w:val="0"/>
          <w:i w:val="0"/>
          <w:sz w:val="22"/>
        </w:rPr>
        <w:t xml:space="preserve"> 106631 (2025). doi: 10.1016/j.sleep.2025.106631</w:t>
      </w:r>
    </w:p>
    <w:p w14:paraId="4F50BFEE">
      <w:pPr>
        <w:spacing w:after="60"/>
        <w:ind w:left="720" w:hanging="357"/>
      </w:pPr>
      <w:r>
        <w:rPr>
          <w:rFonts w:ascii="Times New Roman" w:hAnsi="Times New Roman" w:eastAsia="宋体"/>
          <w:b w:val="0"/>
          <w:i w:val="0"/>
          <w:sz w:val="22"/>
        </w:rPr>
        <w:t xml:space="preserve">45. Okbay A, et al. Polygenic prediction of educational attainment within and between families.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54</w:t>
      </w:r>
      <w:r>
        <w:rPr>
          <w:rFonts w:ascii="Times New Roman" w:hAnsi="Times New Roman" w:eastAsia="宋体"/>
          <w:b w:val="0"/>
          <w:i w:val="0"/>
          <w:sz w:val="22"/>
        </w:rPr>
        <w:t xml:space="preserve"> 437-449 (2022). doi: 10.1038/s41588-022-01016-z</w:t>
      </w:r>
    </w:p>
    <w:p w14:paraId="0E8FCE16">
      <w:pPr>
        <w:spacing w:after="60"/>
        <w:ind w:left="720" w:hanging="357"/>
      </w:pPr>
      <w:r>
        <w:rPr>
          <w:rFonts w:ascii="Times New Roman" w:hAnsi="Times New Roman" w:eastAsia="宋体"/>
          <w:b w:val="0"/>
          <w:i w:val="0"/>
          <w:sz w:val="22"/>
        </w:rPr>
        <w:t xml:space="preserve">46. Hewitt J, et al. Cohort profile of the UK Biobank: diagnosis and characteristics. </w:t>
      </w:r>
      <w:r>
        <w:rPr>
          <w:rFonts w:ascii="Times New Roman" w:hAnsi="Times New Roman" w:eastAsia="宋体"/>
          <w:b w:val="0"/>
          <w:i/>
          <w:sz w:val="22"/>
        </w:rPr>
        <w:t>BMJ Open</w:t>
      </w:r>
      <w:r>
        <w:rPr>
          <w:rFonts w:ascii="Times New Roman" w:hAnsi="Times New Roman" w:eastAsia="宋体"/>
          <w:b w:val="0"/>
          <w:i w:val="0"/>
          <w:sz w:val="22"/>
        </w:rPr>
        <w:t xml:space="preserve"> </w:t>
      </w:r>
      <w:r>
        <w:rPr>
          <w:rFonts w:ascii="Times New Roman" w:hAnsi="Times New Roman" w:eastAsia="宋体"/>
          <w:b/>
          <w:i w:val="0"/>
          <w:sz w:val="22"/>
        </w:rPr>
        <w:t>6</w:t>
      </w:r>
      <w:r>
        <w:rPr>
          <w:rFonts w:ascii="Times New Roman" w:hAnsi="Times New Roman" w:eastAsia="宋体"/>
          <w:b w:val="0"/>
          <w:i w:val="0"/>
          <w:sz w:val="22"/>
        </w:rPr>
        <w:t xml:space="preserve"> e009161 (2016). doi: 10.1136/bmjopen-2015-009161</w:t>
      </w:r>
    </w:p>
    <w:p w14:paraId="06A6656D">
      <w:pPr>
        <w:spacing w:after="60"/>
        <w:ind w:left="720" w:hanging="357"/>
      </w:pPr>
      <w:r>
        <w:rPr>
          <w:rFonts w:ascii="Times New Roman" w:hAnsi="Times New Roman" w:eastAsia="宋体"/>
          <w:b w:val="0"/>
          <w:i w:val="0"/>
          <w:sz w:val="22"/>
        </w:rPr>
        <w:t xml:space="preserve">47. Jansen PR, et al. Genome-wide analysis of insomnia in 1,331,010 individuals identifies new risk loci.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51</w:t>
      </w:r>
      <w:r>
        <w:rPr>
          <w:rFonts w:ascii="Times New Roman" w:hAnsi="Times New Roman" w:eastAsia="宋体"/>
          <w:b w:val="0"/>
          <w:i w:val="0"/>
          <w:sz w:val="22"/>
        </w:rPr>
        <w:t xml:space="preserve"> 394-403 (2019). doi: 10.1038/s41588-018-0333-3</w:t>
      </w:r>
    </w:p>
    <w:p w14:paraId="62E4E363">
      <w:pPr>
        <w:spacing w:after="60"/>
        <w:ind w:left="720" w:hanging="357"/>
      </w:pPr>
      <w:r>
        <w:rPr>
          <w:rFonts w:ascii="Times New Roman" w:hAnsi="Times New Roman" w:eastAsia="宋体"/>
          <w:b w:val="0"/>
          <w:i w:val="0"/>
          <w:sz w:val="22"/>
        </w:rPr>
        <w:t xml:space="preserve">48. Lane JM, et al. Biological and clinical insights from genetics of insomnia symptoms. </w:t>
      </w:r>
      <w:r>
        <w:rPr>
          <w:rFonts w:ascii="Times New Roman" w:hAnsi="Times New Roman" w:eastAsia="宋体"/>
          <w:b w:val="0"/>
          <w:i/>
          <w:sz w:val="22"/>
        </w:rPr>
        <w:t>Nat Genet</w:t>
      </w:r>
      <w:r>
        <w:rPr>
          <w:rFonts w:ascii="Times New Roman" w:hAnsi="Times New Roman" w:eastAsia="宋体"/>
          <w:b w:val="0"/>
          <w:i w:val="0"/>
          <w:sz w:val="22"/>
        </w:rPr>
        <w:t xml:space="preserve"> </w:t>
      </w:r>
      <w:r>
        <w:rPr>
          <w:rFonts w:ascii="Times New Roman" w:hAnsi="Times New Roman" w:eastAsia="宋体"/>
          <w:b/>
          <w:i w:val="0"/>
          <w:sz w:val="22"/>
        </w:rPr>
        <w:t>51</w:t>
      </w:r>
      <w:r>
        <w:rPr>
          <w:rFonts w:ascii="Times New Roman" w:hAnsi="Times New Roman" w:eastAsia="宋体"/>
          <w:b w:val="0"/>
          <w:i w:val="0"/>
          <w:sz w:val="22"/>
        </w:rPr>
        <w:t xml:space="preserve"> 387-393 (2019). doi: 10.1038/s41588-019-0361-7</w:t>
      </w:r>
    </w:p>
    <w:p w14:paraId="75B4F841">
      <w:pPr>
        <w:spacing w:after="60"/>
        <w:ind w:left="720" w:hanging="357"/>
      </w:pPr>
      <w:r>
        <w:rPr>
          <w:rFonts w:ascii="Times New Roman" w:hAnsi="Times New Roman" w:eastAsia="宋体"/>
          <w:b w:val="0"/>
          <w:i w:val="0"/>
          <w:sz w:val="22"/>
        </w:rPr>
        <w:t xml:space="preserve">49. Prapiadou M, et al. Proteogenomic Data Integration Reveals CXCL10 as a Potentially Downstream Causal Mediator. </w:t>
      </w:r>
      <w:r>
        <w:rPr>
          <w:rFonts w:ascii="Times New Roman" w:hAnsi="Times New Roman" w:eastAsia="宋体"/>
          <w:b w:val="0"/>
          <w:i/>
          <w:sz w:val="22"/>
        </w:rPr>
        <w:t>Circulation</w:t>
      </w:r>
      <w:r>
        <w:rPr>
          <w:rFonts w:ascii="Times New Roman" w:hAnsi="Times New Roman" w:eastAsia="宋体"/>
          <w:b w:val="0"/>
          <w:i w:val="0"/>
          <w:sz w:val="22"/>
        </w:rPr>
        <w:t xml:space="preserve"> </w:t>
      </w:r>
      <w:r>
        <w:rPr>
          <w:rFonts w:ascii="Times New Roman" w:hAnsi="Times New Roman" w:eastAsia="宋体"/>
          <w:b/>
          <w:i w:val="0"/>
          <w:sz w:val="22"/>
        </w:rPr>
        <w:t>149</w:t>
      </w:r>
      <w:r>
        <w:rPr>
          <w:rFonts w:ascii="Times New Roman" w:hAnsi="Times New Roman" w:eastAsia="宋体"/>
          <w:b w:val="0"/>
          <w:i w:val="0"/>
          <w:sz w:val="22"/>
        </w:rPr>
        <w:t xml:space="preserve"> 669-683 (2024). doi: 10.1161/CIRCULATIONAHA.123.064974</w:t>
      </w:r>
    </w:p>
    <w:p w14:paraId="30179C11">
      <w:pPr>
        <w:spacing w:after="60"/>
        <w:ind w:left="720" w:hanging="357"/>
      </w:pPr>
      <w:r>
        <w:rPr>
          <w:rFonts w:ascii="Times New Roman" w:hAnsi="Times New Roman" w:eastAsia="宋体"/>
          <w:b w:val="0"/>
          <w:i w:val="0"/>
          <w:sz w:val="22"/>
        </w:rPr>
        <w:t xml:space="preserve">50. Guo Y, et al. Plasma proteomic profiles predict future dementia in healthy adults. </w:t>
      </w:r>
      <w:r>
        <w:rPr>
          <w:rFonts w:ascii="Times New Roman" w:hAnsi="Times New Roman" w:eastAsia="宋体"/>
          <w:b w:val="0"/>
          <w:i/>
          <w:sz w:val="22"/>
        </w:rPr>
        <w:t>Nat Aging</w:t>
      </w:r>
      <w:r>
        <w:rPr>
          <w:rFonts w:ascii="Times New Roman" w:hAnsi="Times New Roman" w:eastAsia="宋体"/>
          <w:b w:val="0"/>
          <w:i w:val="0"/>
          <w:sz w:val="22"/>
        </w:rPr>
        <w:t xml:space="preserve"> </w:t>
      </w:r>
      <w:r>
        <w:rPr>
          <w:rFonts w:ascii="Times New Roman" w:hAnsi="Times New Roman" w:eastAsia="宋体"/>
          <w:b/>
          <w:i w:val="0"/>
          <w:sz w:val="22"/>
        </w:rPr>
        <w:t>4</w:t>
      </w:r>
      <w:r>
        <w:rPr>
          <w:rFonts w:ascii="Times New Roman" w:hAnsi="Times New Roman" w:eastAsia="宋体"/>
          <w:b w:val="0"/>
          <w:i w:val="0"/>
          <w:sz w:val="22"/>
        </w:rPr>
        <w:t xml:space="preserve"> 247-260 (2024). doi: 10.1038/s43587-023-00565-0</w:t>
      </w:r>
    </w:p>
    <w:p w14:paraId="6AD63AB8">
      <w:pPr>
        <w:spacing w:after="60"/>
        <w:ind w:left="720" w:hanging="357"/>
      </w:pPr>
      <w:r>
        <w:rPr>
          <w:rFonts w:ascii="Times New Roman" w:hAnsi="Times New Roman" w:eastAsia="宋体"/>
          <w:b w:val="0"/>
          <w:i w:val="0"/>
          <w:sz w:val="22"/>
        </w:rPr>
        <w:t xml:space="preserve">51. Zhang Y, et al. Associations of 2923 plasma proteins with incident inflammatory bowel disease. </w:t>
      </w:r>
      <w:r>
        <w:rPr>
          <w:rFonts w:ascii="Times New Roman" w:hAnsi="Times New Roman" w:eastAsia="宋体"/>
          <w:b w:val="0"/>
          <w:i/>
          <w:sz w:val="22"/>
        </w:rPr>
        <w:t>Nat Commun</w:t>
      </w:r>
      <w:r>
        <w:rPr>
          <w:rFonts w:ascii="Times New Roman" w:hAnsi="Times New Roman" w:eastAsia="宋体"/>
          <w:b w:val="0"/>
          <w:i w:val="0"/>
          <w:sz w:val="22"/>
        </w:rPr>
        <w:t xml:space="preserve"> </w:t>
      </w:r>
      <w:r>
        <w:rPr>
          <w:rFonts w:ascii="Times New Roman" w:hAnsi="Times New Roman" w:eastAsia="宋体"/>
          <w:b/>
          <w:i w:val="0"/>
          <w:sz w:val="22"/>
        </w:rPr>
        <w:t>16</w:t>
      </w:r>
      <w:r>
        <w:rPr>
          <w:rFonts w:ascii="Times New Roman" w:hAnsi="Times New Roman" w:eastAsia="宋体"/>
          <w:b w:val="0"/>
          <w:i w:val="0"/>
          <w:sz w:val="22"/>
        </w:rPr>
        <w:t xml:space="preserve"> 2813 (2025). doi: 10.1038/s41467-025-57879-3</w:t>
      </w:r>
    </w:p>
    <w:p w14:paraId="3171C91C">
      <w:pPr>
        <w:spacing w:after="60"/>
        <w:ind w:left="720" w:hanging="357"/>
      </w:pPr>
      <w:r>
        <w:rPr>
          <w:rFonts w:ascii="Times New Roman" w:hAnsi="Times New Roman" w:eastAsia="宋体"/>
          <w:b w:val="0"/>
          <w:i w:val="0"/>
          <w:sz w:val="22"/>
        </w:rPr>
        <w:t xml:space="preserve">52. Auton A, et al. A global reference for human genetic variation. </w:t>
      </w:r>
      <w:r>
        <w:rPr>
          <w:rFonts w:ascii="Times New Roman" w:hAnsi="Times New Roman" w:eastAsia="宋体"/>
          <w:b w:val="0"/>
          <w:i/>
          <w:sz w:val="22"/>
        </w:rPr>
        <w:t>Nature</w:t>
      </w:r>
      <w:r>
        <w:rPr>
          <w:rFonts w:ascii="Times New Roman" w:hAnsi="Times New Roman" w:eastAsia="宋体"/>
          <w:b w:val="0"/>
          <w:i w:val="0"/>
          <w:sz w:val="22"/>
        </w:rPr>
        <w:t xml:space="preserve"> </w:t>
      </w:r>
      <w:r>
        <w:rPr>
          <w:rFonts w:ascii="Times New Roman" w:hAnsi="Times New Roman" w:eastAsia="宋体"/>
          <w:b/>
          <w:i w:val="0"/>
          <w:sz w:val="22"/>
        </w:rPr>
        <w:t>526</w:t>
      </w:r>
      <w:r>
        <w:rPr>
          <w:rFonts w:ascii="Times New Roman" w:hAnsi="Times New Roman" w:eastAsia="宋体"/>
          <w:b w:val="0"/>
          <w:i w:val="0"/>
          <w:sz w:val="22"/>
        </w:rPr>
        <w:t xml:space="preserve"> 68-74 (2015). doi: 10.1038/nature15393</w:t>
      </w:r>
    </w:p>
    <w:p w14:paraId="7C23125F">
      <w:pPr>
        <w:spacing w:after="60"/>
        <w:ind w:left="720" w:hanging="357"/>
      </w:pPr>
      <w:r>
        <w:rPr>
          <w:rFonts w:ascii="Times New Roman" w:hAnsi="Times New Roman" w:eastAsia="宋体"/>
          <w:b w:val="0"/>
          <w:i w:val="0"/>
          <w:sz w:val="22"/>
        </w:rPr>
        <w:t xml:space="preserve">53. Nalls MA, et al. Identification of novel risk loci, causal insights, and heritable risk for Parkinson's disease. </w:t>
      </w:r>
      <w:r>
        <w:rPr>
          <w:rFonts w:ascii="Times New Roman" w:hAnsi="Times New Roman" w:eastAsia="宋体"/>
          <w:b w:val="0"/>
          <w:i/>
          <w:sz w:val="22"/>
        </w:rPr>
        <w:t>Lancet Neurol</w:t>
      </w:r>
      <w:r>
        <w:rPr>
          <w:rFonts w:ascii="Times New Roman" w:hAnsi="Times New Roman" w:eastAsia="宋体"/>
          <w:b w:val="0"/>
          <w:i w:val="0"/>
          <w:sz w:val="22"/>
        </w:rPr>
        <w:t xml:space="preserve"> </w:t>
      </w:r>
      <w:r>
        <w:rPr>
          <w:rFonts w:ascii="Times New Roman" w:hAnsi="Times New Roman" w:eastAsia="宋体"/>
          <w:b/>
          <w:i w:val="0"/>
          <w:sz w:val="22"/>
        </w:rPr>
        <w:t>18</w:t>
      </w:r>
      <w:r>
        <w:rPr>
          <w:rFonts w:ascii="Times New Roman" w:hAnsi="Times New Roman" w:eastAsia="宋体"/>
          <w:b w:val="0"/>
          <w:i w:val="0"/>
          <w:sz w:val="22"/>
        </w:rPr>
        <w:t xml:space="preserve"> 1091-1102 (2019). doi: 10.1016/S1474-4422(19)30320-5</w:t>
      </w:r>
    </w:p>
    <w:p w14:paraId="4B3FED0B">
      <w:pPr>
        <w:spacing w:after="60"/>
        <w:ind w:left="720" w:hanging="357"/>
      </w:pPr>
      <w:r>
        <w:rPr>
          <w:rFonts w:ascii="Times New Roman" w:hAnsi="Times New Roman" w:eastAsia="宋体"/>
          <w:b w:val="0"/>
          <w:i w:val="0"/>
          <w:sz w:val="22"/>
        </w:rPr>
        <w:t xml:space="preserve">54. Patsopoulos NA, et al. (International Multiple Sclerosis Genetics Consortium). Multiple sclerosis genomic map implicates peripheral immune cells and microglia. </w:t>
      </w:r>
      <w:r>
        <w:rPr>
          <w:rFonts w:ascii="Times New Roman" w:hAnsi="Times New Roman" w:eastAsia="宋体"/>
          <w:b w:val="0"/>
          <w:i/>
          <w:sz w:val="22"/>
        </w:rPr>
        <w:t>Science</w:t>
      </w:r>
      <w:r>
        <w:rPr>
          <w:rFonts w:ascii="Times New Roman" w:hAnsi="Times New Roman" w:eastAsia="宋体"/>
          <w:b w:val="0"/>
          <w:i w:val="0"/>
          <w:sz w:val="22"/>
        </w:rPr>
        <w:t xml:space="preserve"> </w:t>
      </w:r>
      <w:r>
        <w:rPr>
          <w:rFonts w:ascii="Times New Roman" w:hAnsi="Times New Roman" w:eastAsia="宋体"/>
          <w:b/>
          <w:i w:val="0"/>
          <w:sz w:val="22"/>
        </w:rPr>
        <w:t>365</w:t>
      </w:r>
      <w:r>
        <w:rPr>
          <w:rFonts w:ascii="Times New Roman" w:hAnsi="Times New Roman" w:eastAsia="宋体"/>
          <w:b w:val="0"/>
          <w:i w:val="0"/>
          <w:sz w:val="22"/>
        </w:rPr>
        <w:t xml:space="preserve"> eaav7188 (2019). doi: 10.1126/science.aav7188</w:t>
      </w:r>
    </w:p>
    <w:p w14:paraId="3A5B70D9">
      <w:pPr>
        <w:spacing w:before="360" w:after="120"/>
        <w:jc w:val="center"/>
      </w:pPr>
      <w:r>
        <w:rPr>
          <w:rFonts w:ascii="Times New Roman" w:hAnsi="Times New Roman" w:eastAsia="宋体"/>
          <w:b/>
          <w:i w:val="0"/>
          <w:sz w:val="28"/>
        </w:rPr>
        <w:t>Acknowledgements</w:t>
      </w:r>
    </w:p>
    <w:p w14:paraId="2BB95D06">
      <w:r>
        <w:rPr>
          <w:rFonts w:ascii="Times New Roman" w:hAnsi="Times New Roman" w:eastAsia="宋体"/>
          <w:b w:val="0"/>
          <w:i w:val="0"/>
          <w:sz w:val="22"/>
        </w:rPr>
        <w:t>The authors thank the participants and investigators of the UK Biobank, the International Genomics of Alzheimer's Project (IGAP), the IEU OpenGWAS platform, the Biobank Japan (BBJ) Project, and the NIAGADS database for making GWAS summary statistics publicly available.</w:t>
      </w:r>
    </w:p>
    <w:p w14:paraId="418D2178">
      <w:pPr>
        <w:spacing w:before="360" w:after="120"/>
        <w:jc w:val="center"/>
      </w:pPr>
      <w:r>
        <w:rPr>
          <w:rFonts w:ascii="Times New Roman" w:hAnsi="Times New Roman" w:eastAsia="宋体"/>
          <w:b/>
          <w:i w:val="0"/>
          <w:sz w:val="28"/>
        </w:rPr>
        <w:t>Author contributions</w:t>
      </w:r>
    </w:p>
    <w:p w14:paraId="4626C0EB">
      <w:r>
        <w:rPr>
          <w:rFonts w:ascii="Times New Roman" w:hAnsi="Times New Roman" w:eastAsia="宋体"/>
          <w:b w:val="0"/>
          <w:i w:val="0"/>
          <w:sz w:val="22"/>
        </w:rPr>
        <w:t>M.L. and W.Y. contributed equally to this work. M.L. and W.Y. designed the study, performed all bioinformatic and statistical analyses, and drafted the manuscript. Q.L. conceived and supervised the study and provided critical revisions. All authors reviewed and approved the final manuscript.</w:t>
      </w:r>
    </w:p>
    <w:p w14:paraId="4CD29F2B">
      <w:pPr>
        <w:spacing w:before="360" w:after="120"/>
        <w:jc w:val="center"/>
      </w:pPr>
      <w:r>
        <w:rPr>
          <w:rFonts w:ascii="Times New Roman" w:hAnsi="Times New Roman" w:eastAsia="宋体"/>
          <w:b/>
          <w:i w:val="0"/>
          <w:sz w:val="28"/>
        </w:rPr>
        <w:t>Competing interests</w:t>
      </w:r>
    </w:p>
    <w:p w14:paraId="5F66BE20">
      <w:r>
        <w:rPr>
          <w:rFonts w:ascii="Times New Roman" w:hAnsi="Times New Roman" w:eastAsia="宋体"/>
          <w:b w:val="0"/>
          <w:i w:val="0"/>
          <w:sz w:val="22"/>
        </w:rPr>
        <w:t>The authors declare no competing interests.</w:t>
      </w:r>
    </w:p>
    <w:p w14:paraId="3A26DBE7">
      <w:pPr>
        <w:spacing w:before="360" w:after="120"/>
        <w:jc w:val="center"/>
      </w:pPr>
      <w:r>
        <w:rPr>
          <w:rFonts w:ascii="Times New Roman" w:hAnsi="Times New Roman" w:eastAsia="宋体"/>
          <w:b/>
          <w:i w:val="0"/>
          <w:sz w:val="28"/>
        </w:rPr>
        <w:t>Funding</w:t>
      </w:r>
    </w:p>
    <w:p w14:paraId="6D0728C4">
      <w:r>
        <w:rPr>
          <w:rFonts w:ascii="Times New Roman" w:hAnsi="Times New Roman" w:eastAsia="宋体"/>
          <w:b w:val="0"/>
          <w:i w:val="0"/>
          <w:sz w:val="22"/>
        </w:rPr>
        <w:t>This study was not supported by any specific grant from funding agencies in the public, commercial, or not-for-profit sectors.</w:t>
      </w:r>
    </w:p>
    <w:p w14:paraId="63147A15"/>
    <w:p w14:paraId="5651070D">
      <w:pPr>
        <w:spacing w:before="360" w:after="120"/>
        <w:jc w:val="center"/>
      </w:pPr>
    </w:p>
    <w:p w14:paraId="6DDC7476">
      <w:pPr>
        <w:rPr>
          <w:rFonts w:ascii="Times New Roman" w:hAnsi="Times New Roman" w:eastAsia="宋体"/>
          <w:b w:val="0"/>
          <w:i w:val="0"/>
          <w:sz w:val="22"/>
        </w:rPr>
      </w:pPr>
      <w:r>
        <w:rPr>
          <w:rFonts w:ascii="Times New Roman" w:hAnsi="Times New Roman" w:eastAsia="宋体"/>
          <w:b w:val="0"/>
          <w:i w:val="0"/>
          <w:sz w:val="22"/>
        </w:rPr>
        <w:br w:type="page"/>
      </w:r>
    </w:p>
    <w:p w14:paraId="4281A473">
      <w:pPr>
        <w:spacing w:before="360" w:after="120"/>
        <w:jc w:val="center"/>
      </w:pPr>
      <w:r>
        <w:rPr>
          <w:rFonts w:ascii="Times New Roman" w:hAnsi="Times New Roman" w:eastAsia="宋体"/>
          <w:b/>
          <w:i w:val="0"/>
          <w:sz w:val="28"/>
        </w:rPr>
        <w:t>Supplementary Information</w:t>
      </w:r>
    </w:p>
    <w:p w14:paraId="70805D05">
      <w:r>
        <w:rPr>
          <w:rFonts w:ascii="Times New Roman" w:hAnsi="Times New Roman" w:eastAsia="宋体"/>
          <w:b/>
          <w:i w:val="0"/>
          <w:sz w:val="22"/>
        </w:rPr>
        <w:t>Supplementary Figures</w:t>
      </w:r>
    </w:p>
    <w:p w14:paraId="3ED476C4">
      <w:pPr>
        <w:spacing w:after="60"/>
        <w:ind w:left="720" w:hanging="357"/>
      </w:pPr>
      <w:r>
        <w:rPr>
          <w:rFonts w:ascii="Times New Roman" w:hAnsi="Times New Roman" w:eastAsia="宋体"/>
          <w:b/>
          <w:i w:val="0"/>
          <w:sz w:val="22"/>
        </w:rPr>
        <w:t>Supplementary Figure 3A</w:t>
      </w:r>
      <w:r>
        <w:rPr>
          <w:rFonts w:ascii="Times New Roman" w:hAnsi="Times New Roman" w:eastAsia="宋体"/>
          <w:b w:val="0"/>
          <w:i w:val="0"/>
          <w:sz w:val="22"/>
        </w:rPr>
        <w:t>: insomnia → plasma CRP/IL-6 → AD forest</w:t>
      </w:r>
    </w:p>
    <w:p w14:paraId="08954E95">
      <w:pPr>
        <w:spacing w:after="60"/>
        <w:ind w:left="720" w:hanging="357"/>
      </w:pPr>
      <w:r>
        <w:rPr>
          <w:rFonts w:ascii="Times New Roman" w:hAnsi="Times New Roman" w:eastAsia="宋体"/>
          <w:b/>
          <w:i w:val="0"/>
          <w:sz w:val="22"/>
        </w:rPr>
        <w:t>Supplementary Figure 3B</w:t>
      </w:r>
      <w:r>
        <w:rPr>
          <w:rFonts w:ascii="Times New Roman" w:hAnsi="Times New Roman" w:eastAsia="宋体"/>
          <w:b w:val="0"/>
          <w:i w:val="0"/>
          <w:sz w:val="22"/>
        </w:rPr>
        <w:t>: education → CRP/IL-6 → AD (exposure substitution)</w:t>
      </w:r>
    </w:p>
    <w:p w14:paraId="63473799">
      <w:pPr>
        <w:spacing w:after="60"/>
        <w:ind w:left="720" w:hanging="357"/>
      </w:pPr>
      <w:r>
        <w:rPr>
          <w:rFonts w:ascii="Times New Roman" w:hAnsi="Times New Roman" w:eastAsia="宋体"/>
          <w:b/>
          <w:i w:val="0"/>
          <w:sz w:val="22"/>
        </w:rPr>
        <w:t>Supplementary Figure 3C</w:t>
      </w:r>
      <w:r>
        <w:rPr>
          <w:rFonts w:ascii="Times New Roman" w:hAnsi="Times New Roman" w:eastAsia="宋体"/>
          <w:b w:val="0"/>
          <w:i w:val="0"/>
          <w:sz w:val="22"/>
        </w:rPr>
        <w:t>: G2b 36-protein screen volcano and top-15 forest</w:t>
      </w:r>
    </w:p>
    <w:p w14:paraId="1904678B">
      <w:pPr>
        <w:spacing w:after="60"/>
        <w:ind w:left="720" w:hanging="357"/>
      </w:pPr>
      <w:r>
        <w:rPr>
          <w:rFonts w:ascii="Times New Roman" w:hAnsi="Times New Roman" w:eastAsia="宋体"/>
          <w:b/>
          <w:i w:val="0"/>
          <w:sz w:val="22"/>
        </w:rPr>
        <w:t>Supplementary Figure 4</w:t>
      </w:r>
      <w:r>
        <w:rPr>
          <w:rFonts w:ascii="Times New Roman" w:hAnsi="Times New Roman" w:eastAsia="宋体"/>
          <w:b w:val="0"/>
          <w:i w:val="0"/>
          <w:sz w:val="22"/>
        </w:rPr>
        <w:t>: Decision-tree flowchart for applying the six-level evidence-grading framework to any polygenic exposure–outcome pair. Encodes the practical algorithm: MR IVW significant → LD-clump robust → CAUSE/MRlap consistent → coloc rg architecture → MVMR direct effect → biological mediation → external validation → assign Grade A/B/C/D.</w:t>
      </w:r>
    </w:p>
    <w:p w14:paraId="403FB005">
      <w:pPr>
        <w:spacing w:after="60"/>
        <w:ind w:left="720" w:hanging="357"/>
      </w:pPr>
      <w:r>
        <w:rPr>
          <w:rFonts w:ascii="Times New Roman" w:hAnsi="Times New Roman" w:eastAsia="宋体"/>
          <w:b/>
          <w:i w:val="0"/>
          <w:sz w:val="22"/>
        </w:rPr>
        <w:t>Supplementary Figure 5</w:t>
      </w:r>
      <w:r>
        <w:rPr>
          <w:rFonts w:ascii="Times New Roman" w:hAnsi="Times New Roman" w:eastAsia="宋体"/>
          <w:b w:val="0"/>
          <w:i w:val="0"/>
          <w:sz w:val="22"/>
        </w:rPr>
        <w:t>: Simulation operating characteristics. Panel A: sensitivity vs effect size, by pleiotropy regime. Panel B: specificity and FDR by pleiotropy. Panel C: grade assignment distribution across null / weak / moderate effect × pleiotropy conditions.</w:t>
      </w:r>
    </w:p>
    <w:p w14:paraId="2086DB6A">
      <w:pPr>
        <w:rPr>
          <w:rFonts w:ascii="Times New Roman" w:hAnsi="Times New Roman" w:eastAsia="宋体"/>
          <w:b/>
          <w:i w:val="0"/>
          <w:sz w:val="22"/>
        </w:rPr>
      </w:pPr>
    </w:p>
    <w:p w14:paraId="4EAF717A">
      <w:r>
        <w:rPr>
          <w:rFonts w:ascii="Times New Roman" w:hAnsi="Times New Roman" w:eastAsia="宋体"/>
          <w:b/>
          <w:i w:val="0"/>
          <w:sz w:val="22"/>
        </w:rPr>
        <w:t>Supplementary Tables</w:t>
      </w:r>
    </w:p>
    <w:p w14:paraId="171ED705">
      <w:pPr>
        <w:spacing w:after="60"/>
        <w:ind w:left="720" w:hanging="357"/>
      </w:pPr>
      <w:r>
        <w:rPr>
          <w:rFonts w:ascii="Times New Roman" w:hAnsi="Times New Roman" w:eastAsia="宋体"/>
          <w:b/>
          <w:i w:val="0"/>
          <w:sz w:val="22"/>
        </w:rPr>
        <w:t>Supplementary Table S1</w:t>
      </w:r>
      <w:r>
        <w:rPr>
          <w:rFonts w:ascii="Times New Roman" w:hAnsi="Times New Roman" w:eastAsia="宋体"/>
          <w:b w:val="0"/>
          <w:i w:val="0"/>
          <w:sz w:val="22"/>
        </w:rPr>
        <w:t>: Complete colocalization results (129 loci)</w:t>
      </w:r>
    </w:p>
    <w:p w14:paraId="39CD9E63">
      <w:pPr>
        <w:spacing w:after="60"/>
        <w:ind w:left="720" w:hanging="357"/>
      </w:pPr>
      <w:r>
        <w:rPr>
          <w:rFonts w:ascii="Times New Roman" w:hAnsi="Times New Roman" w:eastAsia="宋体"/>
          <w:b/>
          <w:i w:val="0"/>
          <w:sz w:val="22"/>
        </w:rPr>
        <w:t>Supplementary Table S2</w:t>
      </w:r>
      <w:r>
        <w:rPr>
          <w:rFonts w:ascii="Times New Roman" w:hAnsi="Times New Roman" w:eastAsia="宋体"/>
          <w:b w:val="0"/>
          <w:i w:val="0"/>
          <w:sz w:val="22"/>
        </w:rPr>
        <w:t>: Instrument sensitivity (unclumped vs. clumped, 4 methods)</w:t>
      </w:r>
    </w:p>
    <w:p w14:paraId="366575CA">
      <w:pPr>
        <w:spacing w:after="60"/>
        <w:ind w:left="720" w:hanging="357"/>
      </w:pPr>
      <w:r>
        <w:rPr>
          <w:rFonts w:ascii="Times New Roman" w:hAnsi="Times New Roman" w:eastAsia="宋体"/>
          <w:b/>
          <w:i w:val="0"/>
          <w:sz w:val="22"/>
        </w:rPr>
        <w:t>Supplementary Table S3</w:t>
      </w:r>
      <w:r>
        <w:rPr>
          <w:rFonts w:ascii="Times New Roman" w:hAnsi="Times New Roman" w:eastAsia="宋体"/>
          <w:b w:val="0"/>
          <w:i w:val="0"/>
          <w:sz w:val="22"/>
        </w:rPr>
        <w:t>: Complete MVMR/UVMR results matrix (27 rows)</w:t>
      </w:r>
    </w:p>
    <w:p w14:paraId="1B01909D">
      <w:pPr>
        <w:spacing w:after="60"/>
        <w:ind w:left="720" w:hanging="357"/>
      </w:pPr>
      <w:r>
        <w:rPr>
          <w:rFonts w:ascii="Times New Roman" w:hAnsi="Times New Roman" w:eastAsia="宋体"/>
          <w:b/>
          <w:i w:val="0"/>
          <w:sz w:val="22"/>
        </w:rPr>
        <w:t>Supplementary Table S4</w:t>
      </w:r>
      <w:r>
        <w:rPr>
          <w:rFonts w:ascii="Times New Roman" w:hAnsi="Times New Roman" w:eastAsia="宋体"/>
          <w:b w:val="0"/>
          <w:i w:val="0"/>
          <w:sz w:val="22"/>
        </w:rPr>
        <w:t>: Educational attainment PheWAS (4 outcomes × 4 methods)</w:t>
      </w:r>
    </w:p>
    <w:p w14:paraId="1F9FD00F">
      <w:pPr>
        <w:spacing w:after="60"/>
        <w:ind w:left="720" w:hanging="357"/>
      </w:pPr>
      <w:bookmarkStart w:id="0" w:name="_GoBack"/>
      <w:bookmarkEnd w:id="0"/>
      <w:r>
        <w:rPr>
          <w:rFonts w:ascii="Times New Roman" w:hAnsi="Times New Roman" w:eastAsia="宋体"/>
          <w:b/>
          <w:i w:val="0"/>
          <w:sz w:val="22"/>
        </w:rPr>
        <w:t>Supplementary Table S5</w:t>
      </w:r>
      <w:r>
        <w:rPr>
          <w:rFonts w:ascii="Times New Roman" w:hAnsi="Times New Roman" w:eastAsia="宋体"/>
          <w:b w:val="0"/>
          <w:i w:val="0"/>
          <w:sz w:val="22"/>
        </w:rPr>
        <w:t xml:space="preserve">: STROBE-MR checklist </w:t>
      </w:r>
    </w:p>
    <w:p w14:paraId="2BBAE097">
      <w:pPr>
        <w:spacing w:after="60"/>
        <w:ind w:left="720" w:hanging="357"/>
      </w:pPr>
      <w:r>
        <w:rPr>
          <w:rFonts w:ascii="Times New Roman" w:hAnsi="Times New Roman" w:eastAsia="宋体"/>
          <w:b/>
          <w:i w:val="0"/>
          <w:sz w:val="22"/>
        </w:rPr>
        <w:t xml:space="preserve">Supplementary </w:t>
      </w:r>
      <w:r>
        <w:rPr>
          <w:rFonts w:hint="eastAsia" w:eastAsia="宋体"/>
          <w:b/>
          <w:i w:val="0"/>
          <w:sz w:val="22"/>
          <w:lang w:eastAsia="zh-CN"/>
        </w:rPr>
        <w:t>table S6</w:t>
      </w:r>
      <w:r>
        <w:rPr>
          <w:rFonts w:ascii="Times New Roman" w:hAnsi="Times New Roman" w:eastAsia="宋体"/>
          <w:b w:val="0"/>
          <w:i w:val="0"/>
          <w:sz w:val="22"/>
        </w:rPr>
        <w:t xml:space="preserve">: Exploratory height→AD analysis: 382 instruments (F = 78.4), IVW β = −0.107 (P = 0.002), MR-Egger β = −0.071 (P = 0.44), WM β = −0.089 (P = 0.063), Cochran Q = 431 (P = 5 × </w:t>
      </w:r>
      <w:r>
        <w:rPr>
          <w:rFonts w:ascii="Times New Roman" w:hAnsi="Times New Roman" w:eastAsia="宋体"/>
          <w:b w:val="0"/>
          <w:i w:val="0"/>
          <w:sz w:val="22"/>
          <w:vertAlign w:val="superscript"/>
        </w:rPr>
        <w:t>10⁻⁵</w:t>
      </w:r>
      <w:r>
        <w:rPr>
          <w:rFonts w:ascii="Times New Roman" w:hAnsi="Times New Roman" w:eastAsia="宋体"/>
          <w:b w:val="0"/>
          <w:i w:val="0"/>
          <w:sz w:val="22"/>
        </w:rPr>
        <w:t>). Interpreted as directional pleiotropy; not used as a formal negative control.</w:t>
      </w:r>
    </w:p>
    <w:p w14:paraId="4C3D6545">
      <w:pPr>
        <w:spacing w:after="60"/>
        <w:ind w:left="720" w:hanging="357"/>
      </w:pPr>
      <w:r>
        <w:rPr>
          <w:rFonts w:ascii="Times New Roman" w:hAnsi="Times New Roman" w:eastAsia="宋体"/>
          <w:b/>
          <w:i w:val="0"/>
          <w:sz w:val="22"/>
        </w:rPr>
        <w:t xml:space="preserve">Supplementary </w:t>
      </w:r>
      <w:r>
        <w:rPr>
          <w:rFonts w:hint="eastAsia" w:eastAsia="宋体"/>
          <w:b/>
          <w:i w:val="0"/>
          <w:sz w:val="22"/>
          <w:lang w:eastAsia="zh-CN"/>
        </w:rPr>
        <w:t>table S7</w:t>
      </w:r>
      <w:r>
        <w:rPr>
          <w:rFonts w:ascii="Times New Roman" w:hAnsi="Times New Roman" w:eastAsia="宋体"/>
          <w:b w:val="0"/>
          <w:i w:val="0"/>
          <w:sz w:val="22"/>
        </w:rPr>
        <w:t>: Twelve-case expanded validation cohort (LDL→CAD, Education→AD, BMI→T2D, Height→CAD, Insomnia→AD, BMI→Stroke, HDL→CAD, Depression→AD, Education→T2D, CRP→CAD, BMI→AD, T2D→AD) with full per-level 0–2 scoring, cumulative 0–12 total, F-statistics, IVW/WM/Egger estimates, and domain annotation. Available as CSV and Markdown in the Supplementary materials.</w:t>
      </w:r>
    </w:p>
    <w:p w14:paraId="4980758D">
      <w:pPr>
        <w:spacing w:after="60"/>
        <w:ind w:left="720" w:hanging="357"/>
      </w:pPr>
      <w:r>
        <w:rPr>
          <w:rFonts w:ascii="Times New Roman" w:hAnsi="Times New Roman" w:eastAsia="宋体"/>
          <w:b/>
          <w:i w:val="0"/>
          <w:sz w:val="22"/>
        </w:rPr>
        <w:t xml:space="preserve">Supplementary </w:t>
      </w:r>
      <w:r>
        <w:rPr>
          <w:rFonts w:hint="eastAsia" w:eastAsia="宋体"/>
          <w:b/>
          <w:i w:val="0"/>
          <w:sz w:val="22"/>
          <w:lang w:eastAsia="zh-CN"/>
        </w:rPr>
        <w:t>table S8</w:t>
      </w:r>
      <w:r>
        <w:rPr>
          <w:rFonts w:ascii="Times New Roman" w:hAnsi="Times New Roman" w:eastAsia="宋体"/>
          <w:b w:val="0"/>
          <w:i w:val="0"/>
          <w:sz w:val="22"/>
        </w:rPr>
        <w:t>: Simulation operating characteristics across the LD-concentration × pleiotropy × sample-overlap × effect-size scenario grid (43,200 replicates; seed 20260804). Per-scenario CSV with sensitivity, specificity, FDR, and grade distribution; marginal summary by pleiotropy and effect size. Underlies Supplementary Fig. 5.</w:t>
      </w:r>
    </w:p>
    <w:p w14:paraId="234D0064">
      <w:r>
        <w:rPr>
          <w:rFonts w:ascii="Times New Roman" w:hAnsi="Times New Roman" w:eastAsia="宋体"/>
          <w:b/>
          <w:i w:val="0"/>
          <w:sz w:val="22"/>
        </w:rPr>
        <w:t>Supplementary Notes</w:t>
      </w:r>
    </w:p>
    <w:p w14:paraId="1D311C59">
      <w:pPr>
        <w:spacing w:after="60"/>
        <w:ind w:left="720" w:hanging="357"/>
      </w:pPr>
      <w:r>
        <w:rPr>
          <w:rFonts w:ascii="Times New Roman" w:hAnsi="Times New Roman" w:eastAsia="宋体"/>
          <w:b/>
          <w:i w:val="0"/>
          <w:sz w:val="22"/>
        </w:rPr>
        <w:t>Supplementary Note 1</w:t>
      </w:r>
      <w:r>
        <w:rPr>
          <w:rFonts w:ascii="Times New Roman" w:hAnsi="Times New Roman" w:eastAsia="宋体"/>
          <w:b w:val="0"/>
          <w:i w:val="0"/>
          <w:sz w:val="22"/>
        </w:rPr>
        <w:t>: Threshold-sensitivity analysis of the A/B/C/D grade boundaries. Tests strict (+1), lenient (−1), and extreme-strict configurations; no case changes by more than one grade across any scenario.</w:t>
      </w:r>
    </w:p>
    <w:p w14:paraId="7A9A6082">
      <w:pPr>
        <w:spacing w:after="60"/>
        <w:ind w:left="720" w:hanging="357"/>
      </w:pPr>
      <w:r>
        <w:rPr>
          <w:rFonts w:ascii="Times New Roman" w:hAnsi="Times New Roman" w:eastAsia="宋体"/>
          <w:b/>
          <w:i w:val="0"/>
          <w:sz w:val="22"/>
        </w:rPr>
        <w:t>Supplementary Note 2</w:t>
      </w:r>
      <w:r>
        <w:rPr>
          <w:rFonts w:ascii="Times New Roman" w:hAnsi="Times New Roman" w:eastAsia="宋体"/>
          <w:b w:val="0"/>
          <w:i w:val="0"/>
          <w:sz w:val="22"/>
        </w:rPr>
        <w:t>: Cross-ancestry (East Asian) reinforcement of Level 6. Four East Asian checks: education→T2D (BBJ; IVW β = −0.145, P = 0.012 — significant replication), T2D→AD (GARD; β = +0.006, P = 0.93 — null concordance), education→stroke (BBJ; β = −0.008, P = 0.87 — underpowered null), education→AD (GARD; β = −0.029, P = 0.85 — directional consistency). No framework-assigned direction contradicted in EAS.</w:t>
      </w:r>
    </w:p>
    <w:p w14:paraId="6479331C">
      <w:pPr>
        <w:spacing w:after="60"/>
        <w:ind w:left="720" w:hanging="357"/>
      </w:pPr>
      <w:r>
        <w:rPr>
          <w:rFonts w:ascii="Times New Roman" w:hAnsi="Times New Roman" w:eastAsia="宋体"/>
          <w:b/>
          <w:i w:val="0"/>
          <w:sz w:val="22"/>
        </w:rPr>
        <w:t>Supplementary Note 3</w:t>
      </w:r>
      <w:r>
        <w:rPr>
          <w:rFonts w:ascii="Times New Roman" w:hAnsi="Times New Roman" w:eastAsia="宋体"/>
          <w:b w:val="0"/>
          <w:i w:val="0"/>
          <w:sz w:val="22"/>
        </w:rPr>
        <w:t>: EAS depression replication feasibility. Documents why a formal East Asian depression→AD replication is currently infeasible: the EAS clinical-MD stratum of the largest multi-ancestry MDD GWAS (Meng et al. 2024) contains no genome-wide-significant variants, and the sole EAS AD outcome (GARD, 2,919 cases) covers only 2 of 6 multi-ancestry MDD loci; an exploratory two-instrument direction check is reported for transparency and does not affect the Depression→AD grade.</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E95906"/>
    <w:rsid w:val="6E8F342D"/>
    <w:rsid w:val="78060DAB"/>
    <w:rsid w:val="79386B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7160</Words>
  <Characters>43224</Characters>
  <Lines>0</Lines>
  <Paragraphs>0</Paragraphs>
  <TotalTime>314</TotalTime>
  <ScaleCrop>false</ScaleCrop>
  <LinksUpToDate>false</LinksUpToDate>
  <CharactersWithSpaces>50173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罗鸣</cp:lastModifiedBy>
  <dcterms:modified xsi:type="dcterms:W3CDTF">2026-08-05T11:33:53Z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eyJoZGlkIjoiYmRhZWViNjMzZWMzYTRmMjJlZGI0YjAxYjM2ZDhmOGEiLCJ1c2VySWQiOiIyMjU2NzYyNTUifQ==</vt:lpwstr>
  </property>
  <property fmtid="{D5CDD505-2E9C-101B-9397-08002B2CF9AE}" pid="3" name="KSOProductBuildVer">
    <vt:lpwstr>2052-12.1.0.28043</vt:lpwstr>
  </property>
  <property fmtid="{D5CDD505-2E9C-101B-9397-08002B2CF9AE}" pid="4" name="ICV">
    <vt:lpwstr>26FE47A6DFAE4779B177D5F25BD5250C_12</vt:lpwstr>
  </property>
</Properties>
</file>