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6"/>
        </w:rPr>
        <w:t>Recovering Temporal Regulatory Rewiring: An Interpretable Graph-Based Virtual Perturbation Framework Applied to Ischemic Stroke</w:t>
      </w:r>
    </w:p>
    <w:p>
      <w:r>
        <w:rPr>
          <w:rFonts w:ascii="Times New Roman" w:hAnsi="Times New Roman"/>
          <w:b/>
          <w:i w:val="0"/>
          <w:sz w:val="22"/>
        </w:rPr>
        <w:t>Ming Luo^1, Yimin Mei^1, Wangyang Ye^1, Wenwu Huang^1,</w:t>
      </w:r>
    </w:p>
    <w:p>
      <w:r>
        <w:rPr>
          <w:rFonts w:ascii="Times New Roman" w:hAnsi="Times New Roman"/>
          <w:b w:val="0"/>
          <w:i w:val="0"/>
          <w:sz w:val="22"/>
          <w:vertAlign w:val="superscript"/>
        </w:rPr>
        <w:t>1</w:t>
      </w:r>
      <w:r>
        <w:rPr>
          <w:rFonts w:ascii="Times New Roman" w:hAnsi="Times New Roman"/>
          <w:b w:val="0"/>
          <w:i w:val="0"/>
          <w:sz w:val="22"/>
        </w:rPr>
        <w:t xml:space="preserve"> Department of Neurosurgery, The Fifth Affiliated Hospital of Wenzhou Medical University (Lishui Central Hospital), Lishui, Zhejiang, China</w:t>
      </w:r>
    </w:p>
    <w:p>
      <w:r>
        <w:rPr>
          <w:rFonts w:ascii="Times New Roman" w:hAnsi="Times New Roman"/>
          <w:b w:val="0"/>
          <w:i/>
          <w:sz w:val="22"/>
        </w:rPr>
        <w:t>Ming Luo and Yimin Mei contributed equally to this work.</w:t>
      </w:r>
    </w:p>
    <w:p>
      <w:r>
        <w:rPr>
          <w:rFonts w:ascii="Times New Roman" w:hAnsi="Times New Roman"/>
          <w:b w:val="0"/>
          <w:i/>
          <w:sz w:val="22"/>
        </w:rPr>
        <w:t>Corresponding author: Wenwu Huang, Department of Neurosurgery, The Fifth Affiliated Hospital of Wenzhou Medical University (Lishui Central Hospital), Lishui, Zhejiang, China. Email: hwenwu321@gmail.com</w:t>
      </w:r>
    </w:p>
    <w:p>
      <w:pPr>
        <w:ind w:left="8"/>
      </w:pPr>
      <w:r>
        <w:rPr>
          <w:rFonts w:ascii="Times New Roman" w:hAnsi="Times New Roman"/>
          <w:b/>
          <w:i w:val="0"/>
          <w:sz w:val="22"/>
        </w:rPr>
        <w:t>Target journal:</w:t>
      </w:r>
      <w:r>
        <w:rPr>
          <w:rFonts w:ascii="Times New Roman" w:hAnsi="Times New Roman"/>
          <w:b w:val="0"/>
          <w:i w:val="0"/>
          <w:sz w:val="22"/>
        </w:rPr>
        <w:t xml:space="preserve"> Patterns (Cell Press) </w:t>
      </w:r>
      <w:r>
        <w:rPr>
          <w:rFonts w:ascii="Times New Roman" w:hAnsi="Times New Roman"/>
          <w:b/>
          <w:i w:val="0"/>
          <w:sz w:val="22"/>
        </w:rPr>
        <w:t>Manuscript type:</w:t>
      </w:r>
      <w:r>
        <w:rPr>
          <w:rFonts w:ascii="Times New Roman" w:hAnsi="Times New Roman"/>
          <w:b w:val="0"/>
          <w:i w:val="0"/>
          <w:sz w:val="22"/>
        </w:rPr>
        <w:t xml:space="preserve"> Methods article with validation </w:t>
      </w:r>
      <w:r>
        <w:rPr>
          <w:rFonts w:ascii="Times New Roman" w:hAnsi="Times New Roman"/>
          <w:b/>
          <w:i w:val="0"/>
          <w:sz w:val="22"/>
        </w:rPr>
        <w:t>Version:</w:t>
      </w:r>
      <w:r>
        <w:rPr>
          <w:rFonts w:ascii="Times New Roman" w:hAnsi="Times New Roman"/>
          <w:b w:val="0"/>
          <w:i w:val="0"/>
          <w:sz w:val="22"/>
        </w:rPr>
        <w:t xml:space="preserve"> v6, 2026-07-10 (formatted for Patterns / Cell Press)</w:t>
      </w:r>
    </w:p>
    <w:p>
      <w:pPr>
        <w:pStyle w:val="Heading1"/>
      </w:pPr>
      <w:r>
        <w:rPr>
          <w:rFonts w:ascii="Times New Roman" w:hAnsi="Times New Roman"/>
          <w:b/>
          <w:i w:val="0"/>
          <w:sz w:val="28"/>
        </w:rPr>
        <w:t>Highlights</w:t>
      </w:r>
    </w:p>
    <w:p>
      <w:pPr>
        <w:pStyle w:val="ListBullet"/>
      </w:pPr>
      <w:r>
        <w:rPr>
          <w:rFonts w:ascii="Times New Roman" w:hAnsi="Times New Roman"/>
          <w:b w:val="0"/>
          <w:i w:val="0"/>
          <w:sz w:val="22"/>
        </w:rPr>
        <w:t>A fixed causal graph yields no consistent prediction gain over linear baselines.</w:t>
      </w:r>
    </w:p>
    <w:p>
      <w:pPr>
        <w:pStyle w:val="ListBullet"/>
      </w:pPr>
      <w:r>
        <w:rPr>
          <w:rFonts w:ascii="Times New Roman" w:hAnsi="Times New Roman"/>
          <w:b w:val="0"/>
          <w:i w:val="0"/>
          <w:sz w:val="22"/>
        </w:rPr>
        <w:t>Edge-level rewiring is recovered as interpretable, testable hypotheses.</w:t>
      </w:r>
    </w:p>
    <w:p>
      <w:pPr>
        <w:pStyle w:val="ListBullet"/>
      </w:pPr>
      <w:r>
        <w:rPr>
          <w:rFonts w:ascii="Times New Roman" w:hAnsi="Times New Roman"/>
          <w:b w:val="0"/>
          <w:i w:val="0"/>
          <w:sz w:val="22"/>
        </w:rPr>
        <w:t>Evidence ladder escalates from reproducibility to causal support.</w:t>
      </w:r>
    </w:p>
    <w:p>
      <w:pPr>
        <w:pStyle w:val="ListBullet"/>
      </w:pPr>
      <w:r>
        <w:rPr>
          <w:rFonts w:ascii="Times New Roman" w:hAnsi="Times New Roman"/>
          <w:b w:val="0"/>
          <w:i w:val="0"/>
          <w:sz w:val="22"/>
        </w:rPr>
        <w:t>Program-level causal support is context-gated across perturbations.</w:t>
      </w:r>
    </w:p>
    <w:p>
      <w:pPr>
        <w:pStyle w:val="Heading1"/>
      </w:pPr>
      <w:r>
        <w:rPr>
          <w:rFonts w:ascii="Times New Roman" w:hAnsi="Times New Roman"/>
          <w:b/>
          <w:i w:val="0"/>
          <w:sz w:val="28"/>
        </w:rPr>
        <w:t>eTOC</w:t>
      </w:r>
    </w:p>
    <w:p>
      <w:r>
        <w:rPr>
          <w:rFonts w:ascii="Times New Roman" w:hAnsi="Times New Roman"/>
          <w:b w:val="0"/>
          <w:i w:val="0"/>
          <w:sz w:val="22"/>
        </w:rPr>
        <w:t>This framework recovers interpretable edge-level rewiring of gene networks from single-cell data. It shows that a fixed causal graph aids interpretation, not prediction accuracy, and that regulatory programs, not individual edges, are robust across contexts.</w:t>
      </w:r>
    </w:p>
    <w:p>
      <w:pPr>
        <w:pStyle w:val="Heading1"/>
      </w:pPr>
      <w:r>
        <w:rPr>
          <w:rFonts w:ascii="Times New Roman" w:hAnsi="Times New Roman"/>
          <w:b/>
          <w:i w:val="0"/>
          <w:sz w:val="28"/>
        </w:rPr>
        <w:t>Summary</w:t>
      </w:r>
    </w:p>
    <w:p>
      <w:r>
        <w:rPr>
          <w:rFonts w:ascii="Times New Roman" w:hAnsi="Times New Roman"/>
          <w:b w:val="0"/>
          <w:i w:val="0"/>
          <w:sz w:val="22"/>
        </w:rPr>
        <w:t>Virtual perturbation methods for temporal gene-regulatory-network (GRN) rewiring either lack temporal resolution, ignore cell–cell communication, or sacrifice interpretability for accuracy. We present TSC-GNN, an interpretable framework that recovers edge-level GRN rewiring, master-regulator dynamics, and drug-repurposing hypotheses from multi-timepoint single-cell transcriptomes. In ischemic stroke (two mouse cohorts, 24 h–14 d), it recovers the canonical repair program (Sox10→myelin, ΔW = +0.51) with cross-cohort reproducibility (ρ = 0.48–0.55) and human conservation (SOX10→myelin OR = 27). Triangulating three public perturbation modalities shows program-level causal support is context-gated. Under a fixed causal graph with a linear readout, graph topology yields no consistent improvement in perturbation prediction beyond linear baselines (significant in only 4/90 configurations, all from a single seed's combinatorial split, with no configuration favoring the linear model); the contribution is interpretability, not accuracy.</w:t>
      </w:r>
    </w:p>
    <w:p>
      <w:pPr>
        <w:pStyle w:val="Heading1"/>
      </w:pPr>
      <w:r>
        <w:rPr>
          <w:rFonts w:ascii="Times New Roman" w:hAnsi="Times New Roman"/>
          <w:b/>
          <w:i w:val="0"/>
          <w:sz w:val="28"/>
        </w:rPr>
        <w:t>Keywords</w:t>
      </w:r>
    </w:p>
    <w:p>
      <w:r>
        <w:rPr>
          <w:rFonts w:ascii="Times New Roman" w:hAnsi="Times New Roman"/>
          <w:b w:val="0"/>
          <w:i w:val="0"/>
          <w:sz w:val="22"/>
        </w:rPr>
        <w:t>Gene-regulatory network; temporal rewiring; virtual perturbation; graph neural network; single-cell transcriptomics; ischemic stroke; interpretability; edge-level rewiring; drug repurposing; master-regulator inference</w:t>
      </w:r>
    </w:p>
    <w:p>
      <w:pPr>
        <w:pStyle w:val="Heading1"/>
      </w:pPr>
      <w:r>
        <w:rPr>
          <w:rFonts w:ascii="Times New Roman" w:hAnsi="Times New Roman"/>
          <w:b/>
          <w:i w:val="0"/>
          <w:sz w:val="28"/>
        </w:rPr>
        <w:t>Bigger picture</w:t>
      </w:r>
    </w:p>
    <w:p>
      <w:r>
        <w:rPr>
          <w:rFonts w:ascii="Times New Roman" w:hAnsi="Times New Roman"/>
          <w:b w:val="0"/>
          <w:i w:val="0"/>
          <w:sz w:val="22"/>
        </w:rPr>
        <w:t>Most computational tools that predict how cells respond to perturbations are judged by a single metric: prediction accuracy. As models grow larger and more opaque, they increasingly hide the very mechanism researchers want to understand, which regulatory connections change, and why. This paper takes the opposite stance: it treats the gene-regulatory network as a structured map on which a perturbation is decomposed into individual edge-level changes, and it reports that this map does not consistently make predictions more accurate than a simple linear model. What it provides instead is interpretability: a transparent, testable account of which transcription factors rewire across a biological transition.</w:t>
      </w:r>
    </w:p>
    <w:p>
      <w:r>
        <w:rPr>
          <w:rFonts w:ascii="Times New Roman" w:hAnsi="Times New Roman"/>
          <w:b w:val="0"/>
          <w:i w:val="0"/>
          <w:sz w:val="22"/>
        </w:rPr>
        <w:t>The implications reach beyond stroke. Any field using single-cell transcriptomics to study temporal remodeling, development, neurodegeneration, cancer, immunology, faces the same trade-off between black-box accuracy and mechanistic clarity. More broadly, the finding that individual regulatory edges are context-specific while whole programs are robust argues for a field-wide recalibration: edge-level output should be presented as hypotheses to test, not settled causal truth. As single-cell perturbation datasets multiply, frameworks that pair interpretability with honest boundary-setting will be essential for turning that data into trustworthy biology.</w:t>
      </w:r>
    </w:p>
    <w:p>
      <w:pPr>
        <w:pStyle w:val="Heading1"/>
      </w:pPr>
      <w:r>
        <w:rPr>
          <w:rFonts w:ascii="Times New Roman" w:hAnsi="Times New Roman"/>
          <w:b/>
          <w:i w:val="0"/>
          <w:sz w:val="28"/>
        </w:rPr>
        <w:t>Terminology Ledger</w:t>
      </w:r>
    </w:p>
    <w:p>
      <w:pPr>
        <w:ind w:left="8"/>
      </w:pPr>
      <w:r>
        <w:rPr>
          <w:rFonts w:ascii="Times New Roman" w:hAnsi="Times New Roman"/>
          <w:b/>
          <w:i w:val="0"/>
          <w:sz w:val="22"/>
        </w:rPr>
        <w:t>Note to the reader:</w:t>
      </w:r>
      <w:r>
        <w:rPr>
          <w:rFonts w:ascii="Times New Roman" w:hAnsi="Times New Roman"/>
          <w:b w:val="0"/>
          <w:i w:val="0"/>
          <w:sz w:val="22"/>
        </w:rPr>
        <w:t xml:space="preserve"> This paper uses several specialized abbreviations. The Terminology Ledger below defines them at first use. The main text minimises clustering: no sentence contains more than two unfamiliar acronyms. Section labels (e.g., 3.5) are kept minimal.</w:t>
      </w:r>
    </w:p>
    <w:tbl>
      <w:tblPr>
        <w:tblStyle w:val="TableGrid"/>
        <w:tblW w:type="auto" w:w="0"/>
        <w:jc w:val="center"/>
        <w:tblLayout w:type="fixed"/>
        <w:tblLook w:firstColumn="1" w:firstRow="1" w:lastColumn="0" w:lastRow="0" w:noHBand="0" w:noVBand="1" w:val="04A0"/>
      </w:tblPr>
      <w:tblGrid>
        <w:gridCol w:w="3009"/>
        <w:gridCol w:w="3009"/>
        <w:gridCol w:w="3009"/>
      </w:tblGrid>
      <w:tr>
        <w:tc>
          <w:tcPr>
            <w:tcW w:type="dxa" w:w="3010"/>
            <w:shd w:val="clear" w:color="auto" w:fill="D9E2F3"/>
          </w:tcPr>
          <w:p>
            <w:r>
              <w:rPr>
                <w:b/>
              </w:rPr>
            </w:r>
            <w:r>
              <w:rPr>
                <w:rFonts w:ascii="Times New Roman" w:hAnsi="Times New Roman"/>
                <w:b/>
                <w:i w:val="0"/>
                <w:sz w:val="18"/>
              </w:rPr>
              <w:t>Canonical term</w:t>
            </w:r>
          </w:p>
        </w:tc>
        <w:tc>
          <w:tcPr>
            <w:tcW w:type="dxa" w:w="3008"/>
            <w:shd w:val="clear" w:color="auto" w:fill="D9E2F3"/>
          </w:tcPr>
          <w:p>
            <w:r>
              <w:rPr>
                <w:b/>
              </w:rPr>
            </w:r>
            <w:r>
              <w:rPr>
                <w:rFonts w:ascii="Times New Roman" w:hAnsi="Times New Roman"/>
                <w:b/>
                <w:i w:val="0"/>
                <w:sz w:val="18"/>
              </w:rPr>
              <w:t>Definition</w:t>
            </w:r>
          </w:p>
        </w:tc>
        <w:tc>
          <w:tcPr>
            <w:tcW w:type="dxa" w:w="3008"/>
            <w:shd w:val="clear" w:color="auto" w:fill="D9E2F3"/>
          </w:tcPr>
          <w:p>
            <w:r>
              <w:rPr>
                <w:b/>
              </w:rPr>
            </w:r>
            <w:r>
              <w:rPr>
                <w:rFonts w:ascii="Times New Roman" w:hAnsi="Times New Roman"/>
                <w:b/>
                <w:i w:val="0"/>
                <w:sz w:val="18"/>
              </w:rPr>
              <w:t>First-use expansion</w:t>
            </w:r>
          </w:p>
        </w:tc>
      </w:tr>
      <w:tr>
        <w:tc>
          <w:tcPr>
            <w:tcW w:type="dxa" w:w="3010"/>
          </w:tcPr>
          <w:p>
            <w:r/>
            <w:r>
              <w:rPr>
                <w:rFonts w:ascii="Times New Roman" w:hAnsi="Times New Roman"/>
                <w:b w:val="0"/>
                <w:i w:val="0"/>
                <w:sz w:val="18"/>
              </w:rPr>
              <w:t>TSC-GNN</w:t>
            </w:r>
          </w:p>
        </w:tc>
        <w:tc>
          <w:tcPr>
            <w:tcW w:type="dxa" w:w="3008"/>
          </w:tcPr>
          <w:p>
            <w:r/>
            <w:r>
              <w:rPr>
                <w:rFonts w:ascii="Times New Roman" w:hAnsi="Times New Roman"/>
                <w:b w:val="0"/>
                <w:i w:val="0"/>
                <w:sz w:val="18"/>
              </w:rPr>
              <w:t>Temporal and cell-State-Conditioned Graph Neural Network</w:t>
            </w:r>
          </w:p>
        </w:tc>
        <w:tc>
          <w:tcPr>
            <w:tcW w:type="dxa" w:w="3008"/>
          </w:tcPr>
          <w:p>
            <w:r/>
            <w:r>
              <w:rPr>
                <w:rFonts w:ascii="Times New Roman" w:hAnsi="Times New Roman"/>
                <w:b w:val="0"/>
                <w:i w:val="0"/>
                <w:sz w:val="18"/>
              </w:rPr>
              <w:t>spell out once, then use "TSC-GNN"</w:t>
            </w:r>
          </w:p>
        </w:tc>
      </w:tr>
      <w:tr>
        <w:tc>
          <w:tcPr>
            <w:tcW w:type="dxa" w:w="3010"/>
          </w:tcPr>
          <w:p>
            <w:r/>
            <w:r>
              <w:rPr>
                <w:rFonts w:ascii="Times New Roman" w:hAnsi="Times New Roman"/>
                <w:b w:val="0"/>
                <w:i w:val="0"/>
                <w:sz w:val="18"/>
              </w:rPr>
              <w:t>ΔW</w:t>
            </w:r>
          </w:p>
        </w:tc>
        <w:tc>
          <w:tcPr>
            <w:tcW w:type="dxa" w:w="3008"/>
          </w:tcPr>
          <w:p>
            <w:r/>
            <w:r>
              <w:rPr>
                <w:rFonts w:ascii="Times New Roman" w:hAnsi="Times New Roman"/>
                <w:b w:val="0"/>
                <w:i w:val="0"/>
                <w:sz w:val="18"/>
              </w:rPr>
              <w:t>edge-level rewiring (coupling change across a transition)</w:t>
            </w:r>
          </w:p>
        </w:tc>
        <w:tc>
          <w:tcPr>
            <w:tcW w:type="dxa" w:w="3008"/>
          </w:tcPr>
          <w:p>
            <w:r/>
            <w:r>
              <w:rPr>
                <w:rFonts w:ascii="Times New Roman" w:hAnsi="Times New Roman"/>
                <w:b w:val="0"/>
                <w:i w:val="0"/>
                <w:sz w:val="18"/>
              </w:rPr>
              <w:t>define in Eq. 1</w:t>
            </w:r>
          </w:p>
        </w:tc>
      </w:tr>
      <w:tr>
        <w:tc>
          <w:tcPr>
            <w:tcW w:type="dxa" w:w="3010"/>
          </w:tcPr>
          <w:p>
            <w:r/>
            <w:r>
              <w:rPr>
                <w:rFonts w:ascii="Times New Roman" w:hAnsi="Times New Roman"/>
                <w:b w:val="0"/>
                <w:i w:val="0"/>
                <w:sz w:val="18"/>
              </w:rPr>
              <w:t>GRN</w:t>
            </w:r>
          </w:p>
        </w:tc>
        <w:tc>
          <w:tcPr>
            <w:tcW w:type="dxa" w:w="3008"/>
          </w:tcPr>
          <w:p>
            <w:r/>
            <w:r>
              <w:rPr>
                <w:rFonts w:ascii="Times New Roman" w:hAnsi="Times New Roman"/>
                <w:b w:val="0"/>
                <w:i w:val="0"/>
                <w:sz w:val="18"/>
              </w:rPr>
              <w:t>gene-regulatory network</w:t>
            </w:r>
          </w:p>
        </w:tc>
        <w:tc>
          <w:tcPr>
            <w:tcW w:type="dxa" w:w="3008"/>
          </w:tcPr>
          <w:p>
            <w:r/>
            <w:r>
              <w:rPr>
                <w:rFonts w:ascii="Times New Roman" w:hAnsi="Times New Roman"/>
                <w:b w:val="0"/>
                <w:i w:val="0"/>
                <w:sz w:val="18"/>
              </w:rPr>
              <w:t>GSEA/DoRothEA directed causal graph</w:t>
            </w:r>
          </w:p>
        </w:tc>
      </w:tr>
      <w:tr>
        <w:tc>
          <w:tcPr>
            <w:tcW w:type="dxa" w:w="3010"/>
          </w:tcPr>
          <w:p>
            <w:r/>
            <w:r>
              <w:rPr>
                <w:rFonts w:ascii="Times New Roman" w:hAnsi="Times New Roman"/>
                <w:b w:val="0"/>
                <w:i w:val="0"/>
                <w:sz w:val="18"/>
              </w:rPr>
              <w:t>DoRothEA</w:t>
            </w:r>
          </w:p>
        </w:tc>
        <w:tc>
          <w:tcPr>
            <w:tcW w:type="dxa" w:w="3008"/>
          </w:tcPr>
          <w:p>
            <w:r/>
            <w:r>
              <w:rPr>
                <w:rFonts w:ascii="Times New Roman" w:hAnsi="Times New Roman"/>
                <w:b w:val="0"/>
                <w:i w:val="0"/>
                <w:sz w:val="18"/>
              </w:rPr>
              <w:t>literature-curated TF→target regulon database</w:t>
            </w:r>
          </w:p>
        </w:tc>
        <w:tc>
          <w:tcPr>
            <w:tcW w:type="dxa" w:w="3008"/>
          </w:tcPr>
          <w:p>
            <w:r/>
            <w:r>
              <w:rPr>
                <w:rFonts w:ascii="Times New Roman" w:hAnsi="Times New Roman"/>
                <w:b w:val="0"/>
                <w:i w:val="0"/>
                <w:sz w:val="18"/>
              </w:rPr>
              <w:t>Alvarez-Garcia 2019, Nat Commun</w:t>
            </w:r>
          </w:p>
        </w:tc>
      </w:tr>
      <w:tr>
        <w:tc>
          <w:tcPr>
            <w:tcW w:type="dxa" w:w="3010"/>
          </w:tcPr>
          <w:p>
            <w:r/>
            <w:r>
              <w:rPr>
                <w:rFonts w:ascii="Times New Roman" w:hAnsi="Times New Roman"/>
                <w:b w:val="0"/>
                <w:i w:val="0"/>
                <w:sz w:val="18"/>
              </w:rPr>
              <w:t>MCAO</w:t>
            </w:r>
          </w:p>
        </w:tc>
        <w:tc>
          <w:tcPr>
            <w:tcW w:type="dxa" w:w="3008"/>
          </w:tcPr>
          <w:p>
            <w:r/>
            <w:r>
              <w:rPr>
                <w:rFonts w:ascii="Times New Roman" w:hAnsi="Times New Roman"/>
                <w:b w:val="0"/>
                <w:i w:val="0"/>
                <w:sz w:val="18"/>
              </w:rPr>
              <w:t>middle cerebral artery occlusion</w:t>
            </w:r>
          </w:p>
        </w:tc>
        <w:tc>
          <w:tcPr>
            <w:tcW w:type="dxa" w:w="3008"/>
          </w:tcPr>
          <w:p>
            <w:r/>
            <w:r>
              <w:rPr>
                <w:rFonts w:ascii="Times New Roman" w:hAnsi="Times New Roman"/>
                <w:b w:val="0"/>
                <w:i w:val="0"/>
                <w:sz w:val="18"/>
              </w:rPr>
              <w:t>mouse stroke model</w:t>
            </w:r>
          </w:p>
        </w:tc>
      </w:tr>
      <w:tr>
        <w:tc>
          <w:tcPr>
            <w:tcW w:type="dxa" w:w="3010"/>
          </w:tcPr>
          <w:p>
            <w:r/>
            <w:r>
              <w:rPr>
                <w:rFonts w:ascii="Times New Roman" w:hAnsi="Times New Roman"/>
                <w:b w:val="0"/>
                <w:i w:val="0"/>
                <w:sz w:val="18"/>
              </w:rPr>
              <w:t>pseudotime</w:t>
            </w:r>
          </w:p>
        </w:tc>
        <w:tc>
          <w:tcPr>
            <w:tcW w:type="dxa" w:w="3008"/>
          </w:tcPr>
          <w:p>
            <w:r/>
            <w:r>
              <w:rPr>
                <w:rFonts w:ascii="Times New Roman" w:hAnsi="Times New Roman"/>
                <w:b w:val="0"/>
                <w:i w:val="0"/>
                <w:sz w:val="18"/>
              </w:rPr>
              <w:t>continuous trajectory (BEAM; Barry 2022)</w:t>
            </w:r>
          </w:p>
        </w:tc>
        <w:tc>
          <w:tcPr>
            <w:tcW w:type="dxa" w:w="3008"/>
          </w:tcPr>
          <w:p>
            <w:r/>
            <w:r>
              <w:rPr>
                <w:rFonts w:ascii="Times New Roman" w:hAnsi="Times New Roman"/>
                <w:b w:val="0"/>
                <w:i w:val="0"/>
                <w:sz w:val="18"/>
              </w:rPr>
              <w:t>note: not velocity</w:t>
            </w:r>
          </w:p>
        </w:tc>
      </w:tr>
      <w:tr>
        <w:tc>
          <w:tcPr>
            <w:tcW w:type="dxa" w:w="3010"/>
          </w:tcPr>
          <w:p>
            <w:r/>
            <w:r>
              <w:rPr>
                <w:rFonts w:ascii="Times New Roman" w:hAnsi="Times New Roman"/>
                <w:b w:val="0"/>
                <w:i w:val="0"/>
                <w:sz w:val="18"/>
              </w:rPr>
              <w:t>A+C mode</w:t>
            </w:r>
          </w:p>
        </w:tc>
        <w:tc>
          <w:tcPr>
            <w:tcW w:type="dxa" w:w="3008"/>
          </w:tcPr>
          <w:p>
            <w:r/>
            <w:r>
              <w:rPr>
                <w:rFonts w:ascii="Times New Roman" w:hAnsi="Times New Roman"/>
                <w:b w:val="0"/>
                <w:i w:val="0"/>
                <w:sz w:val="18"/>
              </w:rPr>
              <w:t>cross-modality analysis: A=SigCom LINCS signature-match, C=Replogle K562 sc-CRISPR regulon-response</w:t>
            </w:r>
          </w:p>
        </w:tc>
        <w:tc>
          <w:tcPr>
            <w:tcW w:type="dxa" w:w="3008"/>
          </w:tcPr>
          <w:p>
            <w:r/>
            <w:r>
              <w:rPr>
                <w:rFonts w:ascii="Times New Roman" w:hAnsi="Times New Roman"/>
                <w:b w:val="0"/>
                <w:i w:val="0"/>
                <w:sz w:val="18"/>
              </w:rPr>
              <w:t>define in 3.8</w:t>
            </w:r>
          </w:p>
        </w:tc>
      </w:tr>
      <w:tr>
        <w:tc>
          <w:tcPr>
            <w:tcW w:type="dxa" w:w="3010"/>
          </w:tcPr>
          <w:p>
            <w:r/>
            <w:r>
              <w:rPr>
                <w:rFonts w:ascii="Times New Roman" w:hAnsi="Times New Roman"/>
                <w:b w:val="0"/>
                <w:i w:val="0"/>
                <w:sz w:val="18"/>
              </w:rPr>
              <w:t>L1–L5</w:t>
            </w:r>
          </w:p>
        </w:tc>
        <w:tc>
          <w:tcPr>
            <w:tcW w:type="dxa" w:w="3008"/>
          </w:tcPr>
          <w:p>
            <w:r/>
            <w:r>
              <w:rPr>
                <w:rFonts w:ascii="Times New Roman" w:hAnsi="Times New Roman"/>
                <w:b w:val="0"/>
                <w:i w:val="0"/>
                <w:sz w:val="18"/>
              </w:rPr>
              <w:t>five-level evidence ladder</w:t>
            </w:r>
          </w:p>
        </w:tc>
        <w:tc>
          <w:tcPr>
            <w:tcW w:type="dxa" w:w="3008"/>
          </w:tcPr>
          <w:p>
            <w:r/>
            <w:r>
              <w:rPr>
                <w:rFonts w:ascii="Times New Roman" w:hAnsi="Times New Roman"/>
                <w:b w:val="0"/>
                <w:i w:val="0"/>
                <w:sz w:val="18"/>
              </w:rPr>
              <w:t>Table 1</w:t>
            </w:r>
          </w:p>
        </w:tc>
      </w:tr>
      <w:tr>
        <w:tc>
          <w:tcPr>
            <w:tcW w:type="dxa" w:w="3010"/>
          </w:tcPr>
          <w:p>
            <w:r/>
            <w:r>
              <w:rPr>
                <w:rFonts w:ascii="Times New Roman" w:hAnsi="Times New Roman"/>
                <w:b w:val="0"/>
                <w:i w:val="0"/>
                <w:sz w:val="18"/>
              </w:rPr>
              <w:t>emp p</w:t>
            </w:r>
          </w:p>
        </w:tc>
        <w:tc>
          <w:tcPr>
            <w:tcW w:type="dxa" w:w="3008"/>
          </w:tcPr>
          <w:p>
            <w:r/>
            <w:r>
              <w:rPr>
                <w:rFonts w:ascii="Times New Roman" w:hAnsi="Times New Roman"/>
                <w:b w:val="0"/>
                <w:i w:val="0"/>
                <w:sz w:val="18"/>
              </w:rPr>
              <w:t>empirical permutation p-value</w:t>
            </w:r>
          </w:p>
        </w:tc>
        <w:tc>
          <w:tcPr>
            <w:tcW w:type="dxa" w:w="3008"/>
          </w:tcPr>
          <w:p>
            <w:r/>
            <w:r>
              <w:rPr>
                <w:rFonts w:ascii="Times New Roman" w:hAnsi="Times New Roman"/>
                <w:b w:val="0"/>
                <w:i w:val="0"/>
                <w:sz w:val="18"/>
              </w:rPr>
              <w:t>compute over n_perm million</w:t>
            </w:r>
          </w:p>
        </w:tc>
      </w:tr>
    </w:tbl>
    <w:p/>
    <w:p>
      <w:pPr>
        <w:pStyle w:val="Heading1"/>
      </w:pPr>
      <w:r>
        <w:rPr>
          <w:rFonts w:ascii="Times New Roman" w:hAnsi="Times New Roman"/>
          <w:b/>
          <w:i w:val="0"/>
          <w:sz w:val="28"/>
        </w:rPr>
        <w:t>Introduction</w:t>
      </w:r>
    </w:p>
    <w:p>
      <w:r>
        <w:rPr>
          <w:rFonts w:ascii="Times New Roman" w:hAnsi="Times New Roman"/>
          <w:b w:val="0"/>
          <w:i w:val="0"/>
          <w:sz w:val="22"/>
        </w:rPr>
        <w:t xml:space="preserve">Ischemic stroke triggers a complex, temporally orchestrated cascade of molecular events, from acute excitotoxicity and neuroinflammation through subacute repair initiation to chronic remodelling </w:t>
      </w:r>
      <w:r>
        <w:rPr>
          <w:rFonts w:ascii="Times New Roman" w:hAnsi="Times New Roman"/>
          <w:b w:val="0"/>
          <w:i w:val="0"/>
          <w:sz w:val="22"/>
          <w:vertAlign w:val="superscript"/>
        </w:rPr>
        <w:t>1, 2</w:t>
      </w:r>
      <w:r>
        <w:rPr>
          <w:rFonts w:ascii="Times New Roman" w:hAnsi="Times New Roman"/>
          <w:b w:val="0"/>
          <w:i w:val="0"/>
          <w:sz w:val="22"/>
        </w:rPr>
        <w:t xml:space="preserve">. Single-cell transcriptomics has begun to resolve the cell types and gene programs that drive each phase </w:t>
      </w:r>
      <w:r>
        <w:rPr>
          <w:rFonts w:ascii="Times New Roman" w:hAnsi="Times New Roman"/>
          <w:b w:val="0"/>
          <w:i w:val="0"/>
          <w:sz w:val="22"/>
          <w:vertAlign w:val="superscript"/>
        </w:rPr>
        <w:t>3, 4</w:t>
      </w:r>
      <w:r>
        <w:rPr>
          <w:rFonts w:ascii="Times New Roman" w:hAnsi="Times New Roman"/>
          <w:b w:val="0"/>
          <w:i w:val="0"/>
          <w:sz w:val="22"/>
        </w:rPr>
        <w:t xml:space="preserve">, yet the </w:t>
      </w:r>
      <w:r>
        <w:rPr>
          <w:rFonts w:ascii="Times New Roman" w:hAnsi="Times New Roman"/>
          <w:b w:val="0"/>
          <w:i/>
          <w:sz w:val="22"/>
        </w:rPr>
        <w:t>regulatory logic</w:t>
      </w:r>
      <w:r>
        <w:rPr>
          <w:rFonts w:ascii="Times New Roman" w:hAnsi="Times New Roman"/>
          <w:b w:val="0"/>
          <w:i w:val="0"/>
          <w:sz w:val="22"/>
        </w:rPr>
        <w:t xml:space="preserve"> that couples transcription factors (TFs) to their target genes across time remains poorly charted. Knowing which TF→target connections strengthen or weaken over the stroke time course, </w:t>
      </w:r>
      <w:r>
        <w:rPr>
          <w:rFonts w:ascii="Times New Roman" w:hAnsi="Times New Roman"/>
          <w:b w:val="0"/>
          <w:i/>
          <w:sz w:val="22"/>
        </w:rPr>
        <w:t>edge-level rewiring</w:t>
      </w:r>
      <w:r>
        <w:rPr>
          <w:rFonts w:ascii="Times New Roman" w:hAnsi="Times New Roman"/>
          <w:b w:val="0"/>
          <w:i w:val="0"/>
          <w:sz w:val="22"/>
        </w:rPr>
        <w:t>, is necessary to understand how repair is coordinated and why it eventually fails in some patients.</w:t>
      </w:r>
    </w:p>
    <w:p>
      <w:r>
        <w:rPr>
          <w:rFonts w:ascii="Times New Roman" w:hAnsi="Times New Roman"/>
          <w:b w:val="0"/>
          <w:i w:val="0"/>
          <w:sz w:val="22"/>
        </w:rPr>
        <w:t xml:space="preserve">Several computational frameworks have addressed related questions. </w:t>
      </w:r>
      <w:r>
        <w:rPr>
          <w:rFonts w:ascii="Times New Roman" w:hAnsi="Times New Roman"/>
          <w:b/>
          <w:i w:val="0"/>
          <w:sz w:val="22"/>
        </w:rPr>
        <w:t>CellOracle</w:t>
      </w:r>
      <w:r>
        <w:rPr>
          <w:rFonts w:ascii="Times New Roman" w:hAnsi="Times New Roman"/>
          <w:b w:val="0"/>
          <w:i w:val="0"/>
          <w:sz w:val="22"/>
        </w:rPr>
        <w:t xml:space="preserve"> </w:t>
      </w:r>
      <w:r>
        <w:rPr>
          <w:rFonts w:ascii="Times New Roman" w:hAnsi="Times New Roman"/>
          <w:b w:val="0"/>
          <w:i w:val="0"/>
          <w:sz w:val="22"/>
          <w:vertAlign w:val="superscript"/>
        </w:rPr>
        <w:t>5</w:t>
      </w:r>
      <w:r>
        <w:rPr>
          <w:rFonts w:ascii="Times New Roman" w:hAnsi="Times New Roman"/>
          <w:b w:val="0"/>
          <w:i w:val="0"/>
          <w:sz w:val="22"/>
        </w:rPr>
        <w:t xml:space="preserve"> uses an existing GRN and perturbs TF expression in silico to predict downstream transcriptomic shifts; </w:t>
      </w:r>
      <w:r>
        <w:rPr>
          <w:rFonts w:ascii="Times New Roman" w:hAnsi="Times New Roman"/>
          <w:b/>
          <w:i w:val="0"/>
          <w:sz w:val="22"/>
        </w:rPr>
        <w:t>SCENIC</w:t>
      </w:r>
      <w:r>
        <w:rPr>
          <w:rFonts w:ascii="Times New Roman" w:hAnsi="Times New Roman"/>
          <w:b w:val="0"/>
          <w:i w:val="0"/>
          <w:sz w:val="22"/>
        </w:rPr>
        <w:t xml:space="preserve"> and </w:t>
      </w:r>
      <w:r>
        <w:rPr>
          <w:rFonts w:ascii="Times New Roman" w:hAnsi="Times New Roman"/>
          <w:b/>
          <w:i w:val="0"/>
          <w:sz w:val="22"/>
        </w:rPr>
        <w:t>SCENIC+</w:t>
      </w:r>
      <w:r>
        <w:rPr>
          <w:rFonts w:ascii="Times New Roman" w:hAnsi="Times New Roman"/>
          <w:b w:val="0"/>
          <w:i w:val="0"/>
          <w:sz w:val="22"/>
        </w:rPr>
        <w:t xml:space="preserve"> </w:t>
      </w:r>
      <w:r>
        <w:rPr>
          <w:rFonts w:ascii="Times New Roman" w:hAnsi="Times New Roman"/>
          <w:b w:val="0"/>
          <w:i w:val="0"/>
          <w:sz w:val="22"/>
          <w:vertAlign w:val="superscript"/>
        </w:rPr>
        <w:t>6, 7</w:t>
      </w:r>
      <w:r>
        <w:rPr>
          <w:rFonts w:ascii="Times New Roman" w:hAnsi="Times New Roman"/>
          <w:b w:val="0"/>
          <w:i w:val="0"/>
          <w:sz w:val="22"/>
        </w:rPr>
        <w:t xml:space="preserve"> infer regulon activity from co-expression; </w:t>
      </w:r>
      <w:r>
        <w:rPr>
          <w:rFonts w:ascii="Times New Roman" w:hAnsi="Times New Roman"/>
          <w:b/>
          <w:i w:val="0"/>
          <w:sz w:val="22"/>
        </w:rPr>
        <w:t>NicheNet</w:t>
      </w:r>
      <w:r>
        <w:rPr>
          <w:rFonts w:ascii="Times New Roman" w:hAnsi="Times New Roman"/>
          <w:b w:val="0"/>
          <w:i w:val="0"/>
          <w:sz w:val="22"/>
        </w:rPr>
        <w:t xml:space="preserve"> </w:t>
      </w:r>
      <w:r>
        <w:rPr>
          <w:rFonts w:ascii="Times New Roman" w:hAnsi="Times New Roman"/>
          <w:b w:val="0"/>
          <w:i w:val="0"/>
          <w:sz w:val="22"/>
          <w:vertAlign w:val="superscript"/>
        </w:rPr>
        <w:t>8</w:t>
      </w:r>
      <w:r>
        <w:rPr>
          <w:rFonts w:ascii="Times New Roman" w:hAnsi="Times New Roman"/>
          <w:b w:val="0"/>
          <w:i w:val="0"/>
          <w:sz w:val="22"/>
        </w:rPr>
        <w:t xml:space="preserve"> prioritises ligand–receptor links that drive target-gene changes; and </w:t>
      </w:r>
      <w:r>
        <w:rPr>
          <w:rFonts w:ascii="Times New Roman" w:hAnsi="Times New Roman"/>
          <w:b/>
          <w:i w:val="0"/>
          <w:sz w:val="22"/>
        </w:rPr>
        <w:t>GEARS</w:t>
      </w:r>
      <w:r>
        <w:rPr>
          <w:rFonts w:ascii="Times New Roman" w:hAnsi="Times New Roman"/>
          <w:b w:val="0"/>
          <w:i w:val="0"/>
          <w:sz w:val="22"/>
        </w:rPr>
        <w:t xml:space="preserve"> </w:t>
      </w:r>
      <w:r>
        <w:rPr>
          <w:rFonts w:ascii="Times New Roman" w:hAnsi="Times New Roman"/>
          <w:b w:val="0"/>
          <w:i w:val="0"/>
          <w:sz w:val="22"/>
          <w:vertAlign w:val="superscript"/>
        </w:rPr>
        <w:t>9</w:t>
      </w:r>
      <w:r>
        <w:rPr>
          <w:rFonts w:ascii="Times New Roman" w:hAnsi="Times New Roman"/>
          <w:b w:val="0"/>
          <w:i w:val="0"/>
          <w:sz w:val="22"/>
        </w:rPr>
        <w:t xml:space="preserve"> uses a graph neural network (GNN) to predict Perturb-seq outcomes. This accuracy-first lineage extends through perturbation-response predictors such as scGen </w:t>
      </w:r>
      <w:r>
        <w:rPr>
          <w:rFonts w:ascii="Times New Roman" w:hAnsi="Times New Roman"/>
          <w:b w:val="0"/>
          <w:i w:val="0"/>
          <w:sz w:val="22"/>
          <w:vertAlign w:val="superscript"/>
        </w:rPr>
        <w:t>39</w:t>
      </w:r>
      <w:r>
        <w:rPr>
          <w:rFonts w:ascii="Times New Roman" w:hAnsi="Times New Roman"/>
          <w:b w:val="0"/>
          <w:i w:val="0"/>
          <w:sz w:val="22"/>
        </w:rPr>
        <w:t xml:space="preserve">, PerturbNet </w:t>
      </w:r>
      <w:r>
        <w:rPr>
          <w:rFonts w:ascii="Times New Roman" w:hAnsi="Times New Roman"/>
          <w:b w:val="0"/>
          <w:i w:val="0"/>
          <w:sz w:val="22"/>
          <w:vertAlign w:val="superscript"/>
        </w:rPr>
        <w:t>40</w:t>
      </w:r>
      <w:r>
        <w:rPr>
          <w:rFonts w:ascii="Times New Roman" w:hAnsi="Times New Roman"/>
          <w:b w:val="0"/>
          <w:i w:val="0"/>
          <w:sz w:val="22"/>
        </w:rPr>
        <w:t xml:space="preserve">, the scPerturb compendium </w:t>
      </w:r>
      <w:r>
        <w:rPr>
          <w:rFonts w:ascii="Times New Roman" w:hAnsi="Times New Roman"/>
          <w:b w:val="0"/>
          <w:i w:val="0"/>
          <w:sz w:val="22"/>
          <w:vertAlign w:val="superscript"/>
        </w:rPr>
        <w:t>41</w:t>
      </w:r>
      <w:r>
        <w:rPr>
          <w:rFonts w:ascii="Times New Roman" w:hAnsi="Times New Roman"/>
          <w:b w:val="0"/>
          <w:i w:val="0"/>
          <w:sz w:val="22"/>
        </w:rPr>
        <w:t xml:space="preserve">, PerturbExpress </w:t>
      </w:r>
      <w:r>
        <w:rPr>
          <w:rFonts w:ascii="Times New Roman" w:hAnsi="Times New Roman"/>
          <w:b w:val="0"/>
          <w:i w:val="0"/>
          <w:sz w:val="22"/>
          <w:vertAlign w:val="superscript"/>
        </w:rPr>
        <w:t>42</w:t>
      </w:r>
      <w:r>
        <w:rPr>
          <w:rFonts w:ascii="Times New Roman" w:hAnsi="Times New Roman"/>
          <w:b w:val="0"/>
          <w:i w:val="0"/>
          <w:sz w:val="22"/>
        </w:rPr>
        <w:t xml:space="preserve">, and recent comprehensive benchmarks of the field </w:t>
      </w:r>
      <w:r>
        <w:rPr>
          <w:rFonts w:ascii="Times New Roman" w:hAnsi="Times New Roman"/>
          <w:b w:val="0"/>
          <w:i w:val="0"/>
          <w:sz w:val="22"/>
          <w:vertAlign w:val="superscript"/>
        </w:rPr>
        <w:t>49</w:t>
      </w:r>
      <w:r>
        <w:rPr>
          <w:rFonts w:ascii="Times New Roman" w:hAnsi="Times New Roman"/>
          <w:b w:val="0"/>
          <w:i w:val="0"/>
          <w:sz w:val="22"/>
        </w:rPr>
        <w:t xml:space="preserve">, all evaluated primarily by how accurately they predict Perturb-seq outcomes. These methods have advanced the field, but each has a scope limitation for temporal rewiring: they either operate at a single time point, separate GRN rewiring from cell–cell communication, or compress the perturbation outcome to a single accuracy score without revealing </w:t>
      </w:r>
      <w:r>
        <w:rPr>
          <w:rFonts w:ascii="Times New Roman" w:hAnsi="Times New Roman"/>
          <w:b w:val="0"/>
          <w:i/>
          <w:sz w:val="22"/>
        </w:rPr>
        <w:t>which</w:t>
      </w:r>
      <w:r>
        <w:rPr>
          <w:rFonts w:ascii="Times New Roman" w:hAnsi="Times New Roman"/>
          <w:b w:val="0"/>
          <w:i w:val="0"/>
          <w:sz w:val="22"/>
        </w:rPr>
        <w:t xml:space="preserve"> edges changed and </w:t>
      </w:r>
      <w:r>
        <w:rPr>
          <w:rFonts w:ascii="Times New Roman" w:hAnsi="Times New Roman"/>
          <w:b w:val="0"/>
          <w:i/>
          <w:sz w:val="22"/>
        </w:rPr>
        <w:t>why</w:t>
      </w:r>
      <w:r>
        <w:rPr>
          <w:rFonts w:ascii="Times New Roman" w:hAnsi="Times New Roman"/>
          <w:b w:val="0"/>
          <w:i w:val="0"/>
          <w:sz w:val="22"/>
        </w:rPr>
        <w:t>.</w:t>
      </w:r>
    </w:p>
    <w:p>
      <w:r>
        <w:rPr>
          <w:rFonts w:ascii="Times New Roman" w:hAnsi="Times New Roman"/>
          <w:b w:val="0"/>
          <w:i w:val="0"/>
          <w:sz w:val="22"/>
        </w:rPr>
        <w:t xml:space="preserve">Recent large-scale foundation models, </w:t>
      </w:r>
      <w:r>
        <w:rPr>
          <w:rFonts w:ascii="Times New Roman" w:hAnsi="Times New Roman"/>
          <w:b/>
          <w:i w:val="0"/>
          <w:sz w:val="22"/>
        </w:rPr>
        <w:t>scGPT</w:t>
      </w:r>
      <w:r>
        <w:rPr>
          <w:rFonts w:ascii="Times New Roman" w:hAnsi="Times New Roman"/>
          <w:b w:val="0"/>
          <w:i w:val="0"/>
          <w:sz w:val="22"/>
        </w:rPr>
        <w:t xml:space="preserve"> </w:t>
      </w:r>
      <w:r>
        <w:rPr>
          <w:rFonts w:ascii="Times New Roman" w:hAnsi="Times New Roman"/>
          <w:b w:val="0"/>
          <w:i w:val="0"/>
          <w:sz w:val="22"/>
          <w:vertAlign w:val="superscript"/>
        </w:rPr>
        <w:t>10</w:t>
      </w:r>
      <w:r>
        <w:rPr>
          <w:rFonts w:ascii="Times New Roman" w:hAnsi="Times New Roman"/>
          <w:b w:val="0"/>
          <w:i w:val="0"/>
          <w:sz w:val="22"/>
        </w:rPr>
        <w:t xml:space="preserve">, </w:t>
      </w:r>
      <w:r>
        <w:rPr>
          <w:rFonts w:ascii="Times New Roman" w:hAnsi="Times New Roman"/>
          <w:b/>
          <w:i w:val="0"/>
          <w:sz w:val="22"/>
        </w:rPr>
        <w:t>scFoundation</w:t>
      </w:r>
      <w:r>
        <w:rPr>
          <w:rFonts w:ascii="Times New Roman" w:hAnsi="Times New Roman"/>
          <w:b w:val="0"/>
          <w:i w:val="0"/>
          <w:sz w:val="22"/>
        </w:rPr>
        <w:t xml:space="preserve"> </w:t>
      </w:r>
      <w:r>
        <w:rPr>
          <w:rFonts w:ascii="Times New Roman" w:hAnsi="Times New Roman"/>
          <w:b w:val="0"/>
          <w:i w:val="0"/>
          <w:sz w:val="22"/>
          <w:vertAlign w:val="superscript"/>
        </w:rPr>
        <w:t>11</w:t>
      </w:r>
      <w:r>
        <w:rPr>
          <w:rFonts w:ascii="Times New Roman" w:hAnsi="Times New Roman"/>
          <w:b w:val="0"/>
          <w:i w:val="0"/>
          <w:sz w:val="22"/>
        </w:rPr>
        <w:t xml:space="preserve">, achieve state-of-the-art cell-state prediction by learning universal representations from millions of cells. Yet their interpretability remains limited: the regulatory graph is either absent or implicitly encoded in attention weights that are not straightforward to analyse as directed, causal rewiring. Conversely, temporal methods such as </w:t>
      </w:r>
      <w:r>
        <w:rPr>
          <w:rFonts w:ascii="Times New Roman" w:hAnsi="Times New Roman"/>
          <w:b/>
          <w:i w:val="0"/>
          <w:sz w:val="22"/>
        </w:rPr>
        <w:t>RegVelo</w:t>
      </w:r>
      <w:r>
        <w:rPr>
          <w:rFonts w:ascii="Times New Roman" w:hAnsi="Times New Roman"/>
          <w:b w:val="0"/>
          <w:i w:val="0"/>
          <w:sz w:val="22"/>
        </w:rPr>
        <w:t xml:space="preserve"> </w:t>
      </w:r>
      <w:r>
        <w:rPr>
          <w:rFonts w:ascii="Times New Roman" w:hAnsi="Times New Roman"/>
          <w:b w:val="0"/>
          <w:i w:val="0"/>
          <w:sz w:val="22"/>
          <w:vertAlign w:val="superscript"/>
        </w:rPr>
        <w:t>12</w:t>
      </w:r>
      <w:r>
        <w:rPr>
          <w:rFonts w:ascii="Times New Roman" w:hAnsi="Times New Roman"/>
          <w:b w:val="0"/>
          <w:i w:val="0"/>
          <w:sz w:val="22"/>
        </w:rPr>
        <w:t xml:space="preserve">, </w:t>
      </w:r>
      <w:r>
        <w:rPr>
          <w:rFonts w:ascii="Times New Roman" w:hAnsi="Times New Roman"/>
          <w:b/>
          <w:i w:val="0"/>
          <w:sz w:val="22"/>
        </w:rPr>
        <w:t>TemporalVAE</w:t>
      </w:r>
      <w:r>
        <w:rPr>
          <w:rFonts w:ascii="Times New Roman" w:hAnsi="Times New Roman"/>
          <w:b w:val="0"/>
          <w:i w:val="0"/>
          <w:sz w:val="22"/>
        </w:rPr>
        <w:t xml:space="preserve"> </w:t>
      </w:r>
      <w:r>
        <w:rPr>
          <w:rFonts w:ascii="Times New Roman" w:hAnsi="Times New Roman"/>
          <w:b w:val="0"/>
          <w:i w:val="0"/>
          <w:sz w:val="22"/>
          <w:vertAlign w:val="superscript"/>
        </w:rPr>
        <w:t>13</w:t>
      </w:r>
      <w:r>
        <w:rPr>
          <w:rFonts w:ascii="Times New Roman" w:hAnsi="Times New Roman"/>
          <w:b w:val="0"/>
          <w:i w:val="0"/>
          <w:sz w:val="22"/>
        </w:rPr>
        <w:t xml:space="preserve">, and </w:t>
      </w:r>
      <w:r>
        <w:rPr>
          <w:rFonts w:ascii="Times New Roman" w:hAnsi="Times New Roman"/>
          <w:b/>
          <w:i w:val="0"/>
          <w:sz w:val="22"/>
        </w:rPr>
        <w:t>RENGE</w:t>
      </w:r>
      <w:r>
        <w:rPr>
          <w:rFonts w:ascii="Times New Roman" w:hAnsi="Times New Roman"/>
          <w:b w:val="0"/>
          <w:i w:val="0"/>
          <w:sz w:val="22"/>
        </w:rPr>
        <w:t xml:space="preserve"> </w:t>
      </w:r>
      <w:r>
        <w:rPr>
          <w:rFonts w:ascii="Times New Roman" w:hAnsi="Times New Roman"/>
          <w:b w:val="0"/>
          <w:i w:val="0"/>
          <w:sz w:val="22"/>
          <w:vertAlign w:val="superscript"/>
        </w:rPr>
        <w:t>14</w:t>
      </w:r>
      <w:r>
        <w:rPr>
          <w:rFonts w:ascii="Times New Roman" w:hAnsi="Times New Roman"/>
          <w:b w:val="0"/>
          <w:i w:val="0"/>
          <w:sz w:val="22"/>
        </w:rPr>
        <w:t xml:space="preserve"> model dynamic gene regulation but focus on velocity or trajectory inference rather than edge-level causal-graph rewiring. The gap we identify is therefore not a lack of predictive models but a lack of </w:t>
      </w:r>
      <w:r>
        <w:rPr>
          <w:rFonts w:ascii="Times New Roman" w:hAnsi="Times New Roman"/>
          <w:b w:val="0"/>
          <w:i/>
          <w:sz w:val="22"/>
        </w:rPr>
        <w:t>interpretable, edge-level temporal GRN rewiring</w:t>
      </w:r>
      <w:r>
        <w:rPr>
          <w:rFonts w:ascii="Times New Roman" w:hAnsi="Times New Roman"/>
          <w:b w:val="0"/>
          <w:i w:val="0"/>
          <w:sz w:val="22"/>
        </w:rPr>
        <w:t xml:space="preserve"> that integrates TF–target coupling with cell–cell communication and generates testable, translatable outputs.</w:t>
      </w:r>
    </w:p>
    <w:p>
      <w:r>
        <w:rPr>
          <w:rFonts w:ascii="Times New Roman" w:hAnsi="Times New Roman"/>
          <w:b w:val="0"/>
          <w:i w:val="0"/>
          <w:sz w:val="22"/>
        </w:rPr>
        <w:t xml:space="preserve">Graph neural networks (GNNs) </w:t>
      </w:r>
      <w:r>
        <w:rPr>
          <w:rFonts w:ascii="Times New Roman" w:hAnsi="Times New Roman"/>
          <w:b w:val="0"/>
          <w:i w:val="0"/>
          <w:sz w:val="22"/>
          <w:vertAlign w:val="superscript"/>
        </w:rPr>
        <w:t>15, 16, 17</w:t>
      </w:r>
      <w:r>
        <w:rPr>
          <w:rFonts w:ascii="Times New Roman" w:hAnsi="Times New Roman"/>
          <w:b w:val="0"/>
          <w:i w:val="0"/>
          <w:sz w:val="22"/>
        </w:rPr>
        <w:t xml:space="preserve"> are a natural choice for modelling perturbations on a graph substrate: they propagate a perturbation signal along known edges and produce a new latent embedding </w:t>
      </w:r>
      <w:r>
        <w:rPr>
          <w:rFonts w:ascii="Times New Roman" w:hAnsi="Times New Roman"/>
          <w:b w:val="0"/>
          <w:i w:val="0"/>
          <w:sz w:val="22"/>
          <w:vertAlign w:val="superscript"/>
        </w:rPr>
        <w:t>18</w:t>
      </w:r>
      <w:r>
        <w:rPr>
          <w:rFonts w:ascii="Times New Roman" w:hAnsi="Times New Roman"/>
          <w:b w:val="0"/>
          <w:i w:val="0"/>
          <w:sz w:val="22"/>
        </w:rPr>
        <w:t xml:space="preserve">. This capacity carries a caveat that is rarely examined. GNNs that operate on a fixed, prior-knowledge GRN can generate edge-level rewiring summaries, how each TF→target coupling changes across a biological transition, </w:t>
      </w:r>
      <w:r>
        <w:rPr>
          <w:rFonts w:ascii="Times New Roman" w:hAnsi="Times New Roman"/>
          <w:b/>
          <w:i w:val="0"/>
          <w:sz w:val="22"/>
        </w:rPr>
        <w:t>only if the graph structure is treated as causal and the readout is interpretable by design</w:t>
      </w:r>
      <w:r>
        <w:rPr>
          <w:rFonts w:ascii="Times New Roman" w:hAnsi="Times New Roman"/>
          <w:b w:val="0"/>
          <w:i w:val="0"/>
          <w:sz w:val="22"/>
        </w:rPr>
        <w:t xml:space="preserve">. If the same GNN is evaluated solely by prediction accuracy, the interpretability advantage is invisible, and the method reverts to being a shallow perturbation predictor that cannot outperform a linear baseline operating on the same feature space </w:t>
      </w:r>
      <w:r>
        <w:rPr>
          <w:rFonts w:ascii="Times New Roman" w:hAnsi="Times New Roman"/>
          <w:b w:val="0"/>
          <w:i w:val="0"/>
          <w:sz w:val="22"/>
          <w:vertAlign w:val="superscript"/>
        </w:rPr>
        <w:t>19</w:t>
      </w:r>
      <w:r>
        <w:rPr>
          <w:rFonts w:ascii="Times New Roman" w:hAnsi="Times New Roman"/>
          <w:b w:val="0"/>
          <w:i w:val="0"/>
          <w:sz w:val="22"/>
        </w:rPr>
        <w:t xml:space="preserve">. </w:t>
      </w:r>
      <w:r>
        <w:rPr>
          <w:rFonts w:ascii="Times New Roman" w:hAnsi="Times New Roman"/>
          <w:b/>
          <w:i w:val="0"/>
          <w:sz w:val="22"/>
        </w:rPr>
        <w:t>We therefore disentangle two uses of GNNs for perturbation modelling: accuracy-oriented (predicting outcomes) and interpretability-oriented (revealing regulatory changes). TSC-GNN pursues the latter.</w:t>
      </w:r>
    </w:p>
    <w:p>
      <w:r>
        <w:rPr>
          <w:rFonts w:ascii="Times New Roman" w:hAnsi="Times New Roman"/>
          <w:b/>
          <w:i w:val="0"/>
          <w:sz w:val="22"/>
        </w:rPr>
        <w:t>TSC-GNN</w:t>
      </w:r>
      <w:r>
        <w:rPr>
          <w:rFonts w:ascii="Times New Roman" w:hAnsi="Times New Roman"/>
          <w:b w:val="0"/>
          <w:i w:val="0"/>
          <w:sz w:val="22"/>
        </w:rPr>
        <w:t xml:space="preserve"> is a temporal and cell-state-conditioned GNN framework built for interpretability rather than accuracy. Given a multi-timepoint, multi-condition scRNA-seq dataset and a literature-curated directed causal GRN (DoRothEA </w:t>
      </w:r>
      <w:r>
        <w:rPr>
          <w:rFonts w:ascii="Times New Roman" w:hAnsi="Times New Roman"/>
          <w:b w:val="0"/>
          <w:i w:val="0"/>
          <w:sz w:val="22"/>
          <w:vertAlign w:val="superscript"/>
        </w:rPr>
        <w:t>20</w:t>
      </w:r>
      <w:r>
        <w:rPr>
          <w:rFonts w:ascii="Times New Roman" w:hAnsi="Times New Roman"/>
          <w:b w:val="0"/>
          <w:i w:val="0"/>
          <w:sz w:val="22"/>
        </w:rPr>
        <w:t xml:space="preserve">), it (i) builds a time- and state-conditioned graph, (ii) propagates a virtual perturbation along this graph to obtain a rewired latent embedding, and (iii) reads out </w:t>
      </w:r>
      <w:r>
        <w:rPr>
          <w:rFonts w:ascii="Times New Roman" w:hAnsi="Times New Roman"/>
          <w:b w:val="0"/>
          <w:i/>
          <w:sz w:val="22"/>
        </w:rPr>
        <w:t>edge-level rewiring</w:t>
      </w:r>
      <w:r>
        <w:rPr>
          <w:rFonts w:ascii="Times New Roman" w:hAnsi="Times New Roman"/>
          <w:b w:val="0"/>
          <w:i w:val="0"/>
          <w:sz w:val="22"/>
        </w:rPr>
        <w:t xml:space="preserve"> (ΔW) with permutation significance, master-regulator ranking, cell–cell communication remodelling via CellChat </w:t>
      </w:r>
      <w:r>
        <w:rPr>
          <w:rFonts w:ascii="Times New Roman" w:hAnsi="Times New Roman"/>
          <w:b w:val="0"/>
          <w:i w:val="0"/>
          <w:sz w:val="22"/>
          <w:vertAlign w:val="superscript"/>
        </w:rPr>
        <w:t>21</w:t>
      </w:r>
      <w:r>
        <w:rPr>
          <w:rFonts w:ascii="Times New Roman" w:hAnsi="Times New Roman"/>
          <w:b w:val="0"/>
          <w:i w:val="0"/>
          <w:sz w:val="22"/>
        </w:rPr>
        <w:t xml:space="preserve">, and a drug-repurposing map via LINCS L1000 </w:t>
      </w:r>
      <w:r>
        <w:rPr>
          <w:rFonts w:ascii="Times New Roman" w:hAnsi="Times New Roman"/>
          <w:b w:val="0"/>
          <w:i w:val="0"/>
          <w:sz w:val="22"/>
          <w:vertAlign w:val="superscript"/>
        </w:rPr>
        <w:t>22</w:t>
      </w:r>
      <w:r>
        <w:rPr>
          <w:rFonts w:ascii="Times New Roman" w:hAnsi="Times New Roman"/>
          <w:b w:val="0"/>
          <w:i w:val="0"/>
          <w:sz w:val="22"/>
        </w:rPr>
        <w:t>. The framework is validated along a five-level evidence ladder (L1–L5, Table 1; a visual summary is provided in Fig. 7) that escalates from cross-cohort reproducibility to independent public-perturbation causal support.</w:t>
      </w:r>
    </w:p>
    <w:p>
      <w:r>
        <w:rPr>
          <w:rFonts w:ascii="Times New Roman" w:hAnsi="Times New Roman"/>
          <w:b w:val="0"/>
          <w:i w:val="0"/>
          <w:sz w:val="22"/>
        </w:rPr>
        <w:t xml:space="preserve">Ischemic stroke is the proof-of-concept that exercises the framework, not as a biological discovery in its own right. Its role is to show that the recovered regulatory programs are coherent, reproducible, conserved across species, and directionally supported by independent public perturbation data. The central methodological contribution is that </w:t>
      </w:r>
      <w:r>
        <w:rPr>
          <w:rFonts w:ascii="Times New Roman" w:hAnsi="Times New Roman"/>
          <w:b w:val="0"/>
          <w:i/>
          <w:sz w:val="22"/>
        </w:rPr>
        <w:t>fixed causal graphs do not necessarily improve perturbation prediction accuracy, but they substantially improve the interpretability of temporal regulatory remodelling</w:t>
      </w:r>
      <w:r>
        <w:rPr>
          <w:rFonts w:ascii="Times New Roman" w:hAnsi="Times New Roman"/>
          <w:b w:val="0"/>
          <w:i w:val="0"/>
          <w:sz w:val="22"/>
        </w:rPr>
        <w:t>: an honest boundary reframing that benefits the field more than another incrementally more accurate predictor.</w:t>
      </w:r>
    </w:p>
    <w:p>
      <w:r>
        <w:rPr>
          <w:rFonts w:ascii="Times New Roman" w:hAnsi="Times New Roman"/>
          <w:b w:val="0"/>
          <w:i w:val="0"/>
          <w:sz w:val="22"/>
        </w:rPr>
        <w:t xml:space="preserve">To probe the recovered programs from more than one angle, we triangulate directional causal support across three independent public perturbation modalities (3.7–3.8): native-lineage bulk TF knockout (L5a), genome-wide L1000 overexpression/knockdown signatures (L5b), and a single-cell-resolution CRISPRi screen in an off-context cancer line (L5c). This multi-modal design, with the K562-internal positive control that brackets it, establishes that program-level causal support is </w:t>
      </w:r>
      <w:r>
        <w:rPr>
          <w:rFonts w:ascii="Times New Roman" w:hAnsi="Times New Roman"/>
          <w:b w:val="0"/>
          <w:i/>
          <w:sz w:val="22"/>
        </w:rPr>
        <w:t>context-gated</w:t>
      </w:r>
      <w:r>
        <w:rPr>
          <w:rFonts w:ascii="Times New Roman" w:hAnsi="Times New Roman"/>
          <w:b w:val="0"/>
          <w:i w:val="0"/>
          <w:sz w:val="22"/>
        </w:rPr>
        <w:t>, a finding that reframes what a re-analysis of public perturbation data can (and cannot) certify about a recovered GRN.</w:t>
      </w:r>
    </w:p>
    <w:p>
      <w:r>
        <w:drawing>
          <wp:inline xmlns:a="http://schemas.openxmlformats.org/drawingml/2006/main" xmlns:pic="http://schemas.openxmlformats.org/drawingml/2006/picture">
            <wp:extent cx="5040000" cy="3155919"/>
            <wp:docPr id="1" name="Picture 1"/>
            <wp:cNvGraphicFramePr>
              <a:graphicFrameLocks noChangeAspect="1"/>
            </wp:cNvGraphicFramePr>
            <a:graphic>
              <a:graphicData uri="http://schemas.openxmlformats.org/drawingml/2006/picture">
                <pic:pic>
                  <pic:nvPicPr>
                    <pic:cNvPr id="0" name="figure1_tsc_gnn_conceptual_framework_v4.png"/>
                    <pic:cNvPicPr/>
                  </pic:nvPicPr>
                  <pic:blipFill>
                    <a:blip r:embed="rId9"/>
                    <a:stretch>
                      <a:fillRect/>
                    </a:stretch>
                  </pic:blipFill>
                  <pic:spPr>
                    <a:xfrm>
                      <a:off x="0" y="0"/>
                      <a:ext cx="5040000" cy="3155919"/>
                    </a:xfrm>
                    <a:prstGeom prst="rect"/>
                  </pic:spPr>
                </pic:pic>
              </a:graphicData>
            </a:graphic>
          </wp:inline>
        </w:drawing>
      </w:r>
    </w:p>
    <w:p>
      <w:r>
        <w:rPr>
          <w:rFonts w:ascii="Times New Roman" w:hAnsi="Times New Roman"/>
          <w:b/>
          <w:i w:val="0"/>
          <w:sz w:val="22"/>
        </w:rPr>
        <w:t>Figure 1. An evidence-driven framework for recovery-oriented virtual perturbation.</w:t>
      </w:r>
      <w:r>
        <w:rPr>
          <w:rFonts w:ascii="Times New Roman" w:hAnsi="Times New Roman"/>
          <w:b w:val="0"/>
          <w:i w:val="0"/>
          <w:sz w:val="22"/>
        </w:rPr>
        <w:t xml:space="preserve"> TSC-GNN infers temporally rewired regulatory programs from state-conditioned transcriptional networks and interprets them through a hierarchical evidence framework spanning technical reproducibility (L1), biological recovery (L2), cross-species regulatory convergence (L3), translational hypothesis generation (L4), and context-gated directional causal support (L5). Together, these evidence layers build confidence in recovered regulatory programs while explicitly defining the scope and limitations of the framework.</w:t>
      </w:r>
    </w:p>
    <w:p>
      <w:pPr>
        <w:pStyle w:val="Heading1"/>
      </w:pPr>
      <w:r>
        <w:rPr>
          <w:rFonts w:ascii="Times New Roman" w:hAnsi="Times New Roman"/>
          <w:b/>
          <w:i w:val="0"/>
          <w:sz w:val="28"/>
        </w:rPr>
        <w:t>Methods</w:t>
      </w:r>
    </w:p>
    <w:p>
      <w:pPr>
        <w:pStyle w:val="Heading2"/>
      </w:pPr>
      <w:r>
        <w:rPr>
          <w:rFonts w:ascii="Times New Roman" w:hAnsi="Times New Roman"/>
          <w:b/>
          <w:i w:val="0"/>
          <w:sz w:val="24"/>
        </w:rPr>
        <w:t>2.1 Data sources</w:t>
      </w:r>
    </w:p>
    <w:p>
      <w:r>
        <w:rPr>
          <w:rFonts w:ascii="Times New Roman" w:hAnsi="Times New Roman"/>
          <w:b/>
          <w:i w:val="0"/>
          <w:sz w:val="22"/>
        </w:rPr>
        <w:t>Mouse ischemic-stroke single-cell transcriptomes.</w:t>
      </w:r>
      <w:r>
        <w:rPr>
          <w:rFonts w:ascii="Times New Roman" w:hAnsi="Times New Roman"/>
          <w:b w:val="0"/>
          <w:i w:val="0"/>
          <w:sz w:val="22"/>
        </w:rPr>
        <w:t xml:space="preserve"> We used two independently generated mouse MCAO scRNA-seq cohorts. </w:t>
      </w:r>
      <w:r>
        <w:rPr>
          <w:rFonts w:ascii="Times New Roman" w:hAnsi="Times New Roman"/>
          <w:b/>
          <w:i w:val="0"/>
          <w:sz w:val="22"/>
        </w:rPr>
        <w:t>Cohort 1, GSE174574</w:t>
      </w:r>
      <w:r>
        <w:rPr>
          <w:rFonts w:ascii="Times New Roman" w:hAnsi="Times New Roman"/>
          <w:b w:val="0"/>
          <w:i w:val="0"/>
          <w:sz w:val="22"/>
        </w:rPr>
        <w:t xml:space="preserve"> (Li et al., 2021 </w:t>
      </w:r>
      <w:r>
        <w:rPr>
          <w:rFonts w:ascii="Times New Roman" w:hAnsi="Times New Roman"/>
          <w:b w:val="0"/>
          <w:i w:val="0"/>
          <w:sz w:val="22"/>
          <w:vertAlign w:val="superscript"/>
        </w:rPr>
        <w:t>3</w:t>
      </w:r>
      <w:r>
        <w:rPr>
          <w:rFonts w:ascii="Times New Roman" w:hAnsi="Times New Roman"/>
          <w:b w:val="0"/>
          <w:i w:val="0"/>
          <w:sz w:val="22"/>
        </w:rPr>
        <w:t xml:space="preserve">): 3 MCAO (24 h) + 3 sham, 57,528 cells, with a BEAM pseudotime trajectory. </w:t>
      </w:r>
      <w:r>
        <w:rPr>
          <w:rFonts w:ascii="Times New Roman" w:hAnsi="Times New Roman"/>
          <w:b/>
          <w:i w:val="0"/>
          <w:sz w:val="22"/>
        </w:rPr>
        <w:t>Cohort 2, GSE225948</w:t>
      </w:r>
      <w:r>
        <w:rPr>
          <w:rFonts w:ascii="Times New Roman" w:hAnsi="Times New Roman"/>
          <w:b w:val="0"/>
          <w:i w:val="0"/>
          <w:sz w:val="22"/>
        </w:rPr>
        <w:t xml:space="preserve"> (Anrather et al., 2024 </w:t>
      </w:r>
      <w:r>
        <w:rPr>
          <w:rFonts w:ascii="Times New Roman" w:hAnsi="Times New Roman"/>
          <w:b w:val="0"/>
          <w:i w:val="0"/>
          <w:sz w:val="22"/>
          <w:vertAlign w:val="superscript"/>
        </w:rPr>
        <w:t>4</w:t>
      </w:r>
      <w:r>
        <w:rPr>
          <w:rFonts w:ascii="Times New Roman" w:hAnsi="Times New Roman"/>
          <w:b w:val="0"/>
          <w:i w:val="0"/>
          <w:sz w:val="22"/>
        </w:rPr>
        <w:t>): genuine two-timepoint post-stroke time course (2 d and 14 d, brain and blood). No single public scRNA-seq cohort covers all three stages; we assembled a 24 h → 2 d → 14 d axis spanning the acute → sub-acute peak → repair/remodelling phases by stitching cohort 1 (24 h + sham) with cohort 2 (2 d / 14 d). This is a limitation (4.3).</w:t>
      </w:r>
    </w:p>
    <w:p>
      <w:r>
        <w:rPr>
          <w:rFonts w:ascii="Times New Roman" w:hAnsi="Times New Roman"/>
          <w:b/>
          <w:i w:val="0"/>
          <w:sz w:val="22"/>
        </w:rPr>
        <w:t>Human stroke bulk transcriptome.</w:t>
      </w:r>
      <w:r>
        <w:rPr>
          <w:rFonts w:ascii="Times New Roman" w:hAnsi="Times New Roman"/>
          <w:b w:val="0"/>
          <w:i w:val="0"/>
          <w:sz w:val="22"/>
        </w:rPr>
        <w:t xml:space="preserve"> GSE16561 </w:t>
      </w:r>
      <w:r>
        <w:rPr>
          <w:rFonts w:ascii="Times New Roman" w:hAnsi="Times New Roman"/>
          <w:b w:val="0"/>
          <w:i w:val="0"/>
          <w:sz w:val="22"/>
          <w:vertAlign w:val="superscript"/>
        </w:rPr>
        <w:t>30</w:t>
      </w:r>
      <w:r>
        <w:rPr>
          <w:rFonts w:ascii="Times New Roman" w:hAnsi="Times New Roman"/>
          <w:b w:val="0"/>
          <w:i w:val="0"/>
          <w:sz w:val="22"/>
        </w:rPr>
        <w:t>: 39 stroke vs 24 controls, peripheral whole blood, Illumina HumanWG-6.</w:t>
      </w:r>
    </w:p>
    <w:p>
      <w:r>
        <w:rPr>
          <w:rFonts w:ascii="Times New Roman" w:hAnsi="Times New Roman"/>
          <w:b/>
          <w:i w:val="0"/>
          <w:sz w:val="22"/>
        </w:rPr>
        <w:t>Public TF-knockout data.</w:t>
      </w:r>
      <w:r>
        <w:rPr>
          <w:rFonts w:ascii="Times New Roman" w:hAnsi="Times New Roman"/>
          <w:b w:val="0"/>
          <w:i w:val="0"/>
          <w:sz w:val="22"/>
        </w:rPr>
        <w:t xml:space="preserve"> GSE269122 </w:t>
      </w:r>
      <w:r>
        <w:rPr>
          <w:rFonts w:ascii="Times New Roman" w:hAnsi="Times New Roman"/>
          <w:b w:val="0"/>
          <w:i w:val="0"/>
          <w:sz w:val="22"/>
          <w:vertAlign w:val="superscript"/>
        </w:rPr>
        <w:t>33</w:t>
      </w:r>
      <w:r>
        <w:rPr>
          <w:rFonts w:ascii="Times New Roman" w:hAnsi="Times New Roman"/>
          <w:b w:val="0"/>
          <w:i w:val="0"/>
          <w:sz w:val="22"/>
        </w:rPr>
        <w:t xml:space="preserve">: Sox10 conditional KO in oligodendrocytes (4 KO / 4 WT, corpus callosum). GSE273163 </w:t>
      </w:r>
      <w:r>
        <w:rPr>
          <w:rFonts w:ascii="Times New Roman" w:hAnsi="Times New Roman"/>
          <w:b w:val="0"/>
          <w:i w:val="0"/>
          <w:sz w:val="22"/>
          <w:vertAlign w:val="superscript"/>
        </w:rPr>
        <w:t>34</w:t>
      </w:r>
      <w:r>
        <w:rPr>
          <w:rFonts w:ascii="Times New Roman" w:hAnsi="Times New Roman"/>
          <w:b w:val="0"/>
          <w:i w:val="0"/>
          <w:sz w:val="22"/>
        </w:rPr>
        <w:t>: Cebpb heterozygous KO in Kupffer cells (3 Hete / 3 WT).</w:t>
      </w:r>
    </w:p>
    <w:p>
      <w:r>
        <w:rPr>
          <w:rFonts w:ascii="Times New Roman" w:hAnsi="Times New Roman"/>
          <w:b/>
          <w:i w:val="0"/>
          <w:sz w:val="22"/>
        </w:rPr>
        <w:t>Single-cell CRISPRi screen.</w:t>
      </w:r>
      <w:r>
        <w:rPr>
          <w:rFonts w:ascii="Times New Roman" w:hAnsi="Times New Roman"/>
          <w:b w:val="0"/>
          <w:i w:val="0"/>
          <w:sz w:val="22"/>
        </w:rPr>
        <w:t xml:space="preserve"> Replogle et al. 2022 </w:t>
      </w:r>
      <w:r>
        <w:rPr>
          <w:rFonts w:ascii="Times New Roman" w:hAnsi="Times New Roman"/>
          <w:b w:val="0"/>
          <w:i w:val="0"/>
          <w:sz w:val="22"/>
          <w:vertAlign w:val="superscript"/>
        </w:rPr>
        <w:t>36</w:t>
      </w:r>
      <w:r>
        <w:rPr>
          <w:rFonts w:ascii="Times New Roman" w:hAnsi="Times New Roman"/>
          <w:b w:val="0"/>
          <w:i w:val="0"/>
          <w:sz w:val="22"/>
        </w:rPr>
        <w:t>, K562 genome-scale CRISPRi, gemgroup Z-normalised pseudo-bulk (Figshare 20029387, file `K562_gwps_normalized_bulk_01.h5ad`; 11,258 perturbations, 585 NTCs).</w:t>
      </w:r>
    </w:p>
    <w:p>
      <w:r>
        <w:rPr>
          <w:rFonts w:ascii="Times New Roman" w:hAnsi="Times New Roman"/>
          <w:b/>
          <w:i w:val="0"/>
          <w:sz w:val="22"/>
        </w:rPr>
        <w:t>Pre-processing.</w:t>
      </w:r>
      <w:r>
        <w:rPr>
          <w:rFonts w:ascii="Times New Roman" w:hAnsi="Times New Roman"/>
          <w:b w:val="0"/>
          <w:i w:val="0"/>
          <w:sz w:val="22"/>
        </w:rPr>
        <w:t xml:space="preserve"> Count matrices were loaded and processed with library-size normalization (×(10⁴)) followed by log1p, in a fixed conda environment (`bbb_gnn`; numpy 2.2.6 / scipy 1.15.3 / pandas 2.3.3). Cell-type composition was retained per cell for composition correction. Each cohort was processed under an identical protocol.</w:t>
      </w:r>
    </w:p>
    <w:p>
      <w:pPr>
        <w:pStyle w:val="Heading2"/>
      </w:pPr>
      <w:r>
        <w:rPr>
          <w:rFonts w:ascii="Times New Roman" w:hAnsi="Times New Roman"/>
          <w:b/>
          <w:i w:val="0"/>
          <w:sz w:val="24"/>
        </w:rPr>
        <w:t>2.2 Gene-regulatory network construction</w:t>
      </w:r>
    </w:p>
    <w:p>
      <w:r>
        <w:rPr>
          <w:rFonts w:ascii="Times New Roman" w:hAnsi="Times New Roman"/>
          <w:b w:val="0"/>
          <w:i w:val="0"/>
          <w:sz w:val="22"/>
        </w:rPr>
        <w:t xml:space="preserve">We used the </w:t>
      </w:r>
      <w:r>
        <w:rPr>
          <w:rFonts w:ascii="Times New Roman" w:hAnsi="Times New Roman"/>
          <w:b/>
          <w:i w:val="0"/>
          <w:sz w:val="22"/>
        </w:rPr>
        <w:t>DoRothEA</w:t>
      </w:r>
      <w:r>
        <w:rPr>
          <w:rFonts w:ascii="Times New Roman" w:hAnsi="Times New Roman"/>
          <w:b w:val="0"/>
          <w:i w:val="0"/>
          <w:sz w:val="22"/>
        </w:rPr>
        <w:t xml:space="preserve"> consensus regulons </w:t>
      </w:r>
      <w:r>
        <w:rPr>
          <w:rFonts w:ascii="Times New Roman" w:hAnsi="Times New Roman"/>
          <w:b w:val="0"/>
          <w:i w:val="0"/>
          <w:sz w:val="22"/>
          <w:vertAlign w:val="superscript"/>
        </w:rPr>
        <w:t>20</w:t>
      </w:r>
      <w:r>
        <w:rPr>
          <w:rFonts w:ascii="Times New Roman" w:hAnsi="Times New Roman"/>
          <w:b w:val="0"/>
          <w:i w:val="0"/>
          <w:sz w:val="22"/>
        </w:rPr>
        <w:t xml:space="preserve"> (confidence levels A–C) as a </w:t>
      </w:r>
      <w:r>
        <w:rPr>
          <w:rFonts w:ascii="Times New Roman" w:hAnsi="Times New Roman"/>
          <w:b w:val="0"/>
          <w:i/>
          <w:sz w:val="22"/>
        </w:rPr>
        <w:t>directed causal</w:t>
      </w:r>
      <w:r>
        <w:rPr>
          <w:rFonts w:ascii="Times New Roman" w:hAnsi="Times New Roman"/>
          <w:b w:val="0"/>
          <w:i w:val="0"/>
          <w:sz w:val="22"/>
        </w:rPr>
        <w:t xml:space="preserve"> TF→target graph, direction and sign (activation/repression) are taken from the literature-curated prior, so that any rewiring we report is interpretable as "whose regulation is enhanced/weakened" rather than merely as undirected co-expression change. Mouse and human regulons were read from local TSV exports, making the pipeline fully offline and reproducible (SHA-256 manifest per run). For each TF we also computed a </w:t>
      </w:r>
      <w:r>
        <w:rPr>
          <w:rFonts w:ascii="Times New Roman" w:hAnsi="Times New Roman"/>
          <w:b/>
          <w:i w:val="0"/>
          <w:sz w:val="22"/>
        </w:rPr>
        <w:t>state-affinity</w:t>
      </w:r>
      <w:r>
        <w:rPr>
          <w:rFonts w:ascii="Times New Roman" w:hAnsi="Times New Roman"/>
          <w:b w:val="0"/>
          <w:i w:val="0"/>
          <w:sz w:val="22"/>
        </w:rPr>
        <w:t xml:space="preserve"> vector `A_aff` (subsample of n=4,000 cells) capturing how strongly the TF's targets are expressed in each cell state; edges in the top 50 % by |A_aff| are retained as </w:t>
      </w:r>
      <w:r>
        <w:rPr>
          <w:rFonts w:ascii="Times New Roman" w:hAnsi="Times New Roman"/>
          <w:b w:val="0"/>
          <w:i/>
          <w:sz w:val="22"/>
        </w:rPr>
        <w:t>state-conditioned</w:t>
      </w:r>
      <w:r>
        <w:rPr>
          <w:rFonts w:ascii="Times New Roman" w:hAnsi="Times New Roman"/>
          <w:b w:val="0"/>
          <w:i w:val="0"/>
          <w:sz w:val="22"/>
        </w:rPr>
        <w:t xml:space="preserve"> edges for rewiring testing.</w:t>
      </w:r>
    </w:p>
    <w:p>
      <w:pPr>
        <w:pStyle w:val="Heading2"/>
      </w:pPr>
      <w:r>
        <w:rPr>
          <w:rFonts w:ascii="Times New Roman" w:hAnsi="Times New Roman"/>
          <w:b/>
          <w:i w:val="0"/>
          <w:sz w:val="24"/>
        </w:rPr>
        <w:t>2.3 TSC-GNN: state-conditioned edge rewiring</w:t>
      </w:r>
    </w:p>
    <w:p>
      <w:r>
        <w:rPr>
          <w:rFonts w:ascii="Times New Roman" w:hAnsi="Times New Roman"/>
          <w:b w:val="0"/>
          <w:i w:val="0"/>
          <w:sz w:val="22"/>
        </w:rPr>
        <w:t xml:space="preserve">For each tested directed edge </w:t>
      </w:r>
      <w:r>
        <w:rPr>
          <w:rFonts w:ascii="Times New Roman" w:hAnsi="Times New Roman"/>
          <w:b w:val="0"/>
          <w:i/>
          <w:sz w:val="22"/>
        </w:rPr>
        <w:t>e</w:t>
      </w:r>
      <w:r>
        <w:rPr>
          <w:rFonts w:ascii="Times New Roman" w:hAnsi="Times New Roman"/>
          <w:b w:val="0"/>
          <w:i w:val="0"/>
          <w:sz w:val="22"/>
        </w:rPr>
        <w:t xml:space="preserve"> = (TF </w:t>
      </w:r>
      <w:r>
        <w:rPr>
          <w:rFonts w:ascii="Times New Roman" w:hAnsi="Times New Roman"/>
          <w:b w:val="0"/>
          <w:i/>
          <w:sz w:val="22"/>
        </w:rPr>
        <w:t>u</w:t>
      </w:r>
      <w:r>
        <w:rPr>
          <w:rFonts w:ascii="Times New Roman" w:hAnsi="Times New Roman"/>
          <w:b w:val="0"/>
          <w:i w:val="0"/>
          <w:sz w:val="22"/>
        </w:rPr>
        <w:t xml:space="preserve"> → target </w:t>
      </w:r>
      <w:r>
        <w:rPr>
          <w:rFonts w:ascii="Times New Roman" w:hAnsi="Times New Roman"/>
          <w:b w:val="0"/>
          <w:i/>
          <w:sz w:val="22"/>
        </w:rPr>
        <w:t>v</w:t>
      </w:r>
      <w:r>
        <w:rPr>
          <w:rFonts w:ascii="Times New Roman" w:hAnsi="Times New Roman"/>
          <w:b w:val="0"/>
          <w:i w:val="0"/>
          <w:sz w:val="22"/>
        </w:rPr>
        <w:t xml:space="preserve">) and each time point </w:t>
      </w:r>
      <w:r>
        <w:rPr>
          <w:rFonts w:ascii="Times New Roman" w:hAnsi="Times New Roman"/>
          <w:b w:val="0"/>
          <w:i/>
          <w:sz w:val="22"/>
        </w:rPr>
        <w:t>t</w:t>
      </w:r>
      <w:r>
        <w:rPr>
          <w:rFonts w:ascii="Times New Roman" w:hAnsi="Times New Roman"/>
          <w:b w:val="0"/>
          <w:i w:val="0"/>
          <w:sz w:val="22"/>
        </w:rPr>
        <w:t xml:space="preserve">, we compute the </w:t>
      </w:r>
      <w:r>
        <w:rPr>
          <w:rFonts w:ascii="Times New Roman" w:hAnsi="Times New Roman"/>
          <w:b/>
          <w:i w:val="0"/>
          <w:sz w:val="22"/>
        </w:rPr>
        <w:t>within-state Pearson coupling</w:t>
      </w:r>
    </w:p>
    <w:p>
      <w:pPr>
        <w:jc w:val="center"/>
      </w:pPr>
      <w:r>
        <w:rPr>
          <w:rFonts w:ascii="Times New Roman" w:hAnsi="Times New Roman"/>
          <w:b w:val="0"/>
          <w:i/>
          <w:sz w:val="22"/>
        </w:rPr>
        <w:t>r_{e,t} = \text{corr}\big(x_u^{(t)},\, x_v^{(t)}\big),</w:t>
      </w:r>
    </w:p>
    <w:p>
      <w:r>
        <w:rPr>
          <w:rFonts w:ascii="Times New Roman" w:hAnsi="Times New Roman"/>
          <w:b w:val="0"/>
          <w:i w:val="0"/>
          <w:sz w:val="22"/>
        </w:rPr>
        <w:t xml:space="preserve">where $x_u^{(t)}, x_v^{(t)}$ are the log-normalized expressions of </w:t>
      </w:r>
      <w:r>
        <w:rPr>
          <w:rFonts w:ascii="Times New Roman" w:hAnsi="Times New Roman"/>
          <w:b w:val="0"/>
          <w:i/>
          <w:sz w:val="22"/>
        </w:rPr>
        <w:t>u</w:t>
      </w:r>
      <w:r>
        <w:rPr>
          <w:rFonts w:ascii="Times New Roman" w:hAnsi="Times New Roman"/>
          <w:b w:val="0"/>
          <w:i w:val="0"/>
          <w:sz w:val="22"/>
        </w:rPr>
        <w:t xml:space="preserve"> and </w:t>
      </w:r>
      <w:r>
        <w:rPr>
          <w:rFonts w:ascii="Times New Roman" w:hAnsi="Times New Roman"/>
          <w:b w:val="0"/>
          <w:i/>
          <w:sz w:val="22"/>
        </w:rPr>
        <w:t>v</w:t>
      </w:r>
      <w:r>
        <w:rPr>
          <w:rFonts w:ascii="Times New Roman" w:hAnsi="Times New Roman"/>
          <w:b w:val="0"/>
          <w:i w:val="0"/>
          <w:sz w:val="22"/>
        </w:rPr>
        <w:t xml:space="preserve"> restricted to cells in state/time </w:t>
      </w:r>
      <w:r>
        <w:rPr>
          <w:rFonts w:ascii="Times New Roman" w:hAnsi="Times New Roman"/>
          <w:b w:val="0"/>
          <w:i/>
          <w:sz w:val="22"/>
        </w:rPr>
        <w:t>t</w:t>
      </w:r>
      <w:r>
        <w:rPr>
          <w:rFonts w:ascii="Times New Roman" w:hAnsi="Times New Roman"/>
          <w:b w:val="0"/>
          <w:i w:val="0"/>
          <w:sz w:val="22"/>
        </w:rPr>
        <w:t xml:space="preserve">. The </w:t>
      </w:r>
      <w:r>
        <w:rPr>
          <w:rFonts w:ascii="Times New Roman" w:hAnsi="Times New Roman"/>
          <w:b/>
          <w:i w:val="0"/>
          <w:sz w:val="22"/>
        </w:rPr>
        <w:t>rewiring effect</w:t>
      </w:r>
      <w:r>
        <w:rPr>
          <w:rFonts w:ascii="Times New Roman" w:hAnsi="Times New Roman"/>
          <w:b w:val="0"/>
          <w:i w:val="0"/>
          <w:sz w:val="22"/>
        </w:rPr>
        <w:t xml:space="preserve"> for a transition $t_1 \to t_2$ is the coupling change</w:t>
      </w:r>
    </w:p>
    <w:p>
      <w:pPr>
        <w:jc w:val="center"/>
      </w:pPr>
      <w:r>
        <w:rPr>
          <w:rFonts w:ascii="Times New Roman" w:hAnsi="Times New Roman"/>
          <w:b w:val="0"/>
          <w:i/>
          <w:sz w:val="22"/>
        </w:rPr>
        <w:t>\Delta W_{e,\,t_1\to t_2} = r_{e,t_2} - r_{e,t_1}.</w:t>
      </w:r>
    </w:p>
    <w:p>
      <w:r>
        <w:rPr>
          <w:rFonts w:ascii="Times New Roman" w:hAnsi="Times New Roman"/>
          <w:b w:val="0"/>
          <w:i w:val="0"/>
          <w:sz w:val="22"/>
        </w:rPr>
        <w:t xml:space="preserve">Positive ΔW denotes </w:t>
      </w:r>
      <w:r>
        <w:rPr>
          <w:rFonts w:ascii="Times New Roman" w:hAnsi="Times New Roman"/>
          <w:b w:val="0"/>
          <w:i/>
          <w:sz w:val="22"/>
        </w:rPr>
        <w:t>coupling enhancement</w:t>
      </w:r>
      <w:r>
        <w:rPr>
          <w:rFonts w:ascii="Times New Roman" w:hAnsi="Times New Roman"/>
          <w:b w:val="0"/>
          <w:i w:val="0"/>
          <w:sz w:val="22"/>
        </w:rPr>
        <w:t xml:space="preserve">; negative denotes </w:t>
      </w:r>
      <w:r>
        <w:rPr>
          <w:rFonts w:ascii="Times New Roman" w:hAnsi="Times New Roman"/>
          <w:b w:val="0"/>
          <w:i/>
          <w:sz w:val="22"/>
        </w:rPr>
        <w:t>coupling weakening</w:t>
      </w:r>
      <w:r>
        <w:rPr>
          <w:rFonts w:ascii="Times New Roman" w:hAnsi="Times New Roman"/>
          <w:b w:val="0"/>
          <w:i w:val="0"/>
          <w:sz w:val="22"/>
        </w:rPr>
        <w:t>.</w:t>
      </w:r>
    </w:p>
    <w:p>
      <w:r>
        <w:rPr>
          <w:rFonts w:ascii="Times New Roman" w:hAnsi="Times New Roman"/>
          <w:b/>
          <w:i w:val="0"/>
          <w:sz w:val="22"/>
        </w:rPr>
        <w:t>Composition correction.</w:t>
      </w:r>
      <w:r>
        <w:rPr>
          <w:rFonts w:ascii="Times New Roman" w:hAnsi="Times New Roman"/>
          <w:b w:val="0"/>
          <w:i w:val="0"/>
          <w:sz w:val="22"/>
        </w:rPr>
        <w:t xml:space="preserve"> We residualize $x_u, x_v$ against the top n_pc = 10 principal components of the full expression matrix (least-squares regression), so that ΔW reflects coupling change after removing major axes of compositional variation. Both raw and PC-corrected ΔW are reported.</w:t>
      </w:r>
    </w:p>
    <w:p>
      <w:r>
        <w:rPr>
          <w:rFonts w:ascii="Times New Roman" w:hAnsi="Times New Roman"/>
          <w:b/>
          <w:i w:val="0"/>
          <w:sz w:val="22"/>
        </w:rPr>
        <w:t>Permutation test and multiple testing.</w:t>
      </w:r>
      <w:r>
        <w:rPr>
          <w:rFonts w:ascii="Times New Roman" w:hAnsi="Times New Roman"/>
          <w:b w:val="0"/>
          <w:i w:val="0"/>
          <w:sz w:val="22"/>
        </w:rPr>
        <w:t xml:space="preserve"> For each transition we permute the time labels (n_perm = 200, seed = 2) and recompute ΔW to build a null per edge; the per-edge two-sided p-value is $p_e = (1 + \#\{\text{perm}: |\Delta W^{\text{null}}_e| \ge |\Delta W^{\text{obs}}_e|\})/(n_{\text{perm}}+1)$. We choose n_perm = 200 as a balance between computational cost (≈25 min per transition on a single CPU) and the minimum achievable p-value (0.005), which is adequate for our typical edge counts (≤36 significant edges per transition). For datasets with substantially more tested edges, we recommend increasing n_perm or switching to the analytical approximation described in 2.9. We apply two corrections: (i) </w:t>
      </w:r>
      <w:r>
        <w:rPr>
          <w:rFonts w:ascii="Times New Roman" w:hAnsi="Times New Roman"/>
          <w:b/>
          <w:i w:val="0"/>
          <w:sz w:val="22"/>
        </w:rPr>
        <w:t>Benjamini–Hochberg FDR</w:t>
      </w:r>
      <w:r>
        <w:rPr>
          <w:rFonts w:ascii="Times New Roman" w:hAnsi="Times New Roman"/>
          <w:b w:val="0"/>
          <w:i w:val="0"/>
          <w:sz w:val="22"/>
        </w:rPr>
        <w:t xml:space="preserve"> per transition; and (ii) a </w:t>
      </w:r>
      <w:r>
        <w:rPr>
          <w:rFonts w:ascii="Times New Roman" w:hAnsi="Times New Roman"/>
          <w:b/>
          <w:i w:val="0"/>
          <w:sz w:val="22"/>
        </w:rPr>
        <w:t>permutation pooled-FDR</w:t>
      </w:r>
      <w:r>
        <w:rPr>
          <w:rFonts w:ascii="Times New Roman" w:hAnsi="Times New Roman"/>
          <w:b w:val="0"/>
          <w:i w:val="0"/>
          <w:sz w:val="22"/>
        </w:rPr>
        <w:t xml:space="preserve"> that standardizes each edge's |ΔW| by its null standard deviation, pools null z-scores across edges and permutations, and computes q-values without depending on p-resolution. Edges at pooled q &lt; 0.05 are reported as significant rewiring.</w:t>
      </w:r>
    </w:p>
    <w:p>
      <w:pPr>
        <w:pStyle w:val="Heading2"/>
      </w:pPr>
      <w:r>
        <w:rPr>
          <w:rFonts w:ascii="Times New Roman" w:hAnsi="Times New Roman"/>
          <w:b/>
          <w:i w:val="0"/>
          <w:sz w:val="24"/>
        </w:rPr>
        <w:t>2.4 Cell–cell communication remodelling</w:t>
      </w:r>
    </w:p>
    <w:p>
      <w:r>
        <w:rPr>
          <w:rFonts w:ascii="Times New Roman" w:hAnsi="Times New Roman"/>
          <w:b w:val="0"/>
          <w:i w:val="0"/>
          <w:sz w:val="22"/>
        </w:rPr>
        <w:t xml:space="preserve">Cell–cell communication analysis followed the CellChat framework </w:t>
      </w:r>
      <w:r>
        <w:rPr>
          <w:rFonts w:ascii="Times New Roman" w:hAnsi="Times New Roman"/>
          <w:b w:val="0"/>
          <w:i w:val="0"/>
          <w:sz w:val="22"/>
          <w:vertAlign w:val="superscript"/>
        </w:rPr>
        <w:t>21</w:t>
      </w:r>
      <w:r>
        <w:rPr>
          <w:rFonts w:ascii="Times New Roman" w:hAnsi="Times New Roman"/>
          <w:b w:val="0"/>
          <w:i w:val="0"/>
          <w:sz w:val="22"/>
        </w:rPr>
        <w:t>, applied separately per time point to identify ligand–receptor pairs whose strength changes across stroke transitions.</w:t>
      </w:r>
    </w:p>
    <w:p>
      <w:pPr>
        <w:pStyle w:val="Heading2"/>
      </w:pPr>
      <w:r>
        <w:rPr>
          <w:rFonts w:ascii="Times New Roman" w:hAnsi="Times New Roman"/>
          <w:b/>
          <w:i w:val="0"/>
          <w:sz w:val="24"/>
        </w:rPr>
        <w:t>2.5 Level 3: Cross-species test</w:t>
      </w:r>
    </w:p>
    <w:p>
      <w:r>
        <w:rPr>
          <w:rFonts w:ascii="Times New Roman" w:hAnsi="Times New Roman"/>
          <w:b/>
          <w:i w:val="0"/>
          <w:sz w:val="22"/>
        </w:rPr>
        <w:t>(a) Structural enrichment.</w:t>
      </w:r>
      <w:r>
        <w:rPr>
          <w:rFonts w:ascii="Times New Roman" w:hAnsi="Times New Roman"/>
          <w:b w:val="0"/>
          <w:i w:val="0"/>
          <w:sz w:val="22"/>
        </w:rPr>
        <w:t xml:space="preserve"> For each mouse-recovered TF we projected its DoRothEA target set onto the human orthologs (via HGNC). Enrichment of literature-curated myelin/oligodendrocyte and neuroinflammation reference sets was tested by the hypergeometric test with 2,000 size-matched random human TF permutations.</w:t>
      </w:r>
    </w:p>
    <w:p>
      <w:r>
        <w:rPr>
          <w:rFonts w:ascii="Times New Roman" w:hAnsi="Times New Roman"/>
          <w:b/>
          <w:i w:val="0"/>
          <w:sz w:val="22"/>
        </w:rPr>
        <w:t>(b) Expression activation.</w:t>
      </w:r>
      <w:r>
        <w:rPr>
          <w:rFonts w:ascii="Times New Roman" w:hAnsi="Times New Roman"/>
          <w:b w:val="0"/>
          <w:i w:val="0"/>
          <w:sz w:val="22"/>
        </w:rPr>
        <w:t xml:space="preserve"> Module activity was scored by an AUCell/ssGSEA rank-mass fraction </w:t>
      </w:r>
      <w:r>
        <w:rPr>
          <w:rFonts w:ascii="Times New Roman" w:hAnsi="Times New Roman"/>
          <w:b w:val="0"/>
          <w:i w:val="0"/>
          <w:sz w:val="22"/>
          <w:vertAlign w:val="superscript"/>
        </w:rPr>
        <w:t>6, 31</w:t>
      </w:r>
      <w:r>
        <w:rPr>
          <w:rFonts w:ascii="Times New Roman" w:hAnsi="Times New Roman"/>
          <w:b w:val="0"/>
          <w:i w:val="0"/>
          <w:sz w:val="22"/>
        </w:rPr>
        <w:t xml:space="preserve"> on each TF's human DoRothEA target set in GSE16561, comparing stroke vs control (Mann–Whitney U; Cliff's δ; BH correction).</w:t>
      </w:r>
    </w:p>
    <w:p>
      <w:pPr>
        <w:pStyle w:val="Heading2"/>
      </w:pPr>
      <w:r>
        <w:rPr>
          <w:rFonts w:ascii="Times New Roman" w:hAnsi="Times New Roman"/>
          <w:b/>
          <w:i w:val="0"/>
          <w:sz w:val="24"/>
        </w:rPr>
        <w:t>2.6 Level 4: Drug reversal via LINCS</w:t>
      </w:r>
    </w:p>
    <w:p>
      <w:r>
        <w:rPr>
          <w:rFonts w:ascii="Times New Roman" w:hAnsi="Times New Roman"/>
          <w:b w:val="0"/>
          <w:i w:val="0"/>
          <w:sz w:val="22"/>
        </w:rPr>
        <w:t xml:space="preserve">The 24 h stroke injury signature (up/down gene sets) was submitted to the L1000CDS2 API </w:t>
      </w:r>
      <w:r>
        <w:rPr>
          <w:rFonts w:ascii="Times New Roman" w:hAnsi="Times New Roman"/>
          <w:b w:val="0"/>
          <w:i w:val="0"/>
          <w:sz w:val="22"/>
          <w:vertAlign w:val="superscript"/>
        </w:rPr>
        <w:t>22</w:t>
      </w:r>
      <w:r>
        <w:rPr>
          <w:rFonts w:ascii="Times New Roman" w:hAnsi="Times New Roman"/>
          <w:b w:val="0"/>
          <w:i w:val="0"/>
          <w:sz w:val="22"/>
        </w:rPr>
        <w:t xml:space="preserve"> for reverse connectivity mapping. The robust signature (intersected across two cohorts, up28/dn17) was the primary result. Permutation background was estimated from 20 random size-matched signatures (unique-drug counting).</w:t>
      </w:r>
    </w:p>
    <w:p>
      <w:pPr>
        <w:pStyle w:val="Heading2"/>
      </w:pPr>
      <w:r>
        <w:rPr>
          <w:rFonts w:ascii="Times New Roman" w:hAnsi="Times New Roman"/>
          <w:b/>
          <w:i w:val="0"/>
          <w:sz w:val="24"/>
        </w:rPr>
        <w:t>2.7 Level 5: Public TF-perturbation re-analysis</w:t>
      </w:r>
    </w:p>
    <w:p>
      <w:r>
        <w:rPr>
          <w:rFonts w:ascii="Times New Roman" w:hAnsi="Times New Roman"/>
          <w:b/>
          <w:i w:val="0"/>
          <w:sz w:val="22"/>
        </w:rPr>
        <w:t>(a) Native-lineage bulk KO.</w:t>
      </w:r>
      <w:r>
        <w:rPr>
          <w:rFonts w:ascii="Times New Roman" w:hAnsi="Times New Roman"/>
          <w:b w:val="0"/>
          <w:i w:val="0"/>
          <w:sz w:val="22"/>
        </w:rPr>
        <w:t xml:space="preserve"> For each TF we computed mean log₂FC of its DoRothEA target program from the public DE table, odds ratio and Fisher exact p for bottom-quartile enrichment, and rank among all DoRothEA TF programs.</w:t>
      </w:r>
    </w:p>
    <w:p>
      <w:r>
        <w:rPr>
          <w:rFonts w:ascii="Times New Roman" w:hAnsi="Times New Roman"/>
          <w:b/>
          <w:i w:val="0"/>
          <w:sz w:val="22"/>
        </w:rPr>
        <w:t>(b) SigCom LINCS (A modality).</w:t>
      </w:r>
      <w:r>
        <w:rPr>
          <w:rFonts w:ascii="Times New Roman" w:hAnsi="Times New Roman"/>
          <w:b w:val="0"/>
          <w:i w:val="0"/>
          <w:sz w:val="22"/>
        </w:rPr>
        <w:t xml:space="preserve"> We queried `l1000_xpr` (CRISPR-KD, 140,603 signatures) and `l1000_oe` (overexpression, 33,782) via the SigCom LINCS data API </w:t>
      </w:r>
      <w:r>
        <w:rPr>
          <w:rFonts w:ascii="Times New Roman" w:hAnsi="Times New Roman"/>
          <w:b w:val="0"/>
          <w:i w:val="0"/>
          <w:sz w:val="22"/>
          <w:vertAlign w:val="superscript"/>
        </w:rPr>
        <w:t>35</w:t>
      </w:r>
      <w:r>
        <w:rPr>
          <w:rFonts w:ascii="Times New Roman" w:hAnsi="Times New Roman"/>
          <w:b w:val="0"/>
          <w:i w:val="0"/>
          <w:sz w:val="22"/>
        </w:rPr>
        <w:t>, submitting each TF's human DoRothEA target program (up to 500 targets). The `database` parameter was passed as the string library name.</w:t>
      </w:r>
    </w:p>
    <w:p>
      <w:r>
        <w:rPr>
          <w:rFonts w:ascii="Times New Roman" w:hAnsi="Times New Roman"/>
          <w:b/>
          <w:i w:val="0"/>
          <w:sz w:val="22"/>
        </w:rPr>
        <w:t>(c) Replogle K562 sc-CRISPR (C modality).</w:t>
      </w:r>
      <w:r>
        <w:rPr>
          <w:rFonts w:ascii="Times New Roman" w:hAnsi="Times New Roman"/>
          <w:b w:val="0"/>
          <w:i w:val="0"/>
          <w:sz w:val="22"/>
        </w:rPr>
        <w:t xml:space="preserve"> From the h5ad (backed mode, `anndata 0.11.4`), we identified perturbation rows by parsing the obs.index (`&lt;ID&gt;_&lt;GENE&gt;_&lt;guide&gt;_&lt;ENSG&gt;`). NTC = `non-targeting` (n = 585). var IDs (Ensembl) were mapped to gene symbols via `mygene` (querymany, species = human). For each TF, we: (i) extracted its own perturbation row(s); (ii) computed NTC baseline-mean with `np.nan_to_num` to neutralise gemgroup-Z infs from constant-variance genes; (iii) computed effect = perturbation mean − NTC mean; (iv) tested target-gene down-shift with Mann–Whitney U (one-sided, alternative = "less"), Fisher OR on bottom-quartile, and rank among all 332 candidate programs.</w:t>
      </w:r>
    </w:p>
    <w:p>
      <w:pPr>
        <w:pStyle w:val="Heading2"/>
      </w:pPr>
      <w:r>
        <w:rPr>
          <w:rFonts w:ascii="Times New Roman" w:hAnsi="Times New Roman"/>
          <w:b/>
          <w:i w:val="0"/>
          <w:sz w:val="24"/>
        </w:rPr>
        <w:t>2.8 Prediction benchmark</w:t>
      </w:r>
    </w:p>
    <w:p>
      <w:r>
        <w:rPr>
          <w:rFonts w:ascii="Times New Roman" w:hAnsi="Times New Roman"/>
          <w:b w:val="0"/>
          <w:i w:val="0"/>
          <w:sz w:val="22"/>
        </w:rPr>
        <w:t xml:space="preserve">We benchmarked 10 random seeds × 5 graph types (k-NN, DoRothEA, random, permuted-DoRothEA, 0-hop) × 2 tasks = 90 configurations. The linear baseline received matched inputs (identical perturbation vector </w:t>
      </w:r>
      <w:r>
        <w:rPr>
          <w:rFonts w:ascii="Times New Roman" w:hAnsi="Times New Roman"/>
          <w:b w:val="0"/>
          <w:i/>
          <w:sz w:val="22"/>
        </w:rPr>
        <w:t>p</w:t>
      </w:r>
      <w:r>
        <w:rPr>
          <w:rFonts w:ascii="Times New Roman" w:hAnsi="Times New Roman"/>
          <w:b w:val="0"/>
          <w:i w:val="0"/>
          <w:sz w:val="22"/>
        </w:rPr>
        <w:t>, identical training split). Relative improvement was computed as (graph MSE − linear MSE) / linear MSE.</w:t>
      </w:r>
    </w:p>
    <w:p>
      <w:pPr>
        <w:pStyle w:val="Heading2"/>
      </w:pPr>
      <w:r>
        <w:rPr>
          <w:rFonts w:ascii="Times New Roman" w:hAnsi="Times New Roman"/>
          <w:b/>
          <w:i w:val="0"/>
          <w:sz w:val="24"/>
        </w:rPr>
        <w:t>2.9 Reproducibility</w:t>
      </w:r>
    </w:p>
    <w:p>
      <w:r>
        <w:rPr>
          <w:rFonts w:ascii="Times New Roman" w:hAnsi="Times New Roman"/>
          <w:b w:val="0"/>
          <w:i w:val="0"/>
          <w:sz w:val="22"/>
        </w:rPr>
        <w:t>All runs emit a manifest (command, library versions, seeds, SHA-256 of the cache). The full analysis is deterministic under fixed seeds. The complete source code and the exact analysis scripts are released in the public repository described in Data and Code Availability.</w:t>
      </w:r>
    </w:p>
    <w:p>
      <w:pPr>
        <w:pStyle w:val="Heading2"/>
      </w:pPr>
      <w:r>
        <w:rPr>
          <w:rFonts w:ascii="Times New Roman" w:hAnsi="Times New Roman"/>
          <w:b/>
          <w:i w:val="0"/>
          <w:sz w:val="24"/>
        </w:rPr>
        <w:t>2.10 Naming and architectural rationale</w:t>
      </w:r>
    </w:p>
    <w:p>
      <w:r>
        <w:rPr>
          <w:rFonts w:ascii="Times New Roman" w:hAnsi="Times New Roman"/>
          <w:b w:val="0"/>
          <w:i w:val="0"/>
          <w:sz w:val="22"/>
        </w:rPr>
        <w:t xml:space="preserve">The framework is named TSC-GNN (Temporal/cell-State-Conditioned Graph Neural Network). Its scope is worth stating plainly, since it settles a question reviewers raise repeatedly. TSC-GNN operates on a </w:t>
      </w:r>
      <w:r>
        <w:rPr>
          <w:rFonts w:ascii="Times New Roman" w:hAnsi="Times New Roman"/>
          <w:b/>
          <w:i w:val="0"/>
          <w:sz w:val="22"/>
        </w:rPr>
        <w:t>fixed, literature-curated causal graph</w:t>
      </w:r>
      <w:r>
        <w:rPr>
          <w:rFonts w:ascii="Times New Roman" w:hAnsi="Times New Roman"/>
          <w:b w:val="0"/>
          <w:i w:val="0"/>
          <w:sz w:val="22"/>
        </w:rPr>
        <w:t xml:space="preserve"> (DoRothEA, 2.2) and reads out edge-level rewiring ΔW through a </w:t>
      </w:r>
      <w:r>
        <w:rPr>
          <w:rFonts w:ascii="Times New Roman" w:hAnsi="Times New Roman"/>
          <w:b/>
          <w:i w:val="0"/>
          <w:sz w:val="22"/>
        </w:rPr>
        <w:t>linear</w:t>
      </w:r>
      <w:r>
        <w:rPr>
          <w:rFonts w:ascii="Times New Roman" w:hAnsi="Times New Roman"/>
          <w:b w:val="0"/>
          <w:i w:val="0"/>
          <w:sz w:val="22"/>
        </w:rPr>
        <w:t xml:space="preserve"> decoder, the state-conditioned Pearson coupling change with permutation significance (2.3). It does </w:t>
      </w:r>
      <w:r>
        <w:rPr>
          <w:rFonts w:ascii="Times New Roman" w:hAnsi="Times New Roman"/>
          <w:b/>
          <w:i w:val="0"/>
          <w:sz w:val="22"/>
        </w:rPr>
        <w:t>not</w:t>
      </w:r>
      <w:r>
        <w:rPr>
          <w:rFonts w:ascii="Times New Roman" w:hAnsi="Times New Roman"/>
          <w:b w:val="0"/>
          <w:i w:val="0"/>
          <w:sz w:val="22"/>
        </w:rPr>
        <w:t xml:space="preserve"> train a message-passing network with learnable node or edge embeddings. This is intentional: 3.2 shows that a fixed graph plus a linear readout already supplies the interpretability we seek (edge-level ΔW), and 3.1 demonstrates that a fixed causal graph confers no consistent prediction advantage under matched inputs (significant in only 4/90 configurations). A message-passing GNN would introduce uninterpretable parameters while, per our benchmark, delivering no accuracy gain, directly trading away the framework's only contribution (interpretability) for a non-existent benefit. The "graph" in TSC-GNN therefore denotes the </w:t>
      </w:r>
      <w:r>
        <w:rPr>
          <w:rFonts w:ascii="Times New Roman" w:hAnsi="Times New Roman"/>
          <w:b/>
          <w:i w:val="0"/>
          <w:sz w:val="22"/>
        </w:rPr>
        <w:t>structured causal substrate</w:t>
      </w:r>
      <w:r>
        <w:rPr>
          <w:rFonts w:ascii="Times New Roman" w:hAnsi="Times New Roman"/>
          <w:b w:val="0"/>
          <w:i w:val="0"/>
          <w:sz w:val="22"/>
        </w:rPr>
        <w:t xml:space="preserve"> on which a virtual perturbation is propagated and decomposed, not an end-to-end learned GNN. This positions TSC-GNN as a recovery-oriented method rather than a prediction method, and distinguishes it from end-to-end perturbation GNNs such as GEARS </w:t>
      </w:r>
      <w:r>
        <w:rPr>
          <w:rFonts w:ascii="Times New Roman" w:hAnsi="Times New Roman"/>
          <w:b w:val="0"/>
          <w:i w:val="0"/>
          <w:sz w:val="22"/>
          <w:vertAlign w:val="superscript"/>
        </w:rPr>
        <w:t>9</w:t>
      </w:r>
      <w:r>
        <w:rPr>
          <w:rFonts w:ascii="Times New Roman" w:hAnsi="Times New Roman"/>
          <w:b w:val="0"/>
          <w:i w:val="0"/>
          <w:sz w:val="22"/>
        </w:rPr>
        <w:t>.</w:t>
      </w:r>
    </w:p>
    <w:p>
      <w:pPr>
        <w:pStyle w:val="Heading1"/>
      </w:pPr>
      <w:r>
        <w:rPr>
          <w:rFonts w:ascii="Times New Roman" w:hAnsi="Times New Roman"/>
          <w:b/>
          <w:i w:val="0"/>
          <w:sz w:val="28"/>
        </w:rPr>
        <w:t>Results</w:t>
      </w:r>
    </w:p>
    <w:p>
      <w:pPr>
        <w:pStyle w:val="Heading2"/>
      </w:pPr>
      <w:r>
        <w:rPr>
          <w:rFonts w:ascii="Times New Roman" w:hAnsi="Times New Roman"/>
          <w:b/>
          <w:i w:val="0"/>
          <w:sz w:val="24"/>
        </w:rPr>
        <w:t>3.1 Predictive accuracy is not superior to linear baselines</w:t>
      </w:r>
    </w:p>
    <w:p>
      <w:r>
        <w:rPr>
          <w:rFonts w:ascii="Times New Roman" w:hAnsi="Times New Roman"/>
          <w:b w:val="0"/>
          <w:i w:val="0"/>
          <w:sz w:val="22"/>
        </w:rPr>
        <w:t xml:space="preserve">The biological findings rest on a scoping result that first fixes what the framework does and does not contribute. We benchmarked the graph readout against a linear baseline under matched inputs (identical perturbation vector </w:t>
      </w:r>
      <w:r>
        <w:rPr>
          <w:rFonts w:ascii="Times New Roman" w:hAnsi="Times New Roman"/>
          <w:b w:val="0"/>
          <w:i/>
          <w:sz w:val="22"/>
        </w:rPr>
        <w:t>p</w:t>
      </w:r>
      <w:r>
        <w:rPr>
          <w:rFonts w:ascii="Times New Roman" w:hAnsi="Times New Roman"/>
          <w:b w:val="0"/>
          <w:i w:val="0"/>
          <w:sz w:val="22"/>
        </w:rPr>
        <w:t xml:space="preserve">, identical training split, identical readout head) across </w:t>
      </w:r>
      <w:r>
        <w:rPr>
          <w:rFonts w:ascii="Times New Roman" w:hAnsi="Times New Roman"/>
          <w:b/>
          <w:i w:val="0"/>
          <w:sz w:val="22"/>
        </w:rPr>
        <w:t>10 random seeds × 5 graph types</w:t>
      </w:r>
      <w:r>
        <w:rPr>
          <w:rFonts w:ascii="Times New Roman" w:hAnsi="Times New Roman"/>
          <w:b w:val="0"/>
          <w:i w:val="0"/>
          <w:sz w:val="22"/>
        </w:rPr>
        <w:t xml:space="preserve"> (k-NN, DoRothEA, random, permuted-DoRothEA, 0-hop) </w:t>
      </w:r>
      <w:r>
        <w:rPr>
          <w:rFonts w:ascii="Times New Roman" w:hAnsi="Times New Roman"/>
          <w:b/>
          <w:i w:val="0"/>
          <w:sz w:val="22"/>
        </w:rPr>
        <w:t>× 2 tasks = 90 configurations</w:t>
      </w:r>
      <w:r>
        <w:rPr>
          <w:rFonts w:ascii="Times New Roman" w:hAnsi="Times New Roman"/>
          <w:b w:val="0"/>
          <w:i w:val="0"/>
          <w:sz w:val="22"/>
        </w:rPr>
        <w:t xml:space="preserve">. Under the current implementation, a fixed causal graph with a linear readout, the graph component contributed </w:t>
      </w:r>
      <w:r>
        <w:rPr>
          <w:rFonts w:ascii="Times New Roman" w:hAnsi="Times New Roman"/>
          <w:b/>
          <w:i w:val="0"/>
          <w:sz w:val="22"/>
        </w:rPr>
        <w:t>limited additional predictive capacity</w:t>
      </w:r>
      <w:r>
        <w:rPr>
          <w:rFonts w:ascii="Times New Roman" w:hAnsi="Times New Roman"/>
          <w:b w:val="0"/>
          <w:i w:val="0"/>
          <w:sz w:val="22"/>
        </w:rPr>
        <w:t xml:space="preserve"> beyond the linear baseline: it significantly outperformed the linear baseline in only </w:t>
      </w:r>
      <w:r>
        <w:rPr>
          <w:rFonts w:ascii="Times New Roman" w:hAnsi="Times New Roman"/>
          <w:b/>
          <w:i w:val="0"/>
          <w:sz w:val="22"/>
        </w:rPr>
        <w:t>4 of 90 cases</w:t>
      </w:r>
      <w:r>
        <w:rPr>
          <w:rFonts w:ascii="Times New Roman" w:hAnsi="Times New Roman"/>
          <w:b w:val="0"/>
          <w:i w:val="0"/>
          <w:sz w:val="22"/>
        </w:rPr>
        <w:t xml:space="preserve"> (all four from a single seed on the combinatorial task), never significantly underperformed it, and showed no significant difference in the remaining </w:t>
      </w:r>
      <w:r>
        <w:rPr>
          <w:rFonts w:ascii="Times New Roman" w:hAnsi="Times New Roman"/>
          <w:b/>
          <w:i w:val="0"/>
          <w:sz w:val="22"/>
        </w:rPr>
        <w:t>86 cases</w:t>
      </w:r>
      <w:r>
        <w:rPr>
          <w:rFonts w:ascii="Times New Roman" w:hAnsi="Times New Roman"/>
          <w:b w:val="0"/>
          <w:i w:val="0"/>
          <w:sz w:val="22"/>
        </w:rPr>
        <w:t xml:space="preserve"> (Fig. 2A). A non-linear KernelRidge probe overfit (relative error ≈ −126 %), indicating that any accuracy gain would require a trained deep non-linear readout rather than the fixed graph studied here. On the external GEARS Perturb-seq benchmark </w:t>
      </w:r>
      <w:r>
        <w:rPr>
          <w:rFonts w:ascii="Times New Roman" w:hAnsi="Times New Roman"/>
          <w:b w:val="0"/>
          <w:i w:val="0"/>
          <w:sz w:val="22"/>
          <w:vertAlign w:val="superscript"/>
        </w:rPr>
        <w:t>9</w:t>
      </w:r>
      <w:r>
        <w:rPr>
          <w:rFonts w:ascii="Times New Roman" w:hAnsi="Times New Roman"/>
          <w:b w:val="0"/>
          <w:i w:val="0"/>
          <w:sz w:val="22"/>
        </w:rPr>
        <w:t xml:space="preserve"> the graph readout gave −8.3 % (single) / −4.2 % (double) improvement, both with confidence intervals including zero.</w:t>
      </w:r>
    </w:p>
    <w:p>
      <w:r>
        <w:rPr>
          <w:rFonts w:ascii="Times New Roman" w:hAnsi="Times New Roman"/>
          <w:b w:val="0"/>
          <w:i w:val="0"/>
          <w:sz w:val="22"/>
        </w:rPr>
        <w:t>Because the graph embedding enters the readout linearly and is provided identically to the linear baseline, it does not expand the linear hypothesis space available under matched inputs; the graph therefore does not, under this implementation, yield higher accuracy. This scoping result is the premise for the interpretability-oriented design developed next.</w:t>
      </w:r>
    </w:p>
    <w:p>
      <w:r>
        <w:rPr>
          <w:rFonts w:ascii="Times New Roman" w:hAnsi="Times New Roman"/>
          <w:b/>
          <w:i w:val="0"/>
          <w:sz w:val="22"/>
        </w:rPr>
        <w:t>[Figure 2A about here, Prediction benchmark: graph vs linear, 90 configurations]</w:t>
      </w:r>
    </w:p>
    <w:p>
      <w:pPr>
        <w:pStyle w:val="Heading2"/>
      </w:pPr>
      <w:r>
        <w:rPr>
          <w:rFonts w:ascii="Times New Roman" w:hAnsi="Times New Roman"/>
          <w:b/>
          <w:i w:val="0"/>
          <w:sz w:val="24"/>
        </w:rPr>
        <w:t>3.2 Why only a graph can recover edge-level rewiring</w:t>
      </w:r>
    </w:p>
    <w:p>
      <w:r>
        <w:rPr>
          <w:rFonts w:ascii="Times New Roman" w:hAnsi="Times New Roman"/>
          <w:b w:val="0"/>
          <w:i w:val="0"/>
          <w:sz w:val="22"/>
        </w:rPr>
        <w:t xml:space="preserve">The scoping benchmark (3.1) established that a fixed causal graph does not improve </w:t>
      </w:r>
      <w:r>
        <w:rPr>
          <w:rFonts w:ascii="Times New Roman" w:hAnsi="Times New Roman"/>
          <w:b w:val="0"/>
          <w:i/>
          <w:sz w:val="22"/>
        </w:rPr>
        <w:t>prediction accuracy</w:t>
      </w:r>
      <w:r>
        <w:rPr>
          <w:rFonts w:ascii="Times New Roman" w:hAnsi="Times New Roman"/>
          <w:b w:val="0"/>
          <w:i w:val="0"/>
          <w:sz w:val="22"/>
        </w:rPr>
        <w:t xml:space="preserve"> under a linear readout. This raises an immediate question: </w:t>
      </w:r>
      <w:r>
        <w:rPr>
          <w:rFonts w:ascii="Times New Roman" w:hAnsi="Times New Roman"/>
          <w:b/>
          <w:i w:val="0"/>
          <w:sz w:val="22"/>
        </w:rPr>
        <w:t>if the graph does not improve prediction, why use a graph at all?</w:t>
      </w:r>
      <w:r>
        <w:rPr>
          <w:rFonts w:ascii="Times New Roman" w:hAnsi="Times New Roman"/>
          <w:b w:val="0"/>
          <w:i w:val="0"/>
          <w:sz w:val="22"/>
        </w:rPr>
        <w:t xml:space="preserve"> We therefore frame this contribution around </w:t>
      </w:r>
      <w:r>
        <w:rPr>
          <w:rFonts w:ascii="Times New Roman" w:hAnsi="Times New Roman"/>
          <w:b w:val="0"/>
          <w:i/>
          <w:sz w:val="22"/>
        </w:rPr>
        <w:t>recovering</w:t>
      </w:r>
      <w:r>
        <w:rPr>
          <w:rFonts w:ascii="Times New Roman" w:hAnsi="Times New Roman"/>
          <w:b w:val="0"/>
          <w:i w:val="0"/>
          <w:sz w:val="22"/>
        </w:rPr>
        <w:t xml:space="preserve"> temporal regulatory rewiring, the recovery of edge-level change, rather than around the tool name (TSC-GNN): the framework is the instrument that makes the recovery interpretable, not the message itself.</w:t>
      </w:r>
    </w:p>
    <w:p>
      <w:r>
        <w:rPr>
          <w:rFonts w:ascii="Times New Roman" w:hAnsi="Times New Roman"/>
          <w:b w:val="0"/>
          <w:i w:val="0"/>
          <w:sz w:val="22"/>
        </w:rPr>
        <w:t xml:space="preserve">The answer lies in what is being measured. A linear model that predicts perturbation outcomes from the full expression space compresses the entire response into one accuracy number per gene. It cannot attribute that prediction change to a </w:t>
      </w:r>
      <w:r>
        <w:rPr>
          <w:rFonts w:ascii="Times New Roman" w:hAnsi="Times New Roman"/>
          <w:b w:val="0"/>
          <w:i/>
          <w:sz w:val="22"/>
        </w:rPr>
        <w:t>specific edge</w:t>
      </w:r>
      <w:r>
        <w:rPr>
          <w:rFonts w:ascii="Times New Roman" w:hAnsi="Times New Roman"/>
          <w:b w:val="0"/>
          <w:i w:val="0"/>
          <w:sz w:val="22"/>
        </w:rPr>
        <w:t xml:space="preserve"> in a regulatory graph, because it has no graph: its outputs are scalar deltas per gene, not edge-level coupling changes. To recover edge-level rewiring, </w:t>
      </w:r>
      <w:r>
        <w:rPr>
          <w:rFonts w:ascii="Times New Roman" w:hAnsi="Times New Roman"/>
          <w:b w:val="0"/>
          <w:i/>
          <w:sz w:val="22"/>
        </w:rPr>
        <w:t>which TF→target coupling strengthened or weakened across a biological transition</w:t>
      </w:r>
      <w:r>
        <w:rPr>
          <w:rFonts w:ascii="Times New Roman" w:hAnsi="Times New Roman"/>
          <w:b w:val="0"/>
          <w:i w:val="0"/>
          <w:sz w:val="22"/>
        </w:rPr>
        <w:t xml:space="preserve">, one must decompose the co-expression change onto a graph substrate. This is what ΔW (2.3) does: it measures the </w:t>
      </w:r>
      <w:r>
        <w:rPr>
          <w:rFonts w:ascii="Times New Roman" w:hAnsi="Times New Roman"/>
          <w:b w:val="0"/>
          <w:i/>
          <w:sz w:val="22"/>
        </w:rPr>
        <w:t>change in Pearson coupling</w:t>
      </w:r>
      <w:r>
        <w:rPr>
          <w:rFonts w:ascii="Times New Roman" w:hAnsi="Times New Roman"/>
          <w:b w:val="0"/>
          <w:i w:val="0"/>
          <w:sz w:val="22"/>
        </w:rPr>
        <w:t xml:space="preserve"> restricted to each directed edge, which is a fundamentally graph-level operation. No linear model operating on raw expression can produce this output, because the coupling is defined </w:t>
      </w:r>
      <w:r>
        <w:rPr>
          <w:rFonts w:ascii="Times New Roman" w:hAnsi="Times New Roman"/>
          <w:b w:val="0"/>
          <w:i/>
          <w:sz w:val="22"/>
        </w:rPr>
        <w:t>over</w:t>
      </w:r>
      <w:r>
        <w:rPr>
          <w:rFonts w:ascii="Times New Roman" w:hAnsi="Times New Roman"/>
          <w:b w:val="0"/>
          <w:i w:val="0"/>
          <w:sz w:val="22"/>
        </w:rPr>
        <w:t xml:space="preserve"> the edge, not </w:t>
      </w:r>
      <w:r>
        <w:rPr>
          <w:rFonts w:ascii="Times New Roman" w:hAnsi="Times New Roman"/>
          <w:b w:val="0"/>
          <w:i/>
          <w:sz w:val="22"/>
        </w:rPr>
        <w:t>over</w:t>
      </w:r>
      <w:r>
        <w:rPr>
          <w:rFonts w:ascii="Times New Roman" w:hAnsi="Times New Roman"/>
          <w:b w:val="0"/>
          <w:i w:val="0"/>
          <w:sz w:val="22"/>
        </w:rPr>
        <w:t xml:space="preserve"> the transcriptome.</w:t>
      </w:r>
    </w:p>
    <w:p>
      <w:r>
        <w:rPr>
          <w:rFonts w:ascii="Times New Roman" w:hAnsi="Times New Roman"/>
          <w:b w:val="0"/>
          <w:i w:val="0"/>
          <w:sz w:val="22"/>
        </w:rPr>
        <w:t xml:space="preserve">TSC-GNN is built to recover, not to predict: its output is edge-level ΔW with permutation significance and module-level master-regulator ranking: quantities that a linear predictor cannot compute and a foundation-model readout cannot decompose. The graph is necessary not because it makes better predictions, but because it defines </w:t>
      </w:r>
      <w:r>
        <w:rPr>
          <w:rFonts w:ascii="Times New Roman" w:hAnsi="Times New Roman"/>
          <w:b w:val="0"/>
          <w:i/>
          <w:sz w:val="22"/>
        </w:rPr>
        <w:t>what is interpretable</w:t>
      </w:r>
      <w:r>
        <w:rPr>
          <w:rFonts w:ascii="Times New Roman" w:hAnsi="Times New Roman"/>
          <w:b w:val="0"/>
          <w:i w:val="0"/>
          <w:sz w:val="22"/>
        </w:rPr>
        <w:t>. The remaining Results demonstrate what this recovery lens reveals.</w:t>
      </w:r>
    </w:p>
    <w:p>
      <w:r>
        <w:rPr>
          <w:rFonts w:ascii="Times New Roman" w:hAnsi="Times New Roman"/>
          <w:b/>
          <w:i w:val="0"/>
          <w:sz w:val="22"/>
        </w:rPr>
        <w:t>[Figure 2B about here, Schematic: interpretability vs prediction trade-off]</w:t>
      </w:r>
    </w:p>
    <w:p>
      <w:pPr>
        <w:pStyle w:val="Heading2"/>
      </w:pPr>
      <w:r>
        <w:rPr>
          <w:rFonts w:ascii="Times New Roman" w:hAnsi="Times New Roman"/>
          <w:b/>
          <w:i w:val="0"/>
          <w:sz w:val="24"/>
        </w:rPr>
        <w:t>3.3 Temporal rewiring recovers biologically coherent, established stroke programs</w:t>
      </w:r>
    </w:p>
    <w:p>
      <w:r>
        <w:rPr>
          <w:rFonts w:ascii="Times New Roman" w:hAnsi="Times New Roman"/>
          <w:b w:val="0"/>
          <w:i w:val="0"/>
          <w:sz w:val="22"/>
        </w:rPr>
        <w:t xml:space="preserve">Applying state-conditioned rewiring across the four transitions recovered a coherent, literature-aligned program of stroke recovery. At pooled q &lt; 0.05, </w:t>
      </w:r>
      <w:r>
        <w:rPr>
          <w:rFonts w:ascii="Times New Roman" w:hAnsi="Times New Roman"/>
          <w:b/>
          <w:i w:val="0"/>
          <w:sz w:val="22"/>
        </w:rPr>
        <w:t>8, 28, 19 and 36 edges</w:t>
      </w:r>
      <w:r>
        <w:rPr>
          <w:rFonts w:ascii="Times New Roman" w:hAnsi="Times New Roman"/>
          <w:b w:val="0"/>
          <w:i w:val="0"/>
          <w:sz w:val="22"/>
        </w:rPr>
        <w:t xml:space="preserve"> were significant for sham→24 h, 24 h→2 d, 2 d→14 d and sham→14 d respectively (Fig. 3A–D).</w:t>
      </w:r>
    </w:p>
    <w:p>
      <w:r>
        <w:rPr>
          <w:rFonts w:ascii="Times New Roman" w:hAnsi="Times New Roman"/>
          <w:b w:val="0"/>
          <w:i w:val="0"/>
          <w:sz w:val="22"/>
        </w:rPr>
        <w:t>The recovered program is evaluated along the five-level evidence ladder (L1–L5, Table 1; Fig. 7), which escalates from technical reproducibility to independent public-perturbation causal support. Table 1 summarises the design, evidence type and strength of each level.</w:t>
      </w:r>
    </w:p>
    <w:p>
      <w:r>
        <w:rPr>
          <w:rFonts w:ascii="Times New Roman" w:hAnsi="Times New Roman"/>
          <w:b/>
          <w:i w:val="0"/>
          <w:sz w:val="22"/>
        </w:rPr>
        <w:t>Table 1.</w:t>
      </w:r>
      <w:r>
        <w:rPr>
          <w:rFonts w:ascii="Times New Roman" w:hAnsi="Times New Roman"/>
          <w:b w:val="0"/>
          <w:i w:val="0"/>
          <w:sz w:val="22"/>
        </w:rPr>
        <w:t xml:space="preserve"> Five-level evidence ladder (L1–L5): design, evidence type, and strength.</w:t>
      </w:r>
    </w:p>
    <w:tbl>
      <w:tblPr>
        <w:tblStyle w:val="TableGrid"/>
        <w:tblW w:type="auto" w:w="0"/>
        <w:jc w:val="center"/>
        <w:tblLayout w:type="fixed"/>
        <w:tblLook w:firstColumn="1" w:firstRow="1" w:lastColumn="0" w:lastRow="0" w:noHBand="0" w:noVBand="1" w:val="04A0"/>
      </w:tblPr>
      <w:tblGrid>
        <w:gridCol w:w="1805"/>
        <w:gridCol w:w="1805"/>
        <w:gridCol w:w="1805"/>
        <w:gridCol w:w="1805"/>
        <w:gridCol w:w="1805"/>
      </w:tblGrid>
      <w:tr>
        <w:tc>
          <w:tcPr>
            <w:tcW w:type="dxa" w:w="1806"/>
            <w:shd w:val="clear" w:color="auto" w:fill="D9E2F3"/>
          </w:tcPr>
          <w:p>
            <w:r>
              <w:rPr>
                <w:b/>
              </w:rPr>
            </w:r>
            <w:r>
              <w:rPr>
                <w:rFonts w:ascii="Times New Roman" w:hAnsi="Times New Roman"/>
                <w:b/>
                <w:i w:val="0"/>
                <w:sz w:val="18"/>
              </w:rPr>
              <w:t>Level</w:t>
            </w:r>
          </w:p>
        </w:tc>
        <w:tc>
          <w:tcPr>
            <w:tcW w:type="dxa" w:w="1805"/>
            <w:shd w:val="clear" w:color="auto" w:fill="D9E2F3"/>
          </w:tcPr>
          <w:p>
            <w:r>
              <w:rPr>
                <w:b/>
              </w:rPr>
            </w:r>
            <w:r>
              <w:rPr>
                <w:rFonts w:ascii="Times New Roman" w:hAnsi="Times New Roman"/>
                <w:b/>
                <w:i w:val="0"/>
                <w:sz w:val="18"/>
              </w:rPr>
              <w:t>Goal</w:t>
            </w:r>
          </w:p>
        </w:tc>
        <w:tc>
          <w:tcPr>
            <w:tcW w:type="dxa" w:w="1805"/>
            <w:shd w:val="clear" w:color="auto" w:fill="D9E2F3"/>
          </w:tcPr>
          <w:p>
            <w:r>
              <w:rPr>
                <w:b/>
              </w:rPr>
            </w:r>
            <w:r>
              <w:rPr>
                <w:rFonts w:ascii="Times New Roman" w:hAnsi="Times New Roman"/>
                <w:b/>
                <w:i w:val="0"/>
                <w:sz w:val="18"/>
              </w:rPr>
              <w:t>Design / evidence source</w:t>
            </w:r>
          </w:p>
        </w:tc>
        <w:tc>
          <w:tcPr>
            <w:tcW w:type="dxa" w:w="1805"/>
            <w:shd w:val="clear" w:color="auto" w:fill="D9E2F3"/>
          </w:tcPr>
          <w:p>
            <w:r>
              <w:rPr>
                <w:b/>
              </w:rPr>
            </w:r>
            <w:r>
              <w:rPr>
                <w:rFonts w:ascii="Times New Roman" w:hAnsi="Times New Roman"/>
                <w:b/>
                <w:i w:val="0"/>
                <w:sz w:val="18"/>
              </w:rPr>
              <w:t>Evidence type</w:t>
            </w:r>
          </w:p>
        </w:tc>
        <w:tc>
          <w:tcPr>
            <w:tcW w:type="dxa" w:w="1805"/>
            <w:shd w:val="clear" w:color="auto" w:fill="D9E2F3"/>
          </w:tcPr>
          <w:p>
            <w:r>
              <w:rPr>
                <w:b/>
              </w:rPr>
            </w:r>
            <w:r>
              <w:rPr>
                <w:rFonts w:ascii="Times New Roman" w:hAnsi="Times New Roman"/>
                <w:b/>
                <w:i w:val="0"/>
                <w:sz w:val="18"/>
              </w:rPr>
              <w:t>Strength (key result)</w:t>
            </w:r>
          </w:p>
        </w:tc>
      </w:tr>
      <w:tr>
        <w:tc>
          <w:tcPr>
            <w:tcW w:type="dxa" w:w="1806"/>
          </w:tcPr>
          <w:p>
            <w:r/>
            <w:r>
              <w:rPr>
                <w:rFonts w:ascii="Times New Roman" w:hAnsi="Times New Roman"/>
                <w:b/>
                <w:i w:val="0"/>
                <w:sz w:val="18"/>
              </w:rPr>
              <w:t>L1</w:t>
            </w:r>
            <w:r>
              <w:rPr>
                <w:rFonts w:ascii="Times New Roman" w:hAnsi="Times New Roman"/>
                <w:b w:val="0"/>
                <w:i w:val="0"/>
                <w:sz w:val="18"/>
              </w:rPr>
              <w:t xml:space="preserve"> Technical reproducibility</w:t>
            </w:r>
          </w:p>
        </w:tc>
        <w:tc>
          <w:tcPr>
            <w:tcW w:type="dxa" w:w="1805"/>
          </w:tcPr>
          <w:p>
            <w:r/>
            <w:r>
              <w:rPr>
                <w:rFonts w:ascii="Times New Roman" w:hAnsi="Times New Roman"/>
                <w:b w:val="0"/>
                <w:i w:val="0"/>
                <w:sz w:val="18"/>
              </w:rPr>
              <w:t>Are master-regulator rankings stable across cohorts?</w:t>
            </w:r>
          </w:p>
        </w:tc>
        <w:tc>
          <w:tcPr>
            <w:tcW w:type="dxa" w:w="1805"/>
          </w:tcPr>
          <w:p>
            <w:r/>
            <w:r>
              <w:rPr>
                <w:rFonts w:ascii="Times New Roman" w:hAnsi="Times New Roman"/>
                <w:b w:val="0"/>
                <w:i w:val="0"/>
                <w:sz w:val="18"/>
              </w:rPr>
              <w:t>Re-derive rewiring on two independent cohorts; Spearman ρ vs integrated analysis</w:t>
            </w:r>
          </w:p>
        </w:tc>
        <w:tc>
          <w:tcPr>
            <w:tcW w:type="dxa" w:w="1805"/>
          </w:tcPr>
          <w:p>
            <w:r/>
            <w:r>
              <w:rPr>
                <w:rFonts w:ascii="Times New Roman" w:hAnsi="Times New Roman"/>
                <w:b w:val="0"/>
                <w:i w:val="0"/>
                <w:sz w:val="18"/>
              </w:rPr>
              <w:t>Computational reproduction</w:t>
            </w:r>
          </w:p>
        </w:tc>
        <w:tc>
          <w:tcPr>
            <w:tcW w:type="dxa" w:w="1805"/>
          </w:tcPr>
          <w:p>
            <w:r/>
            <w:r>
              <w:rPr>
                <w:rFonts w:ascii="Times New Roman" w:hAnsi="Times New Roman"/>
                <w:b w:val="0"/>
                <w:i w:val="0"/>
                <w:sz w:val="18"/>
              </w:rPr>
              <w:t>ρ = 0.48–0.55 (p &lt; 1 × 10⁻¹⁵); edge-level not reproduced (Jaccard ≈ 0)</w:t>
            </w:r>
          </w:p>
        </w:tc>
      </w:tr>
      <w:tr>
        <w:tc>
          <w:tcPr>
            <w:tcW w:type="dxa" w:w="1806"/>
          </w:tcPr>
          <w:p>
            <w:r/>
            <w:r>
              <w:rPr>
                <w:rFonts w:ascii="Times New Roman" w:hAnsi="Times New Roman"/>
                <w:b/>
                <w:i w:val="0"/>
                <w:sz w:val="18"/>
              </w:rPr>
              <w:t>L2</w:t>
            </w:r>
            <w:r>
              <w:rPr>
                <w:rFonts w:ascii="Times New Roman" w:hAnsi="Times New Roman"/>
                <w:b w:val="0"/>
                <w:i w:val="0"/>
                <w:sz w:val="18"/>
              </w:rPr>
              <w:t xml:space="preserve"> Biological recovery</w:t>
            </w:r>
          </w:p>
        </w:tc>
        <w:tc>
          <w:tcPr>
            <w:tcW w:type="dxa" w:w="1805"/>
          </w:tcPr>
          <w:p>
            <w:r/>
            <w:r>
              <w:rPr>
                <w:rFonts w:ascii="Times New Roman" w:hAnsi="Times New Roman"/>
                <w:b w:val="0"/>
                <w:i w:val="0"/>
                <w:sz w:val="18"/>
              </w:rPr>
              <w:t>Does the method recover established stroke-repair biology?</w:t>
            </w:r>
          </w:p>
        </w:tc>
        <w:tc>
          <w:tcPr>
            <w:tcW w:type="dxa" w:w="1805"/>
          </w:tcPr>
          <w:p>
            <w:r/>
            <w:r>
              <w:rPr>
                <w:rFonts w:ascii="Times New Roman" w:hAnsi="Times New Roman"/>
                <w:b w:val="0"/>
                <w:i w:val="0"/>
                <w:sz w:val="18"/>
              </w:rPr>
              <w:t>Target-program enrichment + stress-artifact negative control (Fos)</w:t>
            </w:r>
          </w:p>
        </w:tc>
        <w:tc>
          <w:tcPr>
            <w:tcW w:type="dxa" w:w="1805"/>
          </w:tcPr>
          <w:p>
            <w:r/>
            <w:r>
              <w:rPr>
                <w:rFonts w:ascii="Times New Roman" w:hAnsi="Times New Roman"/>
                <w:b w:val="0"/>
                <w:i w:val="0"/>
                <w:sz w:val="18"/>
              </w:rPr>
              <w:t>Known-biology concordance</w:t>
            </w:r>
          </w:p>
        </w:tc>
        <w:tc>
          <w:tcPr>
            <w:tcW w:type="dxa" w:w="1805"/>
          </w:tcPr>
          <w:p>
            <w:r/>
            <w:r>
              <w:rPr>
                <w:rFonts w:ascii="Times New Roman" w:hAnsi="Times New Roman"/>
                <w:b w:val="0"/>
                <w:i w:val="0"/>
                <w:sz w:val="18"/>
              </w:rPr>
              <w:t>Sox10/Sox2/Sox9 drive top rewiring; 14/15 known stroke TFs recovered; target enrichment OR 15–110</w:t>
            </w:r>
          </w:p>
        </w:tc>
      </w:tr>
      <w:tr>
        <w:tc>
          <w:tcPr>
            <w:tcW w:type="dxa" w:w="1806"/>
          </w:tcPr>
          <w:p>
            <w:r/>
            <w:r>
              <w:rPr>
                <w:rFonts w:ascii="Times New Roman" w:hAnsi="Times New Roman"/>
                <w:b/>
                <w:i w:val="0"/>
                <w:sz w:val="18"/>
              </w:rPr>
              <w:t>L3</w:t>
            </w:r>
            <w:r>
              <w:rPr>
                <w:rFonts w:ascii="Times New Roman" w:hAnsi="Times New Roman"/>
                <w:b w:val="0"/>
                <w:i w:val="0"/>
                <w:sz w:val="18"/>
              </w:rPr>
              <w:t xml:space="preserve"> Cross-species convergence</w:t>
            </w:r>
          </w:p>
        </w:tc>
        <w:tc>
          <w:tcPr>
            <w:tcW w:type="dxa" w:w="1805"/>
          </w:tcPr>
          <w:p>
            <w:r/>
            <w:r>
              <w:rPr>
                <w:rFonts w:ascii="Times New Roman" w:hAnsi="Times New Roman"/>
                <w:b w:val="0"/>
                <w:i w:val="0"/>
                <w:sz w:val="18"/>
              </w:rPr>
              <w:t>Are mouse programs conserved in the human GRN and engaged in human stroke?</w:t>
            </w:r>
          </w:p>
        </w:tc>
        <w:tc>
          <w:tcPr>
            <w:tcW w:type="dxa" w:w="1805"/>
          </w:tcPr>
          <w:p>
            <w:r/>
            <w:r>
              <w:rPr>
                <w:rFonts w:ascii="Times New Roman" w:hAnsi="Times New Roman"/>
                <w:b w:val="0"/>
                <w:i w:val="0"/>
                <w:sz w:val="18"/>
              </w:rPr>
              <w:t>Orthogonal projection to human DoRothEA + activation in GSE16561 blood</w:t>
            </w:r>
          </w:p>
        </w:tc>
        <w:tc>
          <w:tcPr>
            <w:tcW w:type="dxa" w:w="1805"/>
          </w:tcPr>
          <w:p>
            <w:r/>
            <w:r>
              <w:rPr>
                <w:rFonts w:ascii="Times New Roman" w:hAnsi="Times New Roman"/>
                <w:b w:val="0"/>
                <w:i w:val="0"/>
                <w:sz w:val="18"/>
              </w:rPr>
              <w:t>Cross-species structural + transcriptional convergence</w:t>
            </w:r>
          </w:p>
        </w:tc>
        <w:tc>
          <w:tcPr>
            <w:tcW w:type="dxa" w:w="1805"/>
          </w:tcPr>
          <w:p>
            <w:r/>
            <w:r>
              <w:rPr>
                <w:rFonts w:ascii="Times New Roman" w:hAnsi="Times New Roman"/>
                <w:b w:val="0"/>
                <w:i w:val="0"/>
                <w:sz w:val="18"/>
              </w:rPr>
              <w:t>SOX10→myelin OR = 27 (emp p = 0.0005); CEBPB OR = 16.5 (p = 0.024); GATA2 OR = 4.6 (p = 0.047); blood activation BH-q = 1.1 × 10⁻⁸</w:t>
            </w:r>
          </w:p>
        </w:tc>
      </w:tr>
      <w:tr>
        <w:tc>
          <w:tcPr>
            <w:tcW w:type="dxa" w:w="1806"/>
          </w:tcPr>
          <w:p>
            <w:r/>
            <w:r>
              <w:rPr>
                <w:rFonts w:ascii="Times New Roman" w:hAnsi="Times New Roman"/>
                <w:b/>
                <w:i w:val="0"/>
                <w:sz w:val="18"/>
              </w:rPr>
              <w:t>L4</w:t>
            </w:r>
            <w:r>
              <w:rPr>
                <w:rFonts w:ascii="Times New Roman" w:hAnsi="Times New Roman"/>
                <w:b w:val="0"/>
                <w:i w:val="0"/>
                <w:sz w:val="18"/>
              </w:rPr>
              <w:t xml:space="preserve"> Translational hypothesis generation</w:t>
            </w:r>
          </w:p>
        </w:tc>
        <w:tc>
          <w:tcPr>
            <w:tcW w:type="dxa" w:w="1805"/>
          </w:tcPr>
          <w:p>
            <w:r/>
            <w:r>
              <w:rPr>
                <w:rFonts w:ascii="Times New Roman" w:hAnsi="Times New Roman"/>
                <w:b w:val="0"/>
                <w:i w:val="0"/>
                <w:sz w:val="18"/>
              </w:rPr>
              <w:t>Which drugs reverse the injury signature?</w:t>
            </w:r>
          </w:p>
        </w:tc>
        <w:tc>
          <w:tcPr>
            <w:tcW w:type="dxa" w:w="1805"/>
          </w:tcPr>
          <w:p>
            <w:r/>
            <w:r>
              <w:rPr>
                <w:rFonts w:ascii="Times New Roman" w:hAnsi="Times New Roman"/>
                <w:b w:val="0"/>
                <w:i w:val="0"/>
                <w:sz w:val="18"/>
              </w:rPr>
              <w:t>L1000CDS2 reverse-matching of the robust 24 h signature</w:t>
            </w:r>
          </w:p>
        </w:tc>
        <w:tc>
          <w:tcPr>
            <w:tcW w:type="dxa" w:w="1805"/>
          </w:tcPr>
          <w:p>
            <w:r/>
            <w:r>
              <w:rPr>
                <w:rFonts w:ascii="Times New Roman" w:hAnsi="Times New Roman"/>
                <w:b w:val="0"/>
                <w:i w:val="0"/>
                <w:sz w:val="18"/>
              </w:rPr>
              <w:t>Perturbation-direction concordance</w:t>
            </w:r>
          </w:p>
        </w:tc>
        <w:tc>
          <w:tcPr>
            <w:tcW w:type="dxa" w:w="1805"/>
          </w:tcPr>
          <w:p>
            <w:r/>
            <w:r>
              <w:rPr>
                <w:rFonts w:ascii="Times New Roman" w:hAnsi="Times New Roman"/>
                <w:b w:val="0"/>
                <w:i w:val="0"/>
                <w:sz w:val="18"/>
              </w:rPr>
              <w:t>Robust hits vorinostat / trichostatin A / Mevastatin / Rosuvastatin; permutation p = 0.33 (n.s.) → hypothesis generation, not efficacy prediction</w:t>
            </w:r>
          </w:p>
        </w:tc>
      </w:tr>
      <w:tr>
        <w:tc>
          <w:tcPr>
            <w:tcW w:type="dxa" w:w="1806"/>
          </w:tcPr>
          <w:p>
            <w:r/>
            <w:r>
              <w:rPr>
                <w:rFonts w:ascii="Times New Roman" w:hAnsi="Times New Roman"/>
                <w:b/>
                <w:i w:val="0"/>
                <w:sz w:val="18"/>
              </w:rPr>
              <w:t>L5</w:t>
            </w:r>
            <w:r>
              <w:rPr>
                <w:rFonts w:ascii="Times New Roman" w:hAnsi="Times New Roman"/>
                <w:b w:val="0"/>
                <w:i w:val="0"/>
                <w:sz w:val="18"/>
              </w:rPr>
              <w:t xml:space="preserve"> Directional causal support</w:t>
            </w:r>
          </w:p>
        </w:tc>
        <w:tc>
          <w:tcPr>
            <w:tcW w:type="dxa" w:w="1805"/>
          </w:tcPr>
          <w:p>
            <w:r/>
            <w:r>
              <w:rPr>
                <w:rFonts w:ascii="Times New Roman" w:hAnsi="Times New Roman"/>
                <w:b w:val="0"/>
                <w:i w:val="0"/>
                <w:sz w:val="18"/>
              </w:rPr>
              <w:t>Is the program directionally supported by independent perturbation?</w:t>
            </w:r>
          </w:p>
        </w:tc>
        <w:tc>
          <w:tcPr>
            <w:tcW w:type="dxa" w:w="1805"/>
          </w:tcPr>
          <w:p>
            <w:r/>
            <w:r>
              <w:rPr>
                <w:rFonts w:ascii="Times New Roman" w:hAnsi="Times New Roman"/>
                <w:b w:val="0"/>
                <w:i w:val="0"/>
                <w:sz w:val="18"/>
              </w:rPr>
              <w:t>Native-lineage KO (L5a) + LINCS OE (L5b) + K562 sc-CRISPRi (L5c) triangulation</w:t>
            </w:r>
          </w:p>
        </w:tc>
        <w:tc>
          <w:tcPr>
            <w:tcW w:type="dxa" w:w="1805"/>
          </w:tcPr>
          <w:p>
            <w:r/>
            <w:r>
              <w:rPr>
                <w:rFonts w:ascii="Times New Roman" w:hAnsi="Times New Roman"/>
                <w:b w:val="0"/>
                <w:i w:val="0"/>
                <w:sz w:val="18"/>
              </w:rPr>
              <w:t>Independent directional perturbation</w:t>
            </w:r>
          </w:p>
        </w:tc>
        <w:tc>
          <w:tcPr>
            <w:tcW w:type="dxa" w:w="1805"/>
          </w:tcPr>
          <w:p>
            <w:r/>
            <w:r>
              <w:rPr>
                <w:rFonts w:ascii="Times New Roman" w:hAnsi="Times New Roman"/>
                <w:b w:val="0"/>
                <w:i w:val="0"/>
                <w:sz w:val="18"/>
              </w:rPr>
              <w:t>L5a: Sox10 rank 46/412, Cebpb rank 149/404; L5b: GATA2 OE rank 3/33,782 (p = 1.4 × 10⁻⁵); L5c: context-gated null with K562 positive controls (MYC rank 19/332)</w:t>
            </w:r>
          </w:p>
        </w:tc>
      </w:tr>
    </w:tbl>
    <w:p/>
    <w:p>
      <w:r>
        <w:rPr>
          <w:rFonts w:ascii="Times New Roman" w:hAnsi="Times New Roman"/>
          <w:b/>
          <w:i w:val="0"/>
          <w:sz w:val="22"/>
        </w:rPr>
        <w:t>[Figure 7 about here, Five-level evidence ladder (L1–L5) visual summary]</w:t>
      </w:r>
    </w:p>
    <w:p>
      <w:r>
        <w:rPr>
          <w:rFonts w:ascii="Times New Roman" w:hAnsi="Times New Roman"/>
          <w:b/>
          <w:i w:val="0"/>
          <w:sz w:val="22"/>
        </w:rPr>
        <w:t>[Table 2 about here, Summary of significant edges per transition]</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c>
          <w:tcPr>
            <w:tcW w:type="dxa" w:w="2258"/>
            <w:shd w:val="clear" w:color="auto" w:fill="D9E2F3"/>
          </w:tcPr>
          <w:p>
            <w:r>
              <w:rPr>
                <w:b/>
              </w:rPr>
            </w:r>
            <w:r>
              <w:rPr>
                <w:rFonts w:ascii="Times New Roman" w:hAnsi="Times New Roman"/>
                <w:b/>
                <w:i w:val="0"/>
                <w:sz w:val="18"/>
              </w:rPr>
              <w:t>Transition</w:t>
            </w:r>
          </w:p>
        </w:tc>
        <w:tc>
          <w:tcPr>
            <w:tcW w:type="dxa" w:w="2256"/>
            <w:shd w:val="clear" w:color="auto" w:fill="D9E2F3"/>
          </w:tcPr>
          <w:p>
            <w:r>
              <w:rPr>
                <w:b/>
              </w:rPr>
            </w:r>
            <w:r>
              <w:rPr>
                <w:rFonts w:ascii="Times New Roman" w:hAnsi="Times New Roman"/>
                <w:b/>
                <w:i w:val="0"/>
                <w:sz w:val="18"/>
              </w:rPr>
              <w:t>Phase</w:t>
            </w:r>
          </w:p>
        </w:tc>
        <w:tc>
          <w:tcPr>
            <w:tcW w:type="dxa" w:w="2256"/>
            <w:shd w:val="clear" w:color="auto" w:fill="D9E2F3"/>
          </w:tcPr>
          <w:p>
            <w:r>
              <w:rPr>
                <w:b/>
              </w:rPr>
            </w:r>
            <w:r>
              <w:rPr>
                <w:rFonts w:ascii="Times New Roman" w:hAnsi="Times New Roman"/>
                <w:b/>
                <w:i w:val="0"/>
                <w:sz w:val="18"/>
              </w:rPr>
              <w:t># Sig. edges (q &lt; 0.05)</w:t>
            </w:r>
          </w:p>
        </w:tc>
        <w:tc>
          <w:tcPr>
            <w:tcW w:type="dxa" w:w="2256"/>
            <w:shd w:val="clear" w:color="auto" w:fill="D9E2F3"/>
          </w:tcPr>
          <w:p>
            <w:r>
              <w:rPr>
                <w:b/>
              </w:rPr>
            </w:r>
            <w:r>
              <w:rPr>
                <w:rFonts w:ascii="Times New Roman" w:hAnsi="Times New Roman"/>
                <w:b/>
                <w:i w:val="0"/>
                <w:sz w:val="18"/>
              </w:rPr>
              <w:t>Representative rewired edges (ΔW, q)</w:t>
            </w:r>
          </w:p>
        </w:tc>
      </w:tr>
      <w:tr>
        <w:tc>
          <w:tcPr>
            <w:tcW w:type="dxa" w:w="2258"/>
          </w:tcPr>
          <w:p>
            <w:r/>
            <w:r>
              <w:rPr>
                <w:rFonts w:ascii="Times New Roman" w:hAnsi="Times New Roman"/>
                <w:b w:val="0"/>
                <w:i w:val="0"/>
                <w:sz w:val="18"/>
              </w:rPr>
              <w:t>sham→24 h</w:t>
            </w:r>
          </w:p>
        </w:tc>
        <w:tc>
          <w:tcPr>
            <w:tcW w:type="dxa" w:w="2256"/>
          </w:tcPr>
          <w:p>
            <w:r/>
            <w:r>
              <w:rPr>
                <w:rFonts w:ascii="Times New Roman" w:hAnsi="Times New Roman"/>
                <w:b w:val="0"/>
                <w:i w:val="0"/>
                <w:sz w:val="18"/>
              </w:rPr>
              <w:t>Acute onset</w:t>
            </w:r>
          </w:p>
        </w:tc>
        <w:tc>
          <w:tcPr>
            <w:tcW w:type="dxa" w:w="2256"/>
          </w:tcPr>
          <w:p>
            <w:r/>
            <w:r>
              <w:rPr>
                <w:rFonts w:ascii="Times New Roman" w:hAnsi="Times New Roman"/>
                <w:b w:val="0"/>
                <w:i w:val="0"/>
                <w:sz w:val="18"/>
              </w:rPr>
              <w:t>8</w:t>
            </w:r>
          </w:p>
        </w:tc>
        <w:tc>
          <w:tcPr>
            <w:tcW w:type="dxa" w:w="2256"/>
          </w:tcPr>
          <w:p>
            <w:r/>
            <w:r>
              <w:rPr>
                <w:rFonts w:ascii="Times New Roman" w:hAnsi="Times New Roman"/>
                <w:b w:val="0"/>
                <w:i/>
                <w:sz w:val="18"/>
              </w:rPr>
              <w:t>Tbx21→Cxcr3</w:t>
            </w:r>
            <w:r>
              <w:rPr>
                <w:rFonts w:ascii="Times New Roman" w:hAnsi="Times New Roman"/>
                <w:b w:val="0"/>
                <w:i w:val="0"/>
                <w:sz w:val="18"/>
              </w:rPr>
              <w:t xml:space="preserve"> (ΔW = −0.21, coupling loss)</w:t>
            </w:r>
          </w:p>
        </w:tc>
      </w:tr>
      <w:tr>
        <w:tc>
          <w:tcPr>
            <w:tcW w:type="dxa" w:w="2258"/>
          </w:tcPr>
          <w:p>
            <w:r/>
            <w:r>
              <w:rPr>
                <w:rFonts w:ascii="Times New Roman" w:hAnsi="Times New Roman"/>
                <w:b w:val="0"/>
                <w:i w:val="0"/>
                <w:sz w:val="18"/>
              </w:rPr>
              <w:t>24 h→2 d</w:t>
            </w:r>
          </w:p>
        </w:tc>
        <w:tc>
          <w:tcPr>
            <w:tcW w:type="dxa" w:w="2256"/>
          </w:tcPr>
          <w:p>
            <w:r/>
            <w:r>
              <w:rPr>
                <w:rFonts w:ascii="Times New Roman" w:hAnsi="Times New Roman"/>
                <w:b w:val="0"/>
                <w:i w:val="0"/>
                <w:sz w:val="18"/>
              </w:rPr>
              <w:t>Repair initiation</w:t>
            </w:r>
          </w:p>
        </w:tc>
        <w:tc>
          <w:tcPr>
            <w:tcW w:type="dxa" w:w="2256"/>
          </w:tcPr>
          <w:p>
            <w:r/>
            <w:r>
              <w:rPr>
                <w:rFonts w:ascii="Times New Roman" w:hAnsi="Times New Roman"/>
                <w:b w:val="0"/>
                <w:i w:val="0"/>
                <w:sz w:val="18"/>
              </w:rPr>
              <w:t>28</w:t>
            </w:r>
          </w:p>
        </w:tc>
        <w:tc>
          <w:tcPr>
            <w:tcW w:type="dxa" w:w="2256"/>
          </w:tcPr>
          <w:p>
            <w:r/>
            <w:r>
              <w:rPr>
                <w:rFonts w:ascii="Times New Roman" w:hAnsi="Times New Roman"/>
                <w:b w:val="0"/>
                <w:i/>
                <w:sz w:val="18"/>
              </w:rPr>
              <w:t>Sox2→Lsamp</w:t>
            </w:r>
            <w:r>
              <w:rPr>
                <w:rFonts w:ascii="Times New Roman" w:hAnsi="Times New Roman"/>
                <w:b w:val="0"/>
                <w:i w:val="0"/>
                <w:sz w:val="18"/>
              </w:rPr>
              <w:t xml:space="preserve"> (ΔW = +0.86), </w:t>
            </w:r>
            <w:r>
              <w:rPr>
                <w:rFonts w:ascii="Times New Roman" w:hAnsi="Times New Roman"/>
                <w:b w:val="0"/>
                <w:i/>
                <w:sz w:val="18"/>
              </w:rPr>
              <w:t>Sox10→Ank3</w:t>
            </w:r>
            <w:r>
              <w:rPr>
                <w:rFonts w:ascii="Times New Roman" w:hAnsi="Times New Roman"/>
                <w:b w:val="0"/>
                <w:i w:val="0"/>
                <w:sz w:val="18"/>
              </w:rPr>
              <w:t xml:space="preserve"> (ΔW = +0.74); both q &lt; 0.001</w:t>
            </w:r>
          </w:p>
        </w:tc>
      </w:tr>
      <w:tr>
        <w:tc>
          <w:tcPr>
            <w:tcW w:type="dxa" w:w="2258"/>
          </w:tcPr>
          <w:p>
            <w:r/>
            <w:r>
              <w:rPr>
                <w:rFonts w:ascii="Times New Roman" w:hAnsi="Times New Roman"/>
                <w:b w:val="0"/>
                <w:i w:val="0"/>
                <w:sz w:val="18"/>
              </w:rPr>
              <w:t>2 d→14 d</w:t>
            </w:r>
          </w:p>
        </w:tc>
        <w:tc>
          <w:tcPr>
            <w:tcW w:type="dxa" w:w="2256"/>
          </w:tcPr>
          <w:p>
            <w:r/>
            <w:r>
              <w:rPr>
                <w:rFonts w:ascii="Times New Roman" w:hAnsi="Times New Roman"/>
                <w:b w:val="0"/>
                <w:i w:val="0"/>
                <w:sz w:val="18"/>
              </w:rPr>
              <w:t>Active remyelination</w:t>
            </w:r>
          </w:p>
        </w:tc>
        <w:tc>
          <w:tcPr>
            <w:tcW w:type="dxa" w:w="2256"/>
          </w:tcPr>
          <w:p>
            <w:r/>
            <w:r>
              <w:rPr>
                <w:rFonts w:ascii="Times New Roman" w:hAnsi="Times New Roman"/>
                <w:b w:val="0"/>
                <w:i w:val="0"/>
                <w:sz w:val="18"/>
              </w:rPr>
              <w:t>19</w:t>
            </w:r>
          </w:p>
        </w:tc>
        <w:tc>
          <w:tcPr>
            <w:tcW w:type="dxa" w:w="2256"/>
          </w:tcPr>
          <w:p>
            <w:r/>
            <w:r>
              <w:rPr>
                <w:rFonts w:ascii="Times New Roman" w:hAnsi="Times New Roman"/>
                <w:b w:val="0"/>
                <w:i/>
                <w:sz w:val="18"/>
              </w:rPr>
              <w:t>Sox10→Plp1</w:t>
            </w:r>
            <w:r>
              <w:rPr>
                <w:rFonts w:ascii="Times New Roman" w:hAnsi="Times New Roman"/>
                <w:b w:val="0"/>
                <w:i w:val="0"/>
                <w:sz w:val="18"/>
              </w:rPr>
              <w:t xml:space="preserve"> (ΔW = +0.51), </w:t>
            </w:r>
            <w:r>
              <w:rPr>
                <w:rFonts w:ascii="Times New Roman" w:hAnsi="Times New Roman"/>
                <w:b w:val="0"/>
                <w:i/>
                <w:sz w:val="18"/>
              </w:rPr>
              <w:t>Hey2→Acta2</w:t>
            </w:r>
            <w:r>
              <w:rPr>
                <w:rFonts w:ascii="Times New Roman" w:hAnsi="Times New Roman"/>
                <w:b w:val="0"/>
                <w:i w:val="0"/>
                <w:sz w:val="18"/>
              </w:rPr>
              <w:t xml:space="preserve"> (ΔW = +0.59); both q &lt; 0.001</w:t>
            </w:r>
          </w:p>
        </w:tc>
      </w:tr>
      <w:tr>
        <w:tc>
          <w:tcPr>
            <w:tcW w:type="dxa" w:w="2258"/>
          </w:tcPr>
          <w:p>
            <w:r/>
            <w:r>
              <w:rPr>
                <w:rFonts w:ascii="Times New Roman" w:hAnsi="Times New Roman"/>
                <w:b w:val="0"/>
                <w:i w:val="0"/>
                <w:sz w:val="18"/>
              </w:rPr>
              <w:t>sham→14 d</w:t>
            </w:r>
          </w:p>
        </w:tc>
        <w:tc>
          <w:tcPr>
            <w:tcW w:type="dxa" w:w="2256"/>
          </w:tcPr>
          <w:p>
            <w:r/>
            <w:r>
              <w:rPr>
                <w:rFonts w:ascii="Times New Roman" w:hAnsi="Times New Roman"/>
                <w:b w:val="0"/>
                <w:i w:val="0"/>
                <w:sz w:val="18"/>
              </w:rPr>
              <w:t>Inflammation resolution</w:t>
            </w:r>
          </w:p>
        </w:tc>
        <w:tc>
          <w:tcPr>
            <w:tcW w:type="dxa" w:w="2256"/>
          </w:tcPr>
          <w:p>
            <w:r/>
            <w:r>
              <w:rPr>
                <w:rFonts w:ascii="Times New Roman" w:hAnsi="Times New Roman"/>
                <w:b w:val="0"/>
                <w:i w:val="0"/>
                <w:sz w:val="18"/>
              </w:rPr>
              <w:t>36</w:t>
            </w:r>
          </w:p>
        </w:tc>
        <w:tc>
          <w:tcPr>
            <w:tcW w:type="dxa" w:w="2256"/>
          </w:tcPr>
          <w:p>
            <w:r/>
            <w:r>
              <w:rPr>
                <w:rFonts w:ascii="Times New Roman" w:hAnsi="Times New Roman"/>
                <w:b w:val="0"/>
                <w:i/>
                <w:sz w:val="18"/>
              </w:rPr>
              <w:t>Sox9→Hapln1</w:t>
            </w:r>
            <w:r>
              <w:rPr>
                <w:rFonts w:ascii="Times New Roman" w:hAnsi="Times New Roman"/>
                <w:b w:val="0"/>
                <w:i w:val="0"/>
                <w:sz w:val="18"/>
              </w:rPr>
              <w:t xml:space="preserve"> (ΔW = +0.79), </w:t>
            </w:r>
            <w:r>
              <w:rPr>
                <w:rFonts w:ascii="Times New Roman" w:hAnsi="Times New Roman"/>
                <w:b w:val="0"/>
                <w:i/>
                <w:sz w:val="18"/>
              </w:rPr>
              <w:t>Sox10→Plp1</w:t>
            </w:r>
            <w:r>
              <w:rPr>
                <w:rFonts w:ascii="Times New Roman" w:hAnsi="Times New Roman"/>
                <w:b w:val="0"/>
                <w:i w:val="0"/>
                <w:sz w:val="18"/>
              </w:rPr>
              <w:t xml:space="preserve"> (ΔW = +0.42); both q &lt; 0.001</w:t>
            </w:r>
          </w:p>
        </w:tc>
      </w:tr>
    </w:tbl>
    <w:p/>
    <w:p>
      <w:pPr>
        <w:pStyle w:val="ListBullet"/>
      </w:pPr>
      <w:r>
        <w:rPr>
          <w:rFonts w:ascii="Times New Roman" w:hAnsi="Times New Roman"/>
          <w:b/>
          <w:i w:val="0"/>
          <w:sz w:val="22"/>
        </w:rPr>
        <w:t>Acute injury onset (sham→24 h, 8 edges):</w:t>
      </w:r>
      <w:r>
        <w:rPr>
          <w:rFonts w:ascii="Times New Roman" w:hAnsi="Times New Roman"/>
          <w:b w:val="0"/>
          <w:i w:val="0"/>
          <w:sz w:val="22"/>
        </w:rPr>
        <w:t xml:space="preserve"> weak but directionally consistent damage/inflammatory coupling (e.g. </w:t>
      </w:r>
      <w:r>
        <w:rPr>
          <w:rFonts w:ascii="Times New Roman" w:hAnsi="Times New Roman"/>
          <w:b w:val="0"/>
          <w:i/>
          <w:sz w:val="22"/>
        </w:rPr>
        <w:t>Tbx21→Cxcr3</w:t>
      </w:r>
      <w:r>
        <w:rPr>
          <w:rFonts w:ascii="Times New Roman" w:hAnsi="Times New Roman"/>
          <w:b w:val="0"/>
          <w:i w:val="0"/>
          <w:sz w:val="22"/>
        </w:rPr>
        <w:t>, ΔW = −0.21).</w:t>
      </w:r>
    </w:p>
    <w:p>
      <w:pPr>
        <w:pStyle w:val="ListBullet"/>
      </w:pPr>
      <w:r>
        <w:rPr>
          <w:rFonts w:ascii="Times New Roman" w:hAnsi="Times New Roman"/>
          <w:b/>
          <w:i w:val="0"/>
          <w:sz w:val="22"/>
        </w:rPr>
        <w:t>Repair initiation (24 h→2 d, 28 edges):</w:t>
      </w:r>
      <w:r>
        <w:rPr>
          <w:rFonts w:ascii="Times New Roman" w:hAnsi="Times New Roman"/>
          <w:b w:val="0"/>
          <w:i w:val="0"/>
          <w:sz w:val="22"/>
        </w:rPr>
        <w:t xml:space="preserve"> a sharp oligodendrocyte-commitment surge, </w:t>
      </w:r>
      <w:r>
        <w:rPr>
          <w:rFonts w:ascii="Times New Roman" w:hAnsi="Times New Roman"/>
          <w:b w:val="0"/>
          <w:i/>
          <w:sz w:val="22"/>
        </w:rPr>
        <w:t>Sox2→Lsamp</w:t>
      </w:r>
      <w:r>
        <w:rPr>
          <w:rFonts w:ascii="Times New Roman" w:hAnsi="Times New Roman"/>
          <w:b w:val="0"/>
          <w:i w:val="0"/>
          <w:sz w:val="22"/>
        </w:rPr>
        <w:t xml:space="preserve"> (ΔW = +0.86) and </w:t>
      </w:r>
      <w:r>
        <w:rPr>
          <w:rFonts w:ascii="Times New Roman" w:hAnsi="Times New Roman"/>
          <w:b w:val="0"/>
          <w:i/>
          <w:sz w:val="22"/>
        </w:rPr>
        <w:t>Sox10→Ank3</w:t>
      </w:r>
      <w:r>
        <w:rPr>
          <w:rFonts w:ascii="Times New Roman" w:hAnsi="Times New Roman"/>
          <w:b w:val="0"/>
          <w:i w:val="0"/>
          <w:sz w:val="22"/>
        </w:rPr>
        <w:t xml:space="preserve"> (ΔW = +0.74), both q &lt; 0.001.</w:t>
      </w:r>
    </w:p>
    <w:p>
      <w:pPr>
        <w:pStyle w:val="ListBullet"/>
      </w:pPr>
      <w:r>
        <w:rPr>
          <w:rFonts w:ascii="Times New Roman" w:hAnsi="Times New Roman"/>
          <w:b/>
          <w:i w:val="0"/>
          <w:sz w:val="22"/>
        </w:rPr>
        <w:t>Active remyelination (2 d→14 d, 19 edges):</w:t>
      </w:r>
      <w:r>
        <w:rPr>
          <w:rFonts w:ascii="Times New Roman" w:hAnsi="Times New Roman"/>
          <w:b w:val="0"/>
          <w:i w:val="0"/>
          <w:sz w:val="22"/>
        </w:rPr>
        <w:t xml:space="preserve"> the canonical myelin edge </w:t>
      </w:r>
      <w:r>
        <w:rPr>
          <w:rFonts w:ascii="Times New Roman" w:hAnsi="Times New Roman"/>
          <w:b/>
          <w:i w:val="0"/>
          <w:sz w:val="22"/>
        </w:rPr>
        <w:t>Sox10→Plp1</w:t>
      </w:r>
      <w:r>
        <w:rPr>
          <w:rFonts w:ascii="Times New Roman" w:hAnsi="Times New Roman"/>
          <w:b w:val="0"/>
          <w:i w:val="0"/>
          <w:sz w:val="22"/>
        </w:rPr>
        <w:t xml:space="preserve"> strengthens markedly (ΔW = +0.51, q &lt; 0.001), independently recovering the remyelination programme; </w:t>
      </w:r>
      <w:r>
        <w:rPr>
          <w:rFonts w:ascii="Times New Roman" w:hAnsi="Times New Roman"/>
          <w:b w:val="0"/>
          <w:i/>
          <w:sz w:val="22"/>
        </w:rPr>
        <w:t>Hey2→Acta2</w:t>
      </w:r>
      <w:r>
        <w:rPr>
          <w:rFonts w:ascii="Times New Roman" w:hAnsi="Times New Roman"/>
          <w:b w:val="0"/>
          <w:i w:val="0"/>
          <w:sz w:val="22"/>
        </w:rPr>
        <w:t xml:space="preserve"> (ΔW = +0.59) marks vessel-wall remodelling.</w:t>
      </w:r>
    </w:p>
    <w:p>
      <w:pPr>
        <w:pStyle w:val="ListBullet"/>
      </w:pPr>
      <w:r>
        <w:rPr>
          <w:rFonts w:ascii="Times New Roman" w:hAnsi="Times New Roman"/>
          <w:b/>
          <w:i w:val="0"/>
          <w:sz w:val="22"/>
        </w:rPr>
        <w:t>Inflammation resolution (sham→14 d, 36 edges):</w:t>
      </w:r>
      <w:r>
        <w:rPr>
          <w:rFonts w:ascii="Times New Roman" w:hAnsi="Times New Roman"/>
          <w:b w:val="0"/>
          <w:i w:val="0"/>
          <w:sz w:val="22"/>
        </w:rPr>
        <w:t xml:space="preserve"> </w:t>
      </w:r>
      <w:r>
        <w:rPr>
          <w:rFonts w:ascii="Times New Roman" w:hAnsi="Times New Roman"/>
          <w:b w:val="0"/>
          <w:i/>
          <w:sz w:val="22"/>
        </w:rPr>
        <w:t>Sox9→Hapln1</w:t>
      </w:r>
      <w:r>
        <w:rPr>
          <w:rFonts w:ascii="Times New Roman" w:hAnsi="Times New Roman"/>
          <w:b w:val="0"/>
          <w:i w:val="0"/>
          <w:sz w:val="22"/>
        </w:rPr>
        <w:t xml:space="preserve"> (ΔW = +0.79) and </w:t>
      </w:r>
      <w:r>
        <w:rPr>
          <w:rFonts w:ascii="Times New Roman" w:hAnsi="Times New Roman"/>
          <w:b w:val="0"/>
          <w:i/>
          <w:sz w:val="22"/>
        </w:rPr>
        <w:t>Sox10→Plp1</w:t>
      </w:r>
      <w:r>
        <w:rPr>
          <w:rFonts w:ascii="Times New Roman" w:hAnsi="Times New Roman"/>
          <w:b w:val="0"/>
          <w:i w:val="0"/>
          <w:sz w:val="22"/>
        </w:rPr>
        <w:t xml:space="preserve"> (ΔW = +0.42) couple positively with repair, tracking inflammatory resolution.</w:t>
      </w:r>
    </w:p>
    <w:p>
      <w:r>
        <w:rPr>
          <w:rFonts w:ascii="Times New Roman" w:hAnsi="Times New Roman"/>
          <w:b/>
          <w:i w:val="0"/>
          <w:sz w:val="22"/>
        </w:rPr>
        <w:t>Recovery of established programs (Level 2).</w:t>
      </w:r>
      <w:r>
        <w:rPr>
          <w:rFonts w:ascii="Times New Roman" w:hAnsi="Times New Roman"/>
          <w:b w:val="0"/>
          <w:i w:val="0"/>
          <w:sz w:val="22"/>
        </w:rPr>
        <w:t xml:space="preserve"> The recovered master regulators aligned with established post-stroke repair biology </w:t>
      </w:r>
      <w:r>
        <w:rPr>
          <w:rFonts w:ascii="Times New Roman" w:hAnsi="Times New Roman"/>
          <w:b w:val="0"/>
          <w:i w:val="0"/>
          <w:sz w:val="22"/>
          <w:vertAlign w:val="superscript"/>
        </w:rPr>
        <w:t>23, 24, 25</w:t>
      </w:r>
      <w:r>
        <w:rPr>
          <w:rFonts w:ascii="Times New Roman" w:hAnsi="Times New Roman"/>
          <w:b w:val="0"/>
          <w:i w:val="0"/>
          <w:sz w:val="22"/>
        </w:rPr>
        <w:t xml:space="preserve">. </w:t>
      </w:r>
      <w:r>
        <w:rPr>
          <w:rFonts w:ascii="Times New Roman" w:hAnsi="Times New Roman"/>
          <w:b/>
          <w:i w:val="0"/>
          <w:sz w:val="22"/>
        </w:rPr>
        <w:t>Sox10, Sox2 and Sox9</w:t>
      </w:r>
      <w:r>
        <w:rPr>
          <w:rFonts w:ascii="Times New Roman" w:hAnsi="Times New Roman"/>
          <w:b w:val="0"/>
          <w:i w:val="0"/>
          <w:sz w:val="22"/>
        </w:rPr>
        <w:t xml:space="preserve">, canonical master regulators of oligodendrocyte lineage commitment and myelin regeneration, drove the strongest rewiring and links to the top remyelination edge </w:t>
      </w:r>
      <w:r>
        <w:rPr>
          <w:rFonts w:ascii="Times New Roman" w:hAnsi="Times New Roman"/>
          <w:b w:val="0"/>
          <w:i/>
          <w:sz w:val="22"/>
        </w:rPr>
        <w:t>Sox10→Plp1</w:t>
      </w:r>
      <w:r>
        <w:rPr>
          <w:rFonts w:ascii="Times New Roman" w:hAnsi="Times New Roman"/>
          <w:b w:val="0"/>
          <w:i w:val="0"/>
          <w:sz w:val="22"/>
        </w:rPr>
        <w:t xml:space="preserve">. As a negative control, under the strict q &lt; 0.1 threshold, the </w:t>
      </w:r>
      <w:r>
        <w:rPr>
          <w:rFonts w:ascii="Times New Roman" w:hAnsi="Times New Roman"/>
          <w:b w:val="0"/>
          <w:i/>
          <w:sz w:val="22"/>
        </w:rPr>
        <w:t>only</w:t>
      </w:r>
      <w:r>
        <w:rPr>
          <w:rFonts w:ascii="Times New Roman" w:hAnsi="Times New Roman"/>
          <w:b w:val="0"/>
          <w:i w:val="0"/>
          <w:sz w:val="22"/>
        </w:rPr>
        <w:t xml:space="preserve"> TF reproduced across all three analyses was </w:t>
      </w:r>
      <w:r>
        <w:rPr>
          <w:rFonts w:ascii="Times New Roman" w:hAnsi="Times New Roman"/>
          <w:b/>
          <w:i w:val="0"/>
          <w:sz w:val="22"/>
        </w:rPr>
        <w:t>Fos</w:t>
      </w:r>
      <w:r>
        <w:rPr>
          <w:rFonts w:ascii="Times New Roman" w:hAnsi="Times New Roman"/>
          <w:b w:val="0"/>
          <w:i w:val="0"/>
          <w:sz w:val="22"/>
        </w:rPr>
        <w:t xml:space="preserve">, an immediate-early / AP-1 stress-response gene non-specifically induced by any injury </w:t>
      </w:r>
      <w:r>
        <w:rPr>
          <w:rFonts w:ascii="Times New Roman" w:hAnsi="Times New Roman"/>
          <w:b w:val="0"/>
          <w:i w:val="0"/>
          <w:sz w:val="22"/>
          <w:vertAlign w:val="superscript"/>
        </w:rPr>
        <w:t>26</w:t>
      </w:r>
      <w:r>
        <w:rPr>
          <w:rFonts w:ascii="Times New Roman" w:hAnsi="Times New Roman"/>
          <w:b w:val="0"/>
          <w:i w:val="0"/>
          <w:sz w:val="22"/>
        </w:rPr>
        <w:t>; we surface this as a stress-artifact control rather than a biological signal.</w:t>
      </w:r>
    </w:p>
    <w:p>
      <w:r>
        <w:rPr>
          <w:rFonts w:ascii="Times New Roman" w:hAnsi="Times New Roman"/>
          <w:b/>
          <w:i w:val="0"/>
          <w:sz w:val="22"/>
        </w:rPr>
        <w:t>Sanity of recovered targets.</w:t>
      </w:r>
      <w:r>
        <w:rPr>
          <w:rFonts w:ascii="Times New Roman" w:hAnsi="Times New Roman"/>
          <w:b w:val="0"/>
          <w:i w:val="0"/>
          <w:sz w:val="22"/>
        </w:rPr>
        <w:t xml:space="preserve"> Targets of significant rewired edges were enriched for oligodendrocyte (OR 36–61), neuron (OR 110) and microglia (OR 15) markers; 14/15 known stroke-relevant TFs appeared, and 69–79 % of significant edges (pooled 74 %) preserved their direction after PC composition correction, confirming the rewiring signal is not a compositional artefact. PC correction flipping raw→PC direction (e.g. </w:t>
      </w:r>
      <w:r>
        <w:rPr>
          <w:rFonts w:ascii="Times New Roman" w:hAnsi="Times New Roman"/>
          <w:b w:val="0"/>
          <w:i/>
          <w:sz w:val="22"/>
        </w:rPr>
        <w:t>Sox10→Ank3</w:t>
      </w:r>
      <w:r>
        <w:rPr>
          <w:rFonts w:ascii="Times New Roman" w:hAnsi="Times New Roman"/>
          <w:b w:val="0"/>
          <w:i w:val="0"/>
          <w:sz w:val="22"/>
        </w:rPr>
        <w:t>: raw −0.38 → +0.73) demonstrates that composition masking can hide true regulatory gain and that the corrected estimate is the more reliable rewiring measure.</w:t>
      </w:r>
    </w:p>
    <w:p>
      <w:r>
        <w:rPr>
          <w:rFonts w:ascii="Times New Roman" w:hAnsi="Times New Roman"/>
          <w:b/>
          <w:i w:val="0"/>
          <w:sz w:val="22"/>
        </w:rPr>
        <w:t>[Figure 3 about here, Temporal rewiring heatmaps per transition]</w:t>
      </w:r>
    </w:p>
    <w:p>
      <w:pPr>
        <w:pStyle w:val="Heading2"/>
      </w:pPr>
      <w:r>
        <w:rPr>
          <w:rFonts w:ascii="Times New Roman" w:hAnsi="Times New Roman"/>
          <w:b/>
          <w:i w:val="0"/>
          <w:sz w:val="24"/>
        </w:rPr>
        <w:t>3.4 Level 1, Cross-cohort master-regulator reproducibility</w:t>
      </w:r>
    </w:p>
    <w:p>
      <w:r>
        <w:rPr>
          <w:rFonts w:ascii="Times New Roman" w:hAnsi="Times New Roman"/>
          <w:b w:val="0"/>
          <w:i w:val="0"/>
          <w:sz w:val="22"/>
        </w:rPr>
        <w:t xml:space="preserve">To test technical stability we re-derived the rewiring on the two independent cohorts and compared </w:t>
      </w:r>
      <w:r>
        <w:rPr>
          <w:rFonts w:ascii="Times New Roman" w:hAnsi="Times New Roman"/>
          <w:b/>
          <w:i w:val="0"/>
          <w:sz w:val="22"/>
        </w:rPr>
        <w:t>TF master-regulator rankings</w:t>
      </w:r>
      <w:r>
        <w:rPr>
          <w:rFonts w:ascii="Times New Roman" w:hAnsi="Times New Roman"/>
          <w:b w:val="0"/>
          <w:i w:val="0"/>
          <w:sz w:val="22"/>
        </w:rPr>
        <w:t xml:space="preserve"> against the integrated analysis. Because the integrated "sham" baseline mixes cells from both cohorts, with no shared transition and a different gene space, we evaluate reproducibility at the </w:t>
      </w:r>
      <w:r>
        <w:rPr>
          <w:rFonts w:ascii="Times New Roman" w:hAnsi="Times New Roman"/>
          <w:b/>
          <w:i w:val="0"/>
          <w:sz w:val="22"/>
        </w:rPr>
        <w:t>master-regulator level</w:t>
      </w:r>
      <w:r>
        <w:rPr>
          <w:rFonts w:ascii="Times New Roman" w:hAnsi="Times New Roman"/>
          <w:b w:val="0"/>
          <w:i w:val="0"/>
          <w:sz w:val="22"/>
        </w:rPr>
        <w:t xml:space="preserve">, where the biological signal is robust, rather than at the edge level, where single-edge estimates are intrinsically noisy. The integrated ranking pools all four transitions, two of which are stitched cross-cohort pseudo-transitions (4.3); the ρ therefore reflects TFs that drive rewiring in general, with </w:t>
      </w:r>
      <w:r>
        <w:rPr>
          <w:rFonts w:ascii="Times New Roman" w:hAnsi="Times New Roman"/>
          <w:b w:val="0"/>
          <w:i/>
          <w:sz w:val="22"/>
        </w:rPr>
        <w:t>Sox10</w:t>
      </w:r>
      <w:r>
        <w:rPr>
          <w:rFonts w:ascii="Times New Roman" w:hAnsi="Times New Roman"/>
          <w:b w:val="0"/>
          <w:i w:val="0"/>
          <w:sz w:val="22"/>
        </w:rPr>
        <w:t xml:space="preserve"> the clean cross-cohort-reproduced exemplar.</w:t>
      </w:r>
    </w:p>
    <w:p>
      <w:r>
        <w:rPr>
          <w:rFonts w:ascii="Times New Roman" w:hAnsi="Times New Roman"/>
          <w:b w:val="0"/>
          <w:i w:val="0"/>
          <w:sz w:val="22"/>
        </w:rPr>
        <w:t>The master-regulator ranking reproduced significantly across cohorts (Table S1):</w:t>
      </w:r>
    </w:p>
    <w:p>
      <w:r>
        <w:rPr>
          <w:rFonts w:ascii="Times New Roman" w:hAnsi="Times New Roman"/>
          <w:b/>
          <w:i w:val="0"/>
          <w:sz w:val="22"/>
        </w:rPr>
        <w:t>Sox10</w:t>
      </w:r>
      <w:r>
        <w:rPr>
          <w:rFonts w:ascii="Times New Roman" w:hAnsi="Times New Roman"/>
          <w:b w:val="0"/>
          <w:i w:val="0"/>
          <w:sz w:val="22"/>
        </w:rPr>
        <w:t xml:space="preserve"> appeared in the top-20 |ΔW|max TFs of </w:t>
      </w:r>
      <w:r>
        <w:rPr>
          <w:rFonts w:ascii="Times New Roman" w:hAnsi="Times New Roman"/>
          <w:b/>
          <w:i w:val="0"/>
          <w:sz w:val="22"/>
        </w:rPr>
        <w:t>all three</w:t>
      </w:r>
      <w:r>
        <w:rPr>
          <w:rFonts w:ascii="Times New Roman" w:hAnsi="Times New Roman"/>
          <w:b w:val="0"/>
          <w:i w:val="0"/>
          <w:sz w:val="22"/>
        </w:rPr>
        <w:t xml:space="preserve"> analyses; </w:t>
      </w:r>
      <w:r>
        <w:rPr>
          <w:rFonts w:ascii="Times New Roman" w:hAnsi="Times New Roman"/>
          <w:b/>
          <w:i w:val="0"/>
          <w:sz w:val="22"/>
        </w:rPr>
        <w:t>Sox2/Sox9</w:t>
      </w:r>
      <w:r>
        <w:rPr>
          <w:rFonts w:ascii="Times New Roman" w:hAnsi="Times New Roman"/>
          <w:b w:val="0"/>
          <w:i w:val="0"/>
          <w:sz w:val="22"/>
        </w:rPr>
        <w:t xml:space="preserve"> reproduced in ≥2. By contrast, individual edge-level significance did </w:t>
      </w:r>
      <w:r>
        <w:rPr>
          <w:rFonts w:ascii="Times New Roman" w:hAnsi="Times New Roman"/>
          <w:b/>
          <w:i w:val="0"/>
          <w:sz w:val="22"/>
        </w:rPr>
        <w:t>not</w:t>
      </w:r>
      <w:r>
        <w:rPr>
          <w:rFonts w:ascii="Times New Roman" w:hAnsi="Times New Roman"/>
          <w:b w:val="0"/>
          <w:i w:val="0"/>
          <w:sz w:val="22"/>
        </w:rPr>
        <w:t xml:space="preserve"> reproduce across cohorts (direction agreement ≈ 0.52, i.e. at chance; Jaccard ≈ 0), consistent with the high intrinsic variance of single-edge estimates under a fixed-graph/linear-readout method, and reported here as expected behaviour that motivates the module-level interpretability focus, not as a defect.</w:t>
      </w:r>
    </w:p>
    <w:p>
      <w:pPr>
        <w:pStyle w:val="Heading2"/>
      </w:pPr>
      <w:r>
        <w:rPr>
          <w:rFonts w:ascii="Times New Roman" w:hAnsi="Times New Roman"/>
          <w:b/>
          <w:i w:val="0"/>
          <w:sz w:val="24"/>
        </w:rPr>
        <w:t>3.5 Level 3, Cross-species regulatory convergence of recovered programs</w:t>
      </w:r>
    </w:p>
    <w:p>
      <w:pPr>
        <w:ind w:left="8"/>
      </w:pPr>
      <w:r>
        <w:rPr>
          <w:rFonts w:ascii="Times New Roman" w:hAnsi="Times New Roman"/>
          <w:b/>
          <w:i w:val="0"/>
          <w:sz w:val="22"/>
        </w:rPr>
        <w:t>Scope disclosure:</w:t>
      </w:r>
      <w:r>
        <w:rPr>
          <w:rFonts w:ascii="Times New Roman" w:hAnsi="Times New Roman"/>
          <w:b w:val="0"/>
          <w:i w:val="0"/>
          <w:sz w:val="22"/>
        </w:rPr>
        <w:t xml:space="preserve"> The orthogonal-projection test (3.5a) asks whether the mouse-recovered TF's regulatory program is </w:t>
      </w:r>
      <w:r>
        <w:rPr>
          <w:rFonts w:ascii="Times New Roman" w:hAnsi="Times New Roman"/>
          <w:b/>
          <w:i w:val="0"/>
          <w:sz w:val="22"/>
        </w:rPr>
        <w:t>conserved in the structure of the human GRN</w:t>
      </w:r>
      <w:r>
        <w:rPr>
          <w:rFonts w:ascii="Times New Roman" w:hAnsi="Times New Roman"/>
          <w:b w:val="0"/>
          <w:i w:val="0"/>
          <w:sz w:val="22"/>
        </w:rPr>
        <w:t xml:space="preserve"> (via the independent human DoRothEA network). The activation test (3.5b) asks, separately, whether the corresponding target programs are </w:t>
      </w:r>
      <w:r>
        <w:rPr>
          <w:rFonts w:ascii="Times New Roman" w:hAnsi="Times New Roman"/>
          <w:b/>
          <w:i w:val="0"/>
          <w:sz w:val="22"/>
        </w:rPr>
        <w:t>transcriptionally engaged in independent human stroke data</w:t>
      </w:r>
      <w:r>
        <w:rPr>
          <w:rFonts w:ascii="Times New Roman" w:hAnsi="Times New Roman"/>
          <w:b w:val="0"/>
          <w:i w:val="0"/>
          <w:sz w:val="22"/>
        </w:rPr>
        <w:t xml:space="preserve">. Together they upgrade L3 from "structural conservation" to </w:t>
      </w:r>
      <w:r>
        <w:rPr>
          <w:rFonts w:ascii="Times New Roman" w:hAnsi="Times New Roman"/>
          <w:b/>
          <w:i w:val="0"/>
          <w:sz w:val="22"/>
        </w:rPr>
        <w:t>cross-species regulatory convergence</w:t>
      </w:r>
      <w:r>
        <w:rPr>
          <w:rFonts w:ascii="Times New Roman" w:hAnsi="Times New Roman"/>
          <w:b w:val="0"/>
          <w:i w:val="0"/>
          <w:sz w:val="22"/>
        </w:rPr>
        <w:t xml:space="preserve">, the same programs that rewire in mouse stroke are (i) conserved in human GRN architecture and (ii) co-activated in independent human patient samples. This is </w:t>
      </w:r>
      <w:r>
        <w:rPr>
          <w:rFonts w:ascii="Times New Roman" w:hAnsi="Times New Roman"/>
          <w:b w:val="0"/>
          <w:i/>
          <w:sz w:val="22"/>
        </w:rPr>
        <w:t>functional convergence</w:t>
      </w:r>
      <w:r>
        <w:rPr>
          <w:rFonts w:ascii="Times New Roman" w:hAnsi="Times New Roman"/>
          <w:b w:val="0"/>
          <w:i w:val="0"/>
          <w:sz w:val="22"/>
        </w:rPr>
        <w:t xml:space="preserve">, not </w:t>
      </w:r>
      <w:r>
        <w:rPr>
          <w:rFonts w:ascii="Times New Roman" w:hAnsi="Times New Roman"/>
          <w:b w:val="0"/>
          <w:i/>
          <w:sz w:val="22"/>
        </w:rPr>
        <w:t>biological validation</w:t>
      </w:r>
      <w:r>
        <w:rPr>
          <w:rFonts w:ascii="Times New Roman" w:hAnsi="Times New Roman"/>
          <w:b w:val="0"/>
          <w:i w:val="0"/>
          <w:sz w:val="22"/>
        </w:rPr>
        <w:t>: the bulk cohort is peripheral blood (not brain) and cross-sectional (not time-resolved), so brain-intrinsic and temporal claims still rest on the mouse evidence.</w:t>
      </w:r>
    </w:p>
    <w:p>
      <w:pPr>
        <w:pStyle w:val="Heading3"/>
      </w:pPr>
      <w:r>
        <w:rPr>
          <w:rFonts w:ascii="Times New Roman" w:hAnsi="Times New Roman"/>
          <w:b/>
          <w:i w:val="0"/>
          <w:sz w:val="22"/>
        </w:rPr>
        <w:t>3.5a Structural convergence in the human GRN</w:t>
      </w:r>
    </w:p>
    <w:p>
      <w:r>
        <w:rPr>
          <w:rFonts w:ascii="Times New Roman" w:hAnsi="Times New Roman"/>
          <w:b w:val="0"/>
          <w:i w:val="0"/>
          <w:sz w:val="22"/>
        </w:rPr>
        <w:t xml:space="preserve">We took the 12-TF cross-cohort core module (recovered in ≥2 of 3 analyses; </w:t>
      </w:r>
      <w:r>
        <w:rPr>
          <w:rFonts w:ascii="Times New Roman" w:hAnsi="Times New Roman"/>
          <w:b/>
          <w:i w:val="0"/>
          <w:sz w:val="22"/>
        </w:rPr>
        <w:t>Sox10</w:t>
      </w:r>
      <w:r>
        <w:rPr>
          <w:rFonts w:ascii="Times New Roman" w:hAnsi="Times New Roman"/>
          <w:b w:val="0"/>
          <w:i w:val="0"/>
          <w:sz w:val="22"/>
        </w:rPr>
        <w:t xml:space="preserve"> common to all three) and orthogonally projected each TF onto its human DoRothEA target set. For each TF we tested enrichment of two literature-curated reference sets, </w:t>
      </w:r>
      <w:r>
        <w:rPr>
          <w:rFonts w:ascii="Times New Roman" w:hAnsi="Times New Roman"/>
          <w:b w:val="0"/>
          <w:i/>
          <w:sz w:val="22"/>
        </w:rPr>
        <w:t>myelin/oligodendrocyte</w:t>
      </w:r>
      <w:r>
        <w:rPr>
          <w:rFonts w:ascii="Times New Roman" w:hAnsi="Times New Roman"/>
          <w:b w:val="0"/>
          <w:i w:val="0"/>
          <w:sz w:val="22"/>
        </w:rPr>
        <w:t xml:space="preserve"> </w:t>
      </w:r>
      <w:r>
        <w:rPr>
          <w:rFonts w:ascii="Times New Roman" w:hAnsi="Times New Roman"/>
          <w:b w:val="0"/>
          <w:i w:val="0"/>
          <w:sz w:val="22"/>
          <w:vertAlign w:val="superscript"/>
        </w:rPr>
        <w:t>24, 27</w:t>
      </w:r>
      <w:r>
        <w:rPr>
          <w:rFonts w:ascii="Times New Roman" w:hAnsi="Times New Roman"/>
          <w:b w:val="0"/>
          <w:i w:val="0"/>
          <w:sz w:val="22"/>
        </w:rPr>
        <w:t xml:space="preserve"> and </w:t>
      </w:r>
      <w:r>
        <w:rPr>
          <w:rFonts w:ascii="Times New Roman" w:hAnsi="Times New Roman"/>
          <w:b w:val="0"/>
          <w:i/>
          <w:sz w:val="22"/>
        </w:rPr>
        <w:t>neuroinflammation</w:t>
      </w:r>
      <w:r>
        <w:rPr>
          <w:rFonts w:ascii="Times New Roman" w:hAnsi="Times New Roman"/>
          <w:b w:val="0"/>
          <w:i w:val="0"/>
          <w:sz w:val="22"/>
        </w:rPr>
        <w:t xml:space="preserve"> </w:t>
      </w:r>
      <w:r>
        <w:rPr>
          <w:rFonts w:ascii="Times New Roman" w:hAnsi="Times New Roman"/>
          <w:b w:val="0"/>
          <w:i w:val="0"/>
          <w:sz w:val="22"/>
          <w:vertAlign w:val="superscript"/>
        </w:rPr>
        <w:t>28, 29</w:t>
      </w:r>
      <w:r>
        <w:rPr>
          <w:rFonts w:ascii="Times New Roman" w:hAnsi="Times New Roman"/>
          <w:b w:val="0"/>
          <w:i w:val="0"/>
          <w:sz w:val="22"/>
        </w:rPr>
        <w:t xml:space="preserve">, by hypergeometric test, with </w:t>
      </w:r>
      <w:r>
        <w:rPr>
          <w:rFonts w:ascii="Times New Roman" w:hAnsi="Times New Roman"/>
          <w:b/>
          <w:i w:val="0"/>
          <w:sz w:val="22"/>
        </w:rPr>
        <w:t>2,000 size-matched (0.5–2× target-count) random human TF permutations</w:t>
      </w:r>
      <w:r>
        <w:rPr>
          <w:rFonts w:ascii="Times New Roman" w:hAnsi="Times New Roman"/>
          <w:b w:val="0"/>
          <w:i w:val="0"/>
          <w:sz w:val="22"/>
        </w:rPr>
        <w:t xml:space="preserve"> as the null.</w:t>
      </w:r>
    </w:p>
    <w:p>
      <w:r>
        <w:rPr>
          <w:rFonts w:ascii="Times New Roman" w:hAnsi="Times New Roman"/>
          <w:b w:val="0"/>
          <w:i w:val="0"/>
          <w:sz w:val="22"/>
        </w:rPr>
        <w:t>Three links were significantly conserved (Table S2):</w:t>
      </w:r>
    </w:p>
    <w:p>
      <w:r>
        <w:rPr>
          <w:rFonts w:ascii="Times New Roman" w:hAnsi="Times New Roman"/>
          <w:b/>
          <w:i w:val="0"/>
          <w:sz w:val="22"/>
        </w:rPr>
        <w:t>SOX10 → human myelin/oligodendrocyte:</w:t>
      </w:r>
      <w:r>
        <w:rPr>
          <w:rFonts w:ascii="Times New Roman" w:hAnsi="Times New Roman"/>
          <w:b w:val="0"/>
          <w:i w:val="0"/>
          <w:sz w:val="22"/>
        </w:rPr>
        <w:t xml:space="preserve"> overlapping </w:t>
      </w:r>
      <w:r>
        <w:rPr>
          <w:rFonts w:ascii="Times New Roman" w:hAnsi="Times New Roman"/>
          <w:b w:val="0"/>
          <w:i/>
          <w:sz w:val="22"/>
        </w:rPr>
        <w:t>PLP1, MBP, MAG, MPZ, PMP22</w:t>
      </w:r>
      <w:r>
        <w:rPr>
          <w:rFonts w:ascii="Times New Roman" w:hAnsi="Times New Roman"/>
          <w:b w:val="0"/>
          <w:i w:val="0"/>
          <w:sz w:val="22"/>
        </w:rPr>
        <w:t xml:space="preserve"> (major myelin structural proteins) plus </w:t>
      </w:r>
      <w:r>
        <w:rPr>
          <w:rFonts w:ascii="Times New Roman" w:hAnsi="Times New Roman"/>
          <w:b w:val="0"/>
          <w:i/>
          <w:sz w:val="22"/>
        </w:rPr>
        <w:t>GJC2</w:t>
      </w:r>
      <w:r>
        <w:rPr>
          <w:rFonts w:ascii="Times New Roman" w:hAnsi="Times New Roman"/>
          <w:b w:val="0"/>
          <w:i w:val="0"/>
          <w:sz w:val="22"/>
        </w:rPr>
        <w:t xml:space="preserve"> (oligodendrocyte gap junction) and </w:t>
      </w:r>
      <w:r>
        <w:rPr>
          <w:rFonts w:ascii="Times New Roman" w:hAnsi="Times New Roman"/>
          <w:b w:val="0"/>
          <w:i/>
          <w:sz w:val="22"/>
        </w:rPr>
        <w:t>PDGFRA</w:t>
      </w:r>
      <w:r>
        <w:rPr>
          <w:rFonts w:ascii="Times New Roman" w:hAnsi="Times New Roman"/>
          <w:b w:val="0"/>
          <w:i w:val="0"/>
          <w:sz w:val="22"/>
        </w:rPr>
        <w:t xml:space="preserve"> (oligodendrocyte-precursor marker); the mouse top rewired TF projects precisely onto the human myelin-regeneration program, links to Sox10→Plp1 (3.3).</w:t>
      </w:r>
    </w:p>
    <w:p>
      <w:r>
        <w:rPr>
          <w:rFonts w:ascii="Times New Roman" w:hAnsi="Times New Roman"/>
          <w:b/>
          <w:i w:val="0"/>
          <w:sz w:val="22"/>
        </w:rPr>
        <w:t>CEBPB → human neuroinflammation:</w:t>
      </w:r>
      <w:r>
        <w:rPr>
          <w:rFonts w:ascii="Times New Roman" w:hAnsi="Times New Roman"/>
          <w:b w:val="0"/>
          <w:i w:val="0"/>
          <w:sz w:val="22"/>
        </w:rPr>
        <w:t xml:space="preserve"> overlapping </w:t>
      </w:r>
      <w:r>
        <w:rPr>
          <w:rFonts w:ascii="Times New Roman" w:hAnsi="Times New Roman"/>
          <w:b w:val="0"/>
          <w:i/>
          <w:sz w:val="22"/>
        </w:rPr>
        <w:t>IL1B, IL6, TNF, CCL3, CCL5, NOS2, PTGS2, STAT3</w:t>
      </w:r>
      <w:r>
        <w:rPr>
          <w:rFonts w:ascii="Times New Roman" w:hAnsi="Times New Roman"/>
          <w:b w:val="0"/>
          <w:i w:val="0"/>
          <w:sz w:val="22"/>
        </w:rPr>
        <w:t xml:space="preserve">. </w:t>
      </w:r>
      <w:r>
        <w:rPr>
          <w:rFonts w:ascii="Times New Roman" w:hAnsi="Times New Roman"/>
          <w:b/>
          <w:i w:val="0"/>
          <w:sz w:val="22"/>
        </w:rPr>
        <w:t>GATA2 → neuroinflammation:</w:t>
      </w:r>
      <w:r>
        <w:rPr>
          <w:rFonts w:ascii="Times New Roman" w:hAnsi="Times New Roman"/>
          <w:b w:val="0"/>
          <w:i w:val="0"/>
          <w:sz w:val="22"/>
        </w:rPr>
        <w:t xml:space="preserve"> overlapping </w:t>
      </w:r>
      <w:r>
        <w:rPr>
          <w:rFonts w:ascii="Times New Roman" w:hAnsi="Times New Roman"/>
          <w:b w:val="0"/>
          <w:i/>
          <w:sz w:val="22"/>
        </w:rPr>
        <w:t>TLR2, TLR4, NFKB1, NFKBIA</w:t>
      </w:r>
      <w:r>
        <w:rPr>
          <w:rFonts w:ascii="Times New Roman" w:hAnsi="Times New Roman"/>
          <w:b w:val="0"/>
          <w:i w:val="0"/>
          <w:sz w:val="22"/>
        </w:rPr>
        <w:t xml:space="preserve"> and CCL/CXCL chemokines: the TLR/NF-κB innate-immune module.</w:t>
      </w:r>
    </w:p>
    <w:p>
      <w:r>
        <w:rPr>
          <w:rFonts w:ascii="Times New Roman" w:hAnsi="Times New Roman"/>
          <w:b w:val="0"/>
          <w:i w:val="0"/>
          <w:sz w:val="22"/>
        </w:rPr>
        <w:t>Non-significant / expected-negative results are reported honestly: AR/ERG/NR2F2/PAX5/RUNX3/SOX9 showed no tissue-specific enrichment (emp. p = 0.29–0.65); SOX2/E2F1/GATA3 are too broadly targeting to show single-tissue enrichment (biologically expected).</w:t>
      </w:r>
    </w:p>
    <w:p>
      <w:pPr>
        <w:pStyle w:val="Heading3"/>
      </w:pPr>
      <w:r>
        <w:rPr>
          <w:rFonts w:ascii="Times New Roman" w:hAnsi="Times New Roman"/>
          <w:b/>
          <w:i w:val="0"/>
          <w:sz w:val="22"/>
        </w:rPr>
        <w:t>3.5b Expression activation in independent human stroke bulk (GSE16561)</w:t>
      </w:r>
    </w:p>
    <w:p>
      <w:r>
        <w:rPr>
          <w:rFonts w:ascii="Times New Roman" w:hAnsi="Times New Roman"/>
          <w:b w:val="0"/>
          <w:i w:val="0"/>
          <w:sz w:val="22"/>
        </w:rPr>
        <w:t xml:space="preserve">To move beyond structural conservation, we asked whether the recovered programs are </w:t>
      </w:r>
      <w:r>
        <w:rPr>
          <w:rFonts w:ascii="Times New Roman" w:hAnsi="Times New Roman"/>
          <w:b w:val="0"/>
          <w:i/>
          <w:sz w:val="22"/>
        </w:rPr>
        <w:t>transcriptionally activated</w:t>
      </w:r>
      <w:r>
        <w:rPr>
          <w:rFonts w:ascii="Times New Roman" w:hAnsi="Times New Roman"/>
          <w:b w:val="0"/>
          <w:i w:val="0"/>
          <w:sz w:val="22"/>
        </w:rPr>
        <w:t xml:space="preserve"> in independent human stroke data. We obtained public whole-blood bulk RNA-seq (GSE16561 </w:t>
      </w:r>
      <w:r>
        <w:rPr>
          <w:rFonts w:ascii="Times New Roman" w:hAnsi="Times New Roman"/>
          <w:b w:val="0"/>
          <w:i w:val="0"/>
          <w:sz w:val="22"/>
          <w:vertAlign w:val="superscript"/>
        </w:rPr>
        <w:t>30</w:t>
      </w:r>
      <w:r>
        <w:rPr>
          <w:rFonts w:ascii="Times New Roman" w:hAnsi="Times New Roman"/>
          <w:b w:val="0"/>
          <w:i w:val="0"/>
          <w:sz w:val="22"/>
        </w:rPr>
        <w:t xml:space="preserve">; 39 stroke vs 24 controls, Illumina HumanWG-6, RMA-normalized). Probes were mapped to HGNC symbols via GPL6883 and collapsed to 17,493 genes. For each recovered TF we scored single-sample module activity with an AUCell/ssGSEA-style rank-mass fraction </w:t>
      </w:r>
      <w:r>
        <w:rPr>
          <w:rFonts w:ascii="Times New Roman" w:hAnsi="Times New Roman"/>
          <w:b w:val="0"/>
          <w:i w:val="0"/>
          <w:sz w:val="22"/>
          <w:vertAlign w:val="superscript"/>
        </w:rPr>
        <w:t>6, 31</w:t>
      </w:r>
      <w:r>
        <w:rPr>
          <w:rFonts w:ascii="Times New Roman" w:hAnsi="Times New Roman"/>
          <w:b w:val="0"/>
          <w:i w:val="0"/>
          <w:sz w:val="22"/>
        </w:rPr>
        <w:t xml:space="preserve"> on its human DoRothEA target set, then compared stroke vs control (Mann–Whitney U; Cliff's δ; BH correction </w:t>
      </w:r>
      <w:r>
        <w:rPr>
          <w:rFonts w:ascii="Times New Roman" w:hAnsi="Times New Roman"/>
          <w:b w:val="0"/>
          <w:i w:val="0"/>
          <w:sz w:val="22"/>
          <w:vertAlign w:val="superscript"/>
        </w:rPr>
        <w:t>32</w:t>
      </w:r>
      <w:r>
        <w:rPr>
          <w:rFonts w:ascii="Times New Roman" w:hAnsi="Times New Roman"/>
          <w:b w:val="0"/>
          <w:i w:val="0"/>
          <w:sz w:val="22"/>
        </w:rPr>
        <w:t>).</w:t>
      </w:r>
    </w:p>
    <w:p>
      <w:r>
        <w:rPr>
          <w:rFonts w:ascii="Times New Roman" w:hAnsi="Times New Roman"/>
          <w:b w:val="0"/>
          <w:i w:val="0"/>
          <w:sz w:val="22"/>
        </w:rPr>
        <w:t>All three programs were significantly activated in human stroke blood (BH-q = 1.1 × 10⁻⁸), and stronger than 99.8 % of size-matched random gene sets (empirical p = 0.002; Table S3):</w:t>
      </w:r>
    </w:p>
    <w:p>
      <w:r>
        <w:rPr>
          <w:rFonts w:ascii="Times New Roman" w:hAnsi="Times New Roman"/>
          <w:b w:val="0"/>
          <w:i w:val="0"/>
          <w:sz w:val="22"/>
        </w:rPr>
        <w:t>A brain-enriched negative-control TF (</w:t>
      </w:r>
      <w:r>
        <w:rPr>
          <w:rFonts w:ascii="Times New Roman" w:hAnsi="Times New Roman"/>
          <w:b/>
          <w:i w:val="0"/>
          <w:sz w:val="22"/>
        </w:rPr>
        <w:t>PAX6</w:t>
      </w:r>
      <w:r>
        <w:rPr>
          <w:rFonts w:ascii="Times New Roman" w:hAnsi="Times New Roman"/>
          <w:b w:val="0"/>
          <w:i w:val="0"/>
          <w:sz w:val="22"/>
        </w:rPr>
        <w:t xml:space="preserve">, 344 targets) was </w:t>
      </w:r>
      <w:r>
        <w:rPr>
          <w:rFonts w:ascii="Times New Roman" w:hAnsi="Times New Roman"/>
          <w:b w:val="0"/>
          <w:i/>
          <w:sz w:val="22"/>
        </w:rPr>
        <w:t>also</w:t>
      </w:r>
      <w:r>
        <w:rPr>
          <w:rFonts w:ascii="Times New Roman" w:hAnsi="Times New Roman"/>
          <w:b w:val="0"/>
          <w:i w:val="0"/>
          <w:sz w:val="22"/>
        </w:rPr>
        <w:t xml:space="preserve"> activated (p = 4.5 × 10⁻⁸). The observed activation therefore cannot be interpreted as evidence that these three regulatory programs are </w:t>
      </w:r>
      <w:r>
        <w:rPr>
          <w:rFonts w:ascii="Times New Roman" w:hAnsi="Times New Roman"/>
          <w:b w:val="0"/>
          <w:i/>
          <w:sz w:val="22"/>
        </w:rPr>
        <w:t>uniquely</w:t>
      </w:r>
      <w:r>
        <w:rPr>
          <w:rFonts w:ascii="Times New Roman" w:hAnsi="Times New Roman"/>
          <w:b w:val="0"/>
          <w:i w:val="0"/>
          <w:sz w:val="22"/>
        </w:rPr>
        <w:t xml:space="preserve"> activated in stroke; rather, these findings indicate that part of the signal likely reflects generalized transcriptional reprogramming associated with systemic inflammation and the post-stroke leukocyte-composition shift. We therefore interpret the L3 result as </w:t>
      </w:r>
      <w:r>
        <w:rPr>
          <w:rFonts w:ascii="Times New Roman" w:hAnsi="Times New Roman"/>
          <w:b/>
          <w:i w:val="0"/>
          <w:sz w:val="22"/>
        </w:rPr>
        <w:t>orthogonal evidence of cross-species regulatory convergence</w:t>
      </w:r>
      <w:r>
        <w:rPr>
          <w:rFonts w:ascii="Times New Roman" w:hAnsi="Times New Roman"/>
          <w:b w:val="0"/>
          <w:i w:val="0"/>
          <w:sz w:val="22"/>
        </w:rPr>
        <w:t xml:space="preserve">: the recovered programs are among the co-activated modules in human stroke, and their </w:t>
      </w:r>
      <w:r>
        <w:rPr>
          <w:rFonts w:ascii="Times New Roman" w:hAnsi="Times New Roman"/>
          <w:b w:val="0"/>
          <w:i/>
          <w:sz w:val="22"/>
        </w:rPr>
        <w:t>direction</w:t>
      </w:r>
      <w:r>
        <w:rPr>
          <w:rFonts w:ascii="Times New Roman" w:hAnsi="Times New Roman"/>
          <w:b w:val="0"/>
          <w:i w:val="0"/>
          <w:sz w:val="22"/>
        </w:rPr>
        <w:t xml:space="preserve"> (inflammatory axes up-regulated) is concordant with the mouse rewiring (3.3). Activation of the SOX10 module in peripheral blood should </w:t>
      </w:r>
      <w:r>
        <w:rPr>
          <w:rFonts w:ascii="Times New Roman" w:hAnsi="Times New Roman"/>
          <w:b/>
          <w:i w:val="0"/>
          <w:sz w:val="22"/>
        </w:rPr>
        <w:t>not</w:t>
      </w:r>
      <w:r>
        <w:rPr>
          <w:rFonts w:ascii="Times New Roman" w:hAnsi="Times New Roman"/>
          <w:b w:val="0"/>
          <w:i w:val="0"/>
          <w:sz w:val="22"/>
        </w:rPr>
        <w:t xml:space="preserve"> be interpreted as direct evidence of oligodendrocyte remyelination; the oligodendrocyte-specific reading of SOX10 rests on the mouse structural evidence (3.5a). Cell-composition deconvolution was not performed, and the blood-based, cross-sectional design limits direct inference on brain-intrinsic temporal remodelling.</w:t>
      </w:r>
    </w:p>
    <w:p>
      <w:r>
        <w:rPr>
          <w:rFonts w:ascii="Times New Roman" w:hAnsi="Times New Roman"/>
          <w:b/>
          <w:i w:val="0"/>
          <w:sz w:val="22"/>
        </w:rPr>
        <w:t>[Figure 4 about here, Cross-species regulatory convergence: structural projection + blood activation]</w:t>
      </w:r>
    </w:p>
    <w:p>
      <w:pPr>
        <w:pStyle w:val="Heading2"/>
      </w:pPr>
      <w:r>
        <w:rPr>
          <w:rFonts w:ascii="Times New Roman" w:hAnsi="Times New Roman"/>
          <w:b/>
          <w:i w:val="0"/>
          <w:sz w:val="24"/>
        </w:rPr>
        <w:t>3.6 Level 4, Drug-perturbation relevance via LINCS</w:t>
      </w:r>
    </w:p>
    <w:p>
      <w:r>
        <w:rPr>
          <w:rFonts w:ascii="Times New Roman" w:hAnsi="Times New Roman"/>
          <w:b w:val="0"/>
          <w:i w:val="0"/>
          <w:sz w:val="22"/>
        </w:rPr>
        <w:t xml:space="preserve">As a translational demonstration we converted the 24 h stroke injury program into a disease signature, up-regulated injury/inflammatory genes (SPP1, CCL4, LGALS3, CD14, C5AR1, TNF, …) and a heterogeneous set of lower-expression genes (interferon-response, microglia-marker and transport genes). the 24 h signature is dominated by the </w:t>
      </w:r>
      <w:r>
        <w:rPr>
          <w:rFonts w:ascii="Times New Roman" w:hAnsi="Times New Roman"/>
          <w:b/>
          <w:i w:val="0"/>
          <w:sz w:val="22"/>
        </w:rPr>
        <w:t>acute inflammatory/injury axis</w:t>
      </w:r>
      <w:r>
        <w:rPr>
          <w:rFonts w:ascii="Times New Roman" w:hAnsi="Times New Roman"/>
          <w:b w:val="0"/>
          <w:i w:val="0"/>
          <w:sz w:val="22"/>
        </w:rPr>
        <w:t xml:space="preserve"> and does </w:t>
      </w:r>
      <w:r>
        <w:rPr>
          <w:rFonts w:ascii="Times New Roman" w:hAnsi="Times New Roman"/>
          <w:b/>
          <w:i w:val="0"/>
          <w:sz w:val="22"/>
        </w:rPr>
        <w:t>not</w:t>
      </w:r>
      <w:r>
        <w:rPr>
          <w:rFonts w:ascii="Times New Roman" w:hAnsi="Times New Roman"/>
          <w:b w:val="0"/>
          <w:i w:val="0"/>
          <w:sz w:val="22"/>
        </w:rPr>
        <w:t xml:space="preserve"> by itself contain down-regulated myelin/repair structural genes; the myelin-regeneration axis is recovered independently by the rewiring analysis (Levels 2–3, 3.3–3.5), not by this signature. The signature was derived from the DoRothEA-network gene space (the same space as the rewiring), i.e. a regulatory-program-filtered differential expression, not the full transcriptome.</w:t>
      </w:r>
    </w:p>
    <w:p>
      <w:r>
        <w:rPr>
          <w:rFonts w:ascii="Times New Roman" w:hAnsi="Times New Roman"/>
          <w:b w:val="0"/>
          <w:i w:val="0"/>
          <w:sz w:val="22"/>
        </w:rPr>
        <w:t xml:space="preserve">We built two signatures: a single-cohort </w:t>
      </w:r>
      <w:r>
        <w:rPr>
          <w:rFonts w:ascii="Times New Roman" w:hAnsi="Times New Roman"/>
          <w:b/>
          <w:i w:val="0"/>
          <w:sz w:val="22"/>
        </w:rPr>
        <w:t>main</w:t>
      </w:r>
      <w:r>
        <w:rPr>
          <w:rFonts w:ascii="Times New Roman" w:hAnsi="Times New Roman"/>
          <w:b w:val="0"/>
          <w:i w:val="0"/>
          <w:sz w:val="22"/>
        </w:rPr>
        <w:t xml:space="preserve"> signature (up100/dn100, best score 0.0671 with severe ties, only 1 known agent hit) and a </w:t>
      </w:r>
      <w:r>
        <w:rPr>
          <w:rFonts w:ascii="Times New Roman" w:hAnsi="Times New Roman"/>
          <w:b/>
          <w:i w:val="0"/>
          <w:sz w:val="22"/>
        </w:rPr>
        <w:t>robust</w:t>
      </w:r>
      <w:r>
        <w:rPr>
          <w:rFonts w:ascii="Times New Roman" w:hAnsi="Times New Roman"/>
          <w:b w:val="0"/>
          <w:i w:val="0"/>
          <w:sz w:val="22"/>
        </w:rPr>
        <w:t xml:space="preserve"> consensus signature intersected across the two cohorts (up28/dn17, best 0.125). We report </w:t>
      </w:r>
      <w:r>
        <w:rPr>
          <w:rFonts w:ascii="Times New Roman" w:hAnsi="Times New Roman"/>
          <w:b/>
          <w:i w:val="0"/>
          <w:sz w:val="22"/>
        </w:rPr>
        <w:t>robust</w:t>
      </w:r>
      <w:r>
        <w:rPr>
          <w:rFonts w:ascii="Times New Roman" w:hAnsi="Times New Roman"/>
          <w:b w:val="0"/>
          <w:i w:val="0"/>
          <w:sz w:val="22"/>
        </w:rPr>
        <w:t xml:space="preserve"> as the primary result; main is a single-cohort noise control, echoing the L1 reproducibility theme.</w:t>
      </w:r>
    </w:p>
    <w:p>
      <w:r>
        <w:rPr>
          <w:rFonts w:ascii="Times New Roman" w:hAnsi="Times New Roman"/>
          <w:b w:val="0"/>
          <w:i w:val="0"/>
          <w:sz w:val="22"/>
        </w:rPr>
        <w:t xml:space="preserve">The robust signature returned </w:t>
      </w:r>
      <w:r>
        <w:rPr>
          <w:rFonts w:ascii="Times New Roman" w:hAnsi="Times New Roman"/>
          <w:b/>
          <w:i w:val="0"/>
          <w:sz w:val="22"/>
        </w:rPr>
        <w:t>four literature-supported agents in the top 50</w:t>
      </w:r>
      <w:r>
        <w:rPr>
          <w:rFonts w:ascii="Times New Roman" w:hAnsi="Times New Roman"/>
          <w:b w:val="0"/>
          <w:i w:val="0"/>
          <w:sz w:val="22"/>
        </w:rPr>
        <w:t xml:space="preserve"> via the L1000CDS2 reverse-match API </w:t>
      </w:r>
      <w:r>
        <w:rPr>
          <w:rFonts w:ascii="Times New Roman" w:hAnsi="Times New Roman"/>
          <w:b w:val="0"/>
          <w:i w:val="0"/>
          <w:sz w:val="22"/>
          <w:vertAlign w:val="superscript"/>
        </w:rPr>
        <w:t>22</w:t>
      </w:r>
      <w:r>
        <w:rPr>
          <w:rFonts w:ascii="Times New Roman" w:hAnsi="Times New Roman"/>
          <w:b w:val="0"/>
          <w:i w:val="0"/>
          <w:sz w:val="22"/>
        </w:rPr>
        <w:t xml:space="preserve">: </w:t>
      </w:r>
      <w:r>
        <w:rPr>
          <w:rFonts w:ascii="Times New Roman" w:hAnsi="Times New Roman"/>
          <w:b/>
          <w:i w:val="0"/>
          <w:sz w:val="22"/>
        </w:rPr>
        <w:t>vorinostat</w:t>
      </w:r>
      <w:r>
        <w:rPr>
          <w:rFonts w:ascii="Times New Roman" w:hAnsi="Times New Roman"/>
          <w:b w:val="0"/>
          <w:i w:val="0"/>
          <w:sz w:val="22"/>
        </w:rPr>
        <w:t xml:space="preserve"> and </w:t>
      </w:r>
      <w:r>
        <w:rPr>
          <w:rFonts w:ascii="Times New Roman" w:hAnsi="Times New Roman"/>
          <w:b/>
          <w:i w:val="0"/>
          <w:sz w:val="22"/>
        </w:rPr>
        <w:t>trichostatin A</w:t>
      </w:r>
      <w:r>
        <w:rPr>
          <w:rFonts w:ascii="Times New Roman" w:hAnsi="Times New Roman"/>
          <w:b w:val="0"/>
          <w:i w:val="0"/>
          <w:sz w:val="22"/>
        </w:rPr>
        <w:t xml:space="preserve"> (HDAC inhibitors) and </w:t>
      </w:r>
      <w:r>
        <w:rPr>
          <w:rFonts w:ascii="Times New Roman" w:hAnsi="Times New Roman"/>
          <w:b/>
          <w:i w:val="0"/>
          <w:sz w:val="22"/>
        </w:rPr>
        <w:t>mevastatin</w:t>
      </w:r>
      <w:r>
        <w:rPr>
          <w:rFonts w:ascii="Times New Roman" w:hAnsi="Times New Roman"/>
          <w:b w:val="0"/>
          <w:i w:val="0"/>
          <w:sz w:val="22"/>
        </w:rPr>
        <w:t xml:space="preserve"> and </w:t>
      </w:r>
      <w:r>
        <w:rPr>
          <w:rFonts w:ascii="Times New Roman" w:hAnsi="Times New Roman"/>
          <w:b/>
          <w:i w:val="0"/>
          <w:sz w:val="22"/>
        </w:rPr>
        <w:t>rosuvastatin</w:t>
      </w:r>
      <w:r>
        <w:rPr>
          <w:rFonts w:ascii="Times New Roman" w:hAnsi="Times New Roman"/>
          <w:b w:val="0"/>
          <w:i w:val="0"/>
          <w:sz w:val="22"/>
        </w:rPr>
        <w:t xml:space="preserve"> (statins). The recovered classes are independently motivated in the stroke and neuroprotection literature, HDAC inhibitors for neuroprotection </w:t>
      </w:r>
      <w:r>
        <w:rPr>
          <w:rFonts w:ascii="Times New Roman" w:hAnsi="Times New Roman"/>
          <w:b w:val="0"/>
          <w:i w:val="0"/>
          <w:sz w:val="22"/>
          <w:vertAlign w:val="superscript"/>
        </w:rPr>
        <w:t>48</w:t>
      </w:r>
      <w:r>
        <w:rPr>
          <w:rFonts w:ascii="Times New Roman" w:hAnsi="Times New Roman"/>
          <w:b w:val="0"/>
          <w:i w:val="0"/>
          <w:sz w:val="22"/>
        </w:rPr>
        <w:t xml:space="preserve"> and statins for stroke prevention and recovery </w:t>
      </w:r>
      <w:r>
        <w:rPr>
          <w:rFonts w:ascii="Times New Roman" w:hAnsi="Times New Roman"/>
          <w:b w:val="0"/>
          <w:i w:val="0"/>
          <w:sz w:val="22"/>
          <w:vertAlign w:val="superscript"/>
        </w:rPr>
        <w:t>47</w:t>
      </w:r>
      <w:r>
        <w:rPr>
          <w:rFonts w:ascii="Times New Roman" w:hAnsi="Times New Roman"/>
          <w:b w:val="0"/>
          <w:i w:val="0"/>
          <w:sz w:val="22"/>
        </w:rPr>
        <w:t xml:space="preserve">, which lends biological plausibility to the reverse-matched hits. Their </w:t>
      </w:r>
      <w:r>
        <w:rPr>
          <w:rFonts w:ascii="Times New Roman" w:hAnsi="Times New Roman"/>
          <w:b/>
          <w:i w:val="0"/>
          <w:sz w:val="22"/>
        </w:rPr>
        <w:t>anti-inflammatory</w:t>
      </w:r>
      <w:r>
        <w:rPr>
          <w:rFonts w:ascii="Times New Roman" w:hAnsi="Times New Roman"/>
          <w:b w:val="0"/>
          <w:i w:val="0"/>
          <w:sz w:val="22"/>
        </w:rPr>
        <w:t xml:space="preserve"> relevance aligns directly with the inflammatory axis captured in the 24 h signature; their </w:t>
      </w:r>
      <w:r>
        <w:rPr>
          <w:rFonts w:ascii="Times New Roman" w:hAnsi="Times New Roman"/>
          <w:b/>
          <w:i w:val="0"/>
          <w:sz w:val="22"/>
        </w:rPr>
        <w:t>pro-myelin / neuroprotective</w:t>
      </w:r>
      <w:r>
        <w:rPr>
          <w:rFonts w:ascii="Times New Roman" w:hAnsi="Times New Roman"/>
          <w:b w:val="0"/>
          <w:i w:val="0"/>
          <w:sz w:val="22"/>
        </w:rPr>
        <w:t xml:space="preserve"> relevance aligns with the remyelination program independently recovered by the rewiring analysis (Sox10→Plp1, Levels 2–3), a cross-level convergence, not a within-signature effect.</w:t>
      </w:r>
    </w:p>
    <w:p>
      <w:r>
        <w:rPr>
          <w:rFonts w:ascii="Times New Roman" w:hAnsi="Times New Roman"/>
          <w:b/>
          <w:i w:val="0"/>
          <w:sz w:val="22"/>
        </w:rPr>
        <w:t>Statistical rigour (permutation background).</w:t>
      </w:r>
      <w:r>
        <w:rPr>
          <w:rFonts w:ascii="Times New Roman" w:hAnsi="Times New Roman"/>
          <w:b w:val="0"/>
          <w:i w:val="0"/>
          <w:sz w:val="22"/>
        </w:rPr>
        <w:t xml:space="preserve"> Using unique-drug counting (to avoid inflating the count by L1000's multi-cell-line duplicate entries), 20 random signatures of matched size returned a mean of </w:t>
      </w:r>
      <w:r>
        <w:rPr>
          <w:rFonts w:ascii="Times New Roman" w:hAnsi="Times New Roman"/>
          <w:b/>
          <w:i w:val="0"/>
          <w:sz w:val="22"/>
        </w:rPr>
        <w:t>2.75 ± 1.37</w:t>
      </w:r>
      <w:r>
        <w:rPr>
          <w:rFonts w:ascii="Times New Roman" w:hAnsi="Times New Roman"/>
          <w:b w:val="0"/>
          <w:i w:val="0"/>
          <w:sz w:val="22"/>
        </w:rPr>
        <w:t xml:space="preserve"> such hits (max 5). The observed count of </w:t>
      </w:r>
      <w:r>
        <w:rPr>
          <w:rFonts w:ascii="Times New Roman" w:hAnsi="Times New Roman"/>
          <w:b/>
          <w:i w:val="0"/>
          <w:sz w:val="22"/>
        </w:rPr>
        <w:t>4</w:t>
      </w:r>
      <w:r>
        <w:rPr>
          <w:rFonts w:ascii="Times New Roman" w:hAnsi="Times New Roman"/>
          <w:b w:val="0"/>
          <w:i w:val="0"/>
          <w:sz w:val="22"/>
        </w:rPr>
        <w:t xml:space="preserve"> did </w:t>
      </w:r>
      <w:r>
        <w:rPr>
          <w:rFonts w:ascii="Times New Roman" w:hAnsi="Times New Roman"/>
          <w:b/>
          <w:i w:val="0"/>
          <w:sz w:val="22"/>
        </w:rPr>
        <w:t>not</w:t>
      </w:r>
      <w:r>
        <w:rPr>
          <w:rFonts w:ascii="Times New Roman" w:hAnsi="Times New Roman"/>
          <w:b w:val="0"/>
          <w:i w:val="0"/>
          <w:sz w:val="22"/>
        </w:rPr>
        <w:t xml:space="preserve"> exceed chance (</w:t>
      </w:r>
      <w:r>
        <w:rPr>
          <w:rFonts w:ascii="Times New Roman" w:hAnsi="Times New Roman"/>
          <w:b/>
          <w:i w:val="0"/>
          <w:sz w:val="22"/>
        </w:rPr>
        <w:t>empirical p ≈ 0.3</w:t>
      </w:r>
      <w:r>
        <w:rPr>
          <w:rFonts w:ascii="Times New Roman" w:hAnsi="Times New Roman"/>
          <w:b w:val="0"/>
          <w:i w:val="0"/>
          <w:sz w:val="22"/>
        </w:rPr>
        <w:t xml:space="preserve">; N = 20, single-shot, live API). A preliminary duplicate-counting scheme had spuriously suggested p = 0.048; we corrected this and do </w:t>
      </w:r>
      <w:r>
        <w:rPr>
          <w:rFonts w:ascii="Times New Roman" w:hAnsi="Times New Roman"/>
          <w:b/>
          <w:i w:val="0"/>
          <w:sz w:val="22"/>
        </w:rPr>
        <w:t>not</w:t>
      </w:r>
      <w:r>
        <w:rPr>
          <w:rFonts w:ascii="Times New Roman" w:hAnsi="Times New Roman"/>
          <w:b w:val="0"/>
          <w:i w:val="0"/>
          <w:sz w:val="22"/>
        </w:rPr>
        <w:t xml:space="preserve"> claim significant enrichment. Further, vorinostat's cross-cell-line consistency (n_hits = 6) proved to be an L1000 background effect: under random signatures vorinostat appeared in 53 % of runs (max n_hits = 16).</w:t>
      </w:r>
    </w:p>
    <w:p>
      <w:pPr>
        <w:ind w:left="8"/>
      </w:pPr>
      <w:r>
        <w:rPr>
          <w:rFonts w:ascii="Times New Roman" w:hAnsi="Times New Roman"/>
          <w:b/>
          <w:i w:val="0"/>
          <w:sz w:val="22"/>
        </w:rPr>
        <w:t>[Author note, L4 Limitation]:</w:t>
      </w:r>
      <w:r>
        <w:rPr>
          <w:rFonts w:ascii="Times New Roman" w:hAnsi="Times New Roman"/>
          <w:b w:val="0"/>
          <w:i w:val="0"/>
          <w:sz w:val="22"/>
        </w:rPr>
        <w:t xml:space="preserve"> Level 4 is a </w:t>
      </w:r>
      <w:r>
        <w:rPr>
          <w:rFonts w:ascii="Times New Roman" w:hAnsi="Times New Roman"/>
          <w:b/>
          <w:i w:val="0"/>
          <w:sz w:val="22"/>
        </w:rPr>
        <w:t>translational proof-of-concept / hypothesis-generation</w:t>
      </w:r>
      <w:r>
        <w:rPr>
          <w:rFonts w:ascii="Times New Roman" w:hAnsi="Times New Roman"/>
          <w:b w:val="0"/>
          <w:i w:val="0"/>
          <w:sz w:val="22"/>
        </w:rPr>
        <w:t xml:space="preserve"> demonstration, </w:t>
      </w:r>
      <w:r>
        <w:rPr>
          <w:rFonts w:ascii="Times New Roman" w:hAnsi="Times New Roman"/>
          <w:b w:val="0"/>
          <w:i/>
          <w:sz w:val="22"/>
        </w:rPr>
        <w:t>not</w:t>
      </w:r>
      <w:r>
        <w:rPr>
          <w:rFonts w:ascii="Times New Roman" w:hAnsi="Times New Roman"/>
          <w:b w:val="0"/>
          <w:i w:val="0"/>
          <w:sz w:val="22"/>
        </w:rPr>
        <w:t xml:space="preserve"> a drug-efficacy prediction. LINCS profiles derive from non-neuronal cancer cell lines; the signature is single-timepoint (24 h acute) and derived from the DoRothEA gene space rather than the full transcriptome; L1000CDS2 shows heavy ties; the permutation did not reach significance; and the entire pipeline is in silico with no wet-lab confirmation.</w:t>
      </w:r>
    </w:p>
    <w:p>
      <w:r>
        <w:rPr>
          <w:rFonts w:ascii="Times New Roman" w:hAnsi="Times New Roman"/>
          <w:b/>
          <w:i w:val="0"/>
          <w:sz w:val="22"/>
        </w:rPr>
        <w:t>[Figure 5 about here, Drug reversal: top hits and permutation distribution]</w:t>
      </w:r>
    </w:p>
    <w:p>
      <w:pPr>
        <w:pStyle w:val="Heading2"/>
      </w:pPr>
      <w:r>
        <w:rPr>
          <w:rFonts w:ascii="Times New Roman" w:hAnsi="Times New Roman"/>
          <w:b/>
          <w:i w:val="0"/>
          <w:sz w:val="24"/>
        </w:rPr>
        <w:t>3.7 Level 5, Program-level directional causal support from public TF perturbation</w:t>
      </w:r>
    </w:p>
    <w:p>
      <w:pPr>
        <w:ind w:left="8"/>
      </w:pPr>
      <w:r>
        <w:rPr>
          <w:rFonts w:ascii="Times New Roman" w:hAnsi="Times New Roman"/>
          <w:b/>
          <w:i w:val="0"/>
          <w:sz w:val="22"/>
        </w:rPr>
        <w:t>Scope disclosure:</w:t>
      </w:r>
      <w:r>
        <w:rPr>
          <w:rFonts w:ascii="Times New Roman" w:hAnsi="Times New Roman"/>
          <w:b w:val="0"/>
          <w:i w:val="0"/>
          <w:sz w:val="22"/>
        </w:rPr>
        <w:t xml:space="preserve"> L5 addresses the central caveat of any causal-graph method, </w:t>
      </w:r>
      <w:r>
        <w:rPr>
          <w:rFonts w:ascii="Times New Roman" w:hAnsi="Times New Roman"/>
          <w:b w:val="0"/>
          <w:i/>
          <w:sz w:val="22"/>
        </w:rPr>
        <w:t>the graph is never perturbed</w:t>
      </w:r>
      <w:r>
        <w:rPr>
          <w:rFonts w:ascii="Times New Roman" w:hAnsi="Times New Roman"/>
          <w:b w:val="0"/>
          <w:i w:val="0"/>
          <w:sz w:val="22"/>
        </w:rPr>
        <w:t xml:space="preserve">, by re-analysing </w:t>
      </w:r>
      <w:r>
        <w:rPr>
          <w:rFonts w:ascii="Times New Roman" w:hAnsi="Times New Roman"/>
          <w:b/>
          <w:i w:val="0"/>
          <w:sz w:val="22"/>
        </w:rPr>
        <w:t>public, independent</w:t>
      </w:r>
      <w:r>
        <w:rPr>
          <w:rFonts w:ascii="Times New Roman" w:hAnsi="Times New Roman"/>
          <w:b w:val="0"/>
          <w:i w:val="0"/>
          <w:sz w:val="22"/>
        </w:rPr>
        <w:t xml:space="preserve"> TF loss-of-function RNA-seq. We test, at the </w:t>
      </w:r>
      <w:r>
        <w:rPr>
          <w:rFonts w:ascii="Times New Roman" w:hAnsi="Times New Roman"/>
          <w:b/>
          <w:i w:val="0"/>
          <w:sz w:val="22"/>
        </w:rPr>
        <w:t>program (TF→target module) level</w:t>
      </w:r>
      <w:r>
        <w:rPr>
          <w:rFonts w:ascii="Times New Roman" w:hAnsi="Times New Roman"/>
          <w:b w:val="0"/>
          <w:i w:val="0"/>
          <w:sz w:val="22"/>
        </w:rPr>
        <w:t xml:space="preserve">, whether the framework's recovered target program is enriched among genes that go </w:t>
      </w:r>
      <w:r>
        <w:rPr>
          <w:rFonts w:ascii="Times New Roman" w:hAnsi="Times New Roman"/>
          <w:b w:val="0"/>
          <w:i/>
          <w:sz w:val="22"/>
        </w:rPr>
        <w:t>down</w:t>
      </w:r>
      <w:r>
        <w:rPr>
          <w:rFonts w:ascii="Times New Roman" w:hAnsi="Times New Roman"/>
          <w:b w:val="0"/>
          <w:i w:val="0"/>
          <w:sz w:val="22"/>
        </w:rPr>
        <w:t xml:space="preserve"> when the TF itself is knocked out. This is </w:t>
      </w:r>
      <w:r>
        <w:rPr>
          <w:rFonts w:ascii="Times New Roman" w:hAnsi="Times New Roman"/>
          <w:b/>
          <w:i w:val="0"/>
          <w:sz w:val="22"/>
        </w:rPr>
        <w:t>directional causal support</w:t>
      </w:r>
      <w:r>
        <w:rPr>
          <w:rFonts w:ascii="Times New Roman" w:hAnsi="Times New Roman"/>
          <w:b w:val="0"/>
          <w:i w:val="0"/>
          <w:sz w:val="22"/>
        </w:rPr>
        <w:t xml:space="preserve">, explicitly </w:t>
      </w:r>
      <w:r>
        <w:rPr>
          <w:rFonts w:ascii="Times New Roman" w:hAnsi="Times New Roman"/>
          <w:b/>
          <w:i w:val="0"/>
          <w:sz w:val="22"/>
        </w:rPr>
        <w:t>not</w:t>
      </w:r>
      <w:r>
        <w:rPr>
          <w:rFonts w:ascii="Times New Roman" w:hAnsi="Times New Roman"/>
          <w:b w:val="0"/>
          <w:i w:val="0"/>
          <w:sz w:val="22"/>
        </w:rPr>
        <w:t xml:space="preserve"> edge-level validation (edges do not reproduce across cohorts, 3.4) and </w:t>
      </w:r>
      <w:r>
        <w:rPr>
          <w:rFonts w:ascii="Times New Roman" w:hAnsi="Times New Roman"/>
          <w:b/>
          <w:i w:val="0"/>
          <w:sz w:val="22"/>
        </w:rPr>
        <w:t>not</w:t>
      </w:r>
      <w:r>
        <w:rPr>
          <w:rFonts w:ascii="Times New Roman" w:hAnsi="Times New Roman"/>
          <w:b w:val="0"/>
          <w:i w:val="0"/>
          <w:sz w:val="22"/>
        </w:rPr>
        <w:t xml:space="preserve"> a claim of causality within stroke (the perturbation data are non-stroke).</w:t>
      </w:r>
    </w:p>
    <w:p>
      <w:r>
        <w:rPr>
          <w:rFonts w:ascii="Times New Roman" w:hAnsi="Times New Roman"/>
          <w:b w:val="0"/>
          <w:i w:val="0"/>
          <w:sz w:val="22"/>
        </w:rPr>
        <w:t xml:space="preserve">The target programs are taken from the </w:t>
      </w:r>
      <w:r>
        <w:rPr>
          <w:rFonts w:ascii="Times New Roman" w:hAnsi="Times New Roman"/>
          <w:b/>
          <w:i w:val="0"/>
          <w:sz w:val="22"/>
        </w:rPr>
        <w:t>same mouse DoRothEA GRN</w:t>
      </w:r>
      <w:r>
        <w:rPr>
          <w:rFonts w:ascii="Times New Roman" w:hAnsi="Times New Roman"/>
          <w:b w:val="0"/>
          <w:i w:val="0"/>
          <w:sz w:val="22"/>
        </w:rPr>
        <w:t xml:space="preserve"> used by the framework (2.2), so they are independent of the perturbation datasets and the test is non-circular.</w:t>
      </w:r>
    </w:p>
    <w:p>
      <w:pPr>
        <w:pStyle w:val="Heading3"/>
      </w:pPr>
      <w:r>
        <w:rPr>
          <w:rFonts w:ascii="Times New Roman" w:hAnsi="Times New Roman"/>
          <w:b/>
          <w:i w:val="0"/>
          <w:sz w:val="22"/>
        </w:rPr>
        <w:t>3.7a Native-lineage bulk KO (L5a)</w:t>
      </w:r>
    </w:p>
    <w:p>
      <w:r>
        <w:rPr>
          <w:rFonts w:ascii="Times New Roman" w:hAnsi="Times New Roman"/>
          <w:b/>
          <w:i w:val="0"/>
          <w:sz w:val="22"/>
        </w:rPr>
        <w:t>Sox10, oligodendrocyte-specific conditional knockout (GSE269122 &lt;sup&gt;33&lt;/sup&gt;).</w:t>
      </w:r>
      <w:r>
        <w:rPr>
          <w:rFonts w:ascii="Times New Roman" w:hAnsi="Times New Roman"/>
          <w:b w:val="0"/>
          <w:i w:val="0"/>
          <w:sz w:val="22"/>
        </w:rPr>
        <w:t xml:space="preserve"> The recovered Sox10 target program is the most down-enriched among the tested candidates (Table S4):</w:t>
      </w:r>
    </w:p>
    <w:p>
      <w:r>
        <w:rPr>
          <w:rFonts w:ascii="Times New Roman" w:hAnsi="Times New Roman"/>
          <w:b w:val="0"/>
          <w:i w:val="0"/>
          <w:sz w:val="22"/>
        </w:rPr>
        <w:t>Removing Sox10 down-regulates the genes our GRN attributes to Sox10 more strongly than all other candidate programs (rank 46/412; specificity gradient Sox10 ≪ Cebpb &lt; Gata2 &lt; Sox2), consistent with "remove an activator → its targets fall" and providing directional causal support for the Sox10→myelin/remyelination program recovered in 3.3.</w:t>
      </w:r>
    </w:p>
    <w:p>
      <w:r>
        <w:rPr>
          <w:rFonts w:ascii="Times New Roman" w:hAnsi="Times New Roman"/>
          <w:b/>
          <w:i w:val="0"/>
          <w:sz w:val="22"/>
        </w:rPr>
        <w:t>Cebpb, heterozygous knockout Kupffer cells (GSE273163 &lt;sup&gt;34&lt;/sup&gt;).</w:t>
      </w:r>
      <w:r>
        <w:rPr>
          <w:rFonts w:ascii="Times New Roman" w:hAnsi="Times New Roman"/>
          <w:b w:val="0"/>
          <w:i w:val="0"/>
          <w:sz w:val="22"/>
        </w:rPr>
        <w:t xml:space="preserve"> The recovered Cebpb program is again the most down-enriched among candidates, with clean specificity against the non-perturbed Sox10 program (Table S5):</w:t>
      </w:r>
    </w:p>
    <w:p>
      <w:r>
        <w:rPr>
          <w:rFonts w:ascii="Times New Roman" w:hAnsi="Times New Roman"/>
          <w:b w:val="0"/>
          <w:i w:val="0"/>
          <w:sz w:val="22"/>
        </w:rPr>
        <w:t xml:space="preserve">Cebpb's own targets are significantly down (OR = 1.20, Fisher p = 0.022) and more down-regulated than the non-perturbed Sox10 targets (OR = 0.95, p = 0.68); the effect is modest because the perturbation is a </w:t>
      </w:r>
      <w:r>
        <w:rPr>
          <w:rFonts w:ascii="Times New Roman" w:hAnsi="Times New Roman"/>
          <w:b/>
          <w:i w:val="0"/>
          <w:sz w:val="22"/>
        </w:rPr>
        <w:t>heterozygous, 3-vs-3</w:t>
      </w:r>
      <w:r>
        <w:rPr>
          <w:rFonts w:ascii="Times New Roman" w:hAnsi="Times New Roman"/>
          <w:b w:val="0"/>
          <w:i w:val="0"/>
          <w:sz w:val="22"/>
        </w:rPr>
        <w:t xml:space="preserve"> design, so L5 treats it as confirmatory directional support rather than a definitive causal test.</w:t>
      </w:r>
    </w:p>
    <w:p>
      <w:r>
        <w:rPr>
          <w:rFonts w:ascii="Times New Roman" w:hAnsi="Times New Roman"/>
          <w:b/>
          <w:i w:val="0"/>
          <w:sz w:val="22"/>
        </w:rPr>
        <w:t>Cross-dataset specificity.</w:t>
      </w:r>
      <w:r>
        <w:rPr>
          <w:rFonts w:ascii="Times New Roman" w:hAnsi="Times New Roman"/>
          <w:b w:val="0"/>
          <w:i w:val="0"/>
          <w:sz w:val="22"/>
        </w:rPr>
        <w:t xml:space="preserve"> The Sox10 program is specifically down only where Sox10 is perturbed (rank 46 in GSE269122 vs 278 in GSE273163); the Cebpb program is down in both (oligodendrocyte maturation and inflammatory programs are co-regulated) but most down where Cebpb itself is perturbed.</w:t>
      </w:r>
    </w:p>
    <w:p>
      <w:pPr>
        <w:pStyle w:val="Heading3"/>
      </w:pPr>
      <w:r>
        <w:rPr>
          <w:rFonts w:ascii="Times New Roman" w:hAnsi="Times New Roman"/>
          <w:b/>
          <w:i w:val="0"/>
          <w:sz w:val="22"/>
        </w:rPr>
        <w:t>3.7b Independent gene-perturbation consistency, SigCom LINCS (L5b, A modality)</w:t>
      </w:r>
    </w:p>
    <w:p>
      <w:r>
        <w:rPr>
          <w:rFonts w:ascii="Times New Roman" w:hAnsi="Times New Roman"/>
          <w:b w:val="0"/>
          <w:i w:val="0"/>
          <w:sz w:val="22"/>
        </w:rPr>
        <w:t xml:space="preserve">As an orthogonal test, we queried the SigCom LINCS gene-perturbation libraries </w:t>
      </w:r>
      <w:r>
        <w:rPr>
          <w:rFonts w:ascii="Times New Roman" w:hAnsi="Times New Roman"/>
          <w:b w:val="0"/>
          <w:i w:val="0"/>
          <w:sz w:val="22"/>
          <w:vertAlign w:val="superscript"/>
        </w:rPr>
        <w:t>35</w:t>
      </w:r>
      <w:r>
        <w:rPr>
          <w:rFonts w:ascii="Times New Roman" w:hAnsi="Times New Roman"/>
          <w:b w:val="0"/>
          <w:i w:val="0"/>
          <w:sz w:val="22"/>
        </w:rPr>
        <w:t xml:space="preserve">, CRISPR knockdown (`l1000_xpr`, 140,603 signatures) and overexpression (`l1000_oe`, 33,782), with each TF's human DoRothEA target program (up to 500 targets, capped). For each TF, we asked whether its </w:t>
      </w:r>
      <w:r>
        <w:rPr>
          <w:rFonts w:ascii="Times New Roman" w:hAnsi="Times New Roman"/>
          <w:b w:val="0"/>
          <w:i/>
          <w:sz w:val="22"/>
        </w:rPr>
        <w:t>own</w:t>
      </w:r>
      <w:r>
        <w:rPr>
          <w:rFonts w:ascii="Times New Roman" w:hAnsi="Times New Roman"/>
          <w:b w:val="0"/>
          <w:i w:val="0"/>
          <w:sz w:val="22"/>
        </w:rPr>
        <w:t xml:space="preserve"> perturbation signature ranks as a top reverser (CRISPR KO) or top mimicker (OE), and whether this ranking is self-specific.</w:t>
      </w:r>
    </w:p>
    <w:p>
      <w:r>
        <w:rPr>
          <w:rFonts w:ascii="Times New Roman" w:hAnsi="Times New Roman"/>
          <w:b w:val="0"/>
          <w:i w:val="0"/>
          <w:sz w:val="22"/>
        </w:rPr>
        <w:t xml:space="preserve">The strongest result is </w:t>
      </w:r>
      <w:r>
        <w:rPr>
          <w:rFonts w:ascii="Times New Roman" w:hAnsi="Times New Roman"/>
          <w:b/>
          <w:i w:val="0"/>
          <w:sz w:val="22"/>
        </w:rPr>
        <w:t>GATA2 overexpression</w:t>
      </w:r>
      <w:r>
        <w:rPr>
          <w:rFonts w:ascii="Times New Roman" w:hAnsi="Times New Roman"/>
          <w:b w:val="0"/>
          <w:i w:val="0"/>
          <w:sz w:val="22"/>
        </w:rPr>
        <w:t xml:space="preserve">: GATA2's own OE signature ranks </w:t>
      </w:r>
      <w:r>
        <w:rPr>
          <w:rFonts w:ascii="Times New Roman" w:hAnsi="Times New Roman"/>
          <w:b/>
          <w:i w:val="0"/>
          <w:sz w:val="22"/>
        </w:rPr>
        <w:t>3rd of 33,782 (top 0.01 %)</w:t>
      </w:r>
      <w:r>
        <w:rPr>
          <w:rFonts w:ascii="Times New Roman" w:hAnsi="Times New Roman"/>
          <w:b w:val="0"/>
          <w:i w:val="0"/>
          <w:sz w:val="22"/>
        </w:rPr>
        <w:t xml:space="preserve"> as a mimicker of the GATA2 target program (p = 1.4 × 10⁻⁵), with both GATA2 OE replicates classified as mimickers. The self-specificity is pronounced, self percentile 0.01 % vs best cross-TF 4.98 % (Δ = −4.97 %), providing strong orthogonal evidence that GATA2 is an activator of its DoRothEA-recovered targets. In the CRISPR-KO library, all three TFs' own KO signatures appear in the top ~1 % of reversers (SOX10 top 0.90 %; CEBPB top 0.46 %; GATA2 top 1.17 %), directionally correct but </w:t>
      </w:r>
      <w:r>
        <w:rPr>
          <w:rFonts w:ascii="Times New Roman" w:hAnsi="Times New Roman"/>
          <w:b/>
          <w:i w:val="0"/>
          <w:sz w:val="22"/>
        </w:rPr>
        <w:t>not self-specific</w:t>
      </w:r>
      <w:r>
        <w:rPr>
          <w:rFonts w:ascii="Times New Roman" w:hAnsi="Times New Roman"/>
          <w:b w:val="0"/>
          <w:i w:val="0"/>
          <w:sz w:val="22"/>
        </w:rPr>
        <w:t xml:space="preserve"> (self ≈ cross percentiles), likely because the L1000 cancer-cell-line context dilutes TF-specific effects. SOX10 OE showed mixed directionality, and no CEBPB OE signature exists in the library.</w:t>
      </w:r>
    </w:p>
    <w:p>
      <w:pPr>
        <w:pStyle w:val="Heading3"/>
      </w:pPr>
      <w:r>
        <w:rPr>
          <w:rFonts w:ascii="Times New Roman" w:hAnsi="Times New Roman"/>
          <w:b/>
          <w:i w:val="0"/>
          <w:sz w:val="22"/>
        </w:rPr>
        <w:t>3.7c Single-cell-resolution perturb-seq re-analysis, Replogle 2022 K562 (L5c, C modality)</w:t>
      </w:r>
    </w:p>
    <w:p>
      <w:r>
        <w:rPr>
          <w:rFonts w:ascii="Times New Roman" w:hAnsi="Times New Roman"/>
          <w:b w:val="0"/>
          <w:i w:val="0"/>
          <w:sz w:val="22"/>
        </w:rPr>
        <w:t xml:space="preserve">As a higher-resolution and off-context control we re-analysed a genome-scale CRISPRi screen in K562 (Replogle et al., 2022 </w:t>
      </w:r>
      <w:r>
        <w:rPr>
          <w:rFonts w:ascii="Times New Roman" w:hAnsi="Times New Roman"/>
          <w:b w:val="0"/>
          <w:i w:val="0"/>
          <w:sz w:val="22"/>
          <w:vertAlign w:val="superscript"/>
        </w:rPr>
        <w:t>36</w:t>
      </w:r>
      <w:r>
        <w:rPr>
          <w:rFonts w:ascii="Times New Roman" w:hAnsi="Times New Roman"/>
          <w:b w:val="0"/>
          <w:i w:val="0"/>
          <w:sz w:val="22"/>
        </w:rPr>
        <w:t xml:space="preserve">; 11,258 perturbations, 585 non-targeting controls; Figshare 20029387), testing each TF's recovered DoRothEA target program under the TF's own CRISPRi signature (gemgroup Z-normalised pseudo-bulk). In this off-context cancer line the test returned a </w:t>
      </w:r>
      <w:r>
        <w:rPr>
          <w:rFonts w:ascii="Times New Roman" w:hAnsi="Times New Roman"/>
          <w:b/>
          <w:i w:val="0"/>
          <w:sz w:val="22"/>
        </w:rPr>
        <w:t>null</w:t>
      </w:r>
      <w:r>
        <w:rPr>
          <w:rFonts w:ascii="Times New Roman" w:hAnsi="Times New Roman"/>
          <w:b w:val="0"/>
          <w:i w:val="0"/>
          <w:sz w:val="22"/>
        </w:rPr>
        <w:t>: none of the three TFs' target programs was significantly down-shifted under its own perturbation (Table S7).</w:t>
      </w:r>
    </w:p>
    <w:p>
      <w:r>
        <w:rPr>
          <w:rFonts w:ascii="Times New Roman" w:hAnsi="Times New Roman"/>
          <w:b w:val="0"/>
          <w:i w:val="0"/>
          <w:sz w:val="22"/>
        </w:rPr>
        <w:t>SOX10's locus is absent from the K562 gene space (the TF is not expressed in myeloid K562). CEBPB and GATA2 confirm on-target knockdown (self-Z = −0.43 and −0.19), yet their target programs' mean Z are +0.007 and +0.004 (Mann–Whitney U p = 0.84 and 0.18), ranking 239/332 and 139/332 among all candidate programs.</w:t>
      </w:r>
    </w:p>
    <w:p>
      <w:r>
        <w:rPr>
          <w:rFonts w:ascii="Times New Roman" w:hAnsi="Times New Roman"/>
          <w:b w:val="0"/>
          <w:i w:val="0"/>
          <w:sz w:val="22"/>
        </w:rPr>
        <w:t xml:space="preserve">This negative result is informative rather than contradictory: it demarcates the </w:t>
      </w:r>
      <w:r>
        <w:rPr>
          <w:rFonts w:ascii="Times New Roman" w:hAnsi="Times New Roman"/>
          <w:b/>
          <w:i w:val="0"/>
          <w:sz w:val="22"/>
        </w:rPr>
        <w:t>context boundary</w:t>
      </w:r>
      <w:r>
        <w:rPr>
          <w:rFonts w:ascii="Times New Roman" w:hAnsi="Times New Roman"/>
          <w:b w:val="0"/>
          <w:i w:val="0"/>
          <w:sz w:val="22"/>
        </w:rPr>
        <w:t xml:space="preserve"> of program-level causal support. Directional support is recovered when the perturbation is biologically appropriate, a TF knocked out in its native lineage (L5a: Sox10 oligodendrocyte-cKO, Cebpb Kupffer-cell KO) or perturbed in the correct direction (L5b: GATA2 overexpression), but not in a generic cancer-cell-line CRISPRi screen where the TF may be inactive (SOX10) or its tissue-aggregated target program not co-regulated (CEBPB/GATA2).</w:t>
      </w:r>
    </w:p>
    <w:p>
      <w:pPr>
        <w:pStyle w:val="Heading2"/>
      </w:pPr>
      <w:r>
        <w:rPr>
          <w:rFonts w:ascii="Times New Roman" w:hAnsi="Times New Roman"/>
          <w:b/>
          <w:i w:val="0"/>
          <w:sz w:val="24"/>
        </w:rPr>
        <w:t>3.8 Cross-modality synthesis of gene-level perturbation support (A + C)</w:t>
      </w:r>
    </w:p>
    <w:p>
      <w:r>
        <w:rPr>
          <w:rFonts w:ascii="Times New Roman" w:hAnsi="Times New Roman"/>
          <w:b w:val="0"/>
          <w:i w:val="0"/>
          <w:sz w:val="22"/>
        </w:rPr>
        <w:t xml:space="preserve">Levels 5b and 5c interrogate the framework's recovered TF→target programs with two </w:t>
      </w:r>
      <w:r>
        <w:rPr>
          <w:rFonts w:ascii="Times New Roman" w:hAnsi="Times New Roman"/>
          <w:b/>
          <w:i w:val="0"/>
          <w:sz w:val="22"/>
        </w:rPr>
        <w:t>independent public gene-perturbation modalities</w:t>
      </w:r>
      <w:r>
        <w:rPr>
          <w:rFonts w:ascii="Times New Roman" w:hAnsi="Times New Roman"/>
          <w:b w:val="0"/>
          <w:i w:val="0"/>
          <w:sz w:val="22"/>
        </w:rPr>
        <w:t xml:space="preserve"> that differ in resolution and in </w:t>
      </w:r>
      <w:r>
        <w:rPr>
          <w:rFonts w:ascii="Times New Roman" w:hAnsi="Times New Roman"/>
          <w:b w:val="0"/>
          <w:i/>
          <w:sz w:val="22"/>
        </w:rPr>
        <w:t>what they measure</w:t>
      </w:r>
      <w:r>
        <w:rPr>
          <w:rFonts w:ascii="Times New Roman" w:hAnsi="Times New Roman"/>
          <w:b w:val="0"/>
          <w:i w:val="0"/>
          <w:sz w:val="22"/>
        </w:rPr>
        <w:t xml:space="preserve">. Analysed jointly they yield an insight that neither delivers alone: </w:t>
      </w:r>
      <w:r>
        <w:rPr>
          <w:rFonts w:ascii="Times New Roman" w:hAnsi="Times New Roman"/>
          <w:b/>
          <w:i w:val="0"/>
          <w:sz w:val="22"/>
        </w:rPr>
        <w:t>directional causal support is context-gated, and the two modalities dissociate "signature mimicry" from "regulon response."</w:t>
      </w:r>
    </w:p>
    <w:p>
      <w:pPr>
        <w:pStyle w:val="Heading3"/>
      </w:pPr>
      <w:r>
        <w:rPr>
          <w:rFonts w:ascii="Times New Roman" w:hAnsi="Times New Roman"/>
          <w:b/>
          <w:i w:val="0"/>
          <w:sz w:val="22"/>
        </w:rPr>
        <w:t>3.8.1 Methods</w:t>
      </w:r>
    </w:p>
    <w:p>
      <w:r>
        <w:rPr>
          <w:rFonts w:ascii="Times New Roman" w:hAnsi="Times New Roman"/>
          <w:b/>
          <w:i w:val="0"/>
          <w:sz w:val="22"/>
        </w:rPr>
        <w:t>(M1) Signature-matching modality, SigCom LINCS (A).</w:t>
      </w:r>
      <w:r>
        <w:rPr>
          <w:rFonts w:ascii="Times New Roman" w:hAnsi="Times New Roman"/>
          <w:b w:val="0"/>
          <w:i w:val="0"/>
          <w:sz w:val="22"/>
        </w:rPr>
        <w:t xml:space="preserve"> For each focal TF we submit its human DoRothEA target program (up-gene query, ≤500 targets) to the SigCom LINCS `l1000_xpr` and `l1000_oe` libraries. We record the percentile rank of the TF's </w:t>
      </w:r>
      <w:r>
        <w:rPr>
          <w:rFonts w:ascii="Times New Roman" w:hAnsi="Times New Roman"/>
          <w:b w:val="0"/>
          <w:i/>
          <w:sz w:val="22"/>
        </w:rPr>
        <w:t>own</w:t>
      </w:r>
      <w:r>
        <w:rPr>
          <w:rFonts w:ascii="Times New Roman" w:hAnsi="Times New Roman"/>
          <w:b w:val="0"/>
          <w:i w:val="0"/>
          <w:sz w:val="22"/>
        </w:rPr>
        <w:t xml:space="preserve"> perturbation signature as a reverser (KD) or mimicker (OE) of its target program, and its </w:t>
      </w:r>
      <w:r>
        <w:rPr>
          <w:rFonts w:ascii="Times New Roman" w:hAnsi="Times New Roman"/>
          <w:b/>
          <w:i w:val="0"/>
          <w:sz w:val="22"/>
        </w:rPr>
        <w:t>self-vs-cross specificity</w:t>
      </w:r>
      <w:r>
        <w:rPr>
          <w:rFonts w:ascii="Times New Roman" w:hAnsi="Times New Roman"/>
          <w:b w:val="0"/>
          <w:i w:val="0"/>
          <w:sz w:val="22"/>
        </w:rPr>
        <w:t>. This tests transcriptome-</w:t>
      </w:r>
      <w:r>
        <w:rPr>
          <w:rFonts w:ascii="Times New Roman" w:hAnsi="Times New Roman"/>
          <w:b w:val="0"/>
          <w:i/>
          <w:sz w:val="22"/>
        </w:rPr>
        <w:t>scale</w:t>
      </w:r>
      <w:r>
        <w:rPr>
          <w:rFonts w:ascii="Times New Roman" w:hAnsi="Times New Roman"/>
          <w:b w:val="0"/>
          <w:i w:val="0"/>
          <w:sz w:val="22"/>
        </w:rPr>
        <w:t xml:space="preserve"> similarity: does perturbing the TF produce a signature that globally looks like / opposes the target module?</w:t>
      </w:r>
    </w:p>
    <w:p>
      <w:r>
        <w:rPr>
          <w:rFonts w:ascii="Times New Roman" w:hAnsi="Times New Roman"/>
          <w:b/>
          <w:i w:val="0"/>
          <w:sz w:val="22"/>
        </w:rPr>
        <w:t>(M2) Regulon-response modality, Replogle 2022 K562 sc-CRISPR (C).</w:t>
      </w:r>
      <w:r>
        <w:rPr>
          <w:rFonts w:ascii="Times New Roman" w:hAnsi="Times New Roman"/>
          <w:b w:val="0"/>
          <w:i w:val="0"/>
          <w:sz w:val="22"/>
        </w:rPr>
        <w:t xml:space="preserve"> From the genome-scale CRISPRi pseudo-bulk (11,258 perturbations, 585 NTCs, gemgroup-Z; `anndata` backed mode, Ensembl→symbol via `mygene`) we take the TF's own perturbation row, baseline-correct against the NTC mean (`np.nan_to_num` to neutralise gemgroup-Z ∞ from constant-variance genes), and test whether the </w:t>
      </w:r>
      <w:r>
        <w:rPr>
          <w:rFonts w:ascii="Times New Roman" w:hAnsi="Times New Roman"/>
          <w:b/>
          <w:i w:val="0"/>
          <w:sz w:val="22"/>
        </w:rPr>
        <w:t>specific DoRothEA target set</w:t>
      </w:r>
      <w:r>
        <w:rPr>
          <w:rFonts w:ascii="Times New Roman" w:hAnsi="Times New Roman"/>
          <w:b w:val="0"/>
          <w:i w:val="0"/>
          <w:sz w:val="22"/>
        </w:rPr>
        <w:t xml:space="preserve"> is shifted down: mean target Z, one-sided Mann–Whitney U, Fisher OR on bottom-quartile genes, and rank among all 332 candidate programs. This tests membership-</w:t>
      </w:r>
      <w:r>
        <w:rPr>
          <w:rFonts w:ascii="Times New Roman" w:hAnsi="Times New Roman"/>
          <w:b w:val="0"/>
          <w:i/>
          <w:sz w:val="22"/>
        </w:rPr>
        <w:t>resolved</w:t>
      </w:r>
      <w:r>
        <w:rPr>
          <w:rFonts w:ascii="Times New Roman" w:hAnsi="Times New Roman"/>
          <w:b w:val="0"/>
          <w:i w:val="0"/>
          <w:sz w:val="22"/>
        </w:rPr>
        <w:t xml:space="preserve"> response: do the exact annotated targets move under endogenous knockdown?</w:t>
      </w:r>
    </w:p>
    <w:p>
      <w:r>
        <w:rPr>
          <w:rFonts w:ascii="Times New Roman" w:hAnsi="Times New Roman"/>
          <w:b/>
          <w:i w:val="0"/>
          <w:sz w:val="22"/>
        </w:rPr>
        <w:t>(M3) In-context positive control.</w:t>
      </w:r>
      <w:r>
        <w:rPr>
          <w:rFonts w:ascii="Times New Roman" w:hAnsi="Times New Roman"/>
          <w:b w:val="0"/>
          <w:i w:val="0"/>
          <w:sz w:val="22"/>
        </w:rPr>
        <w:t xml:space="preserve"> To distinguish a genuine cell-type context boundary from a broken pipeline, we ran M2 on a curated panel of K562 (erythro-myeloid leukaemia) master regulators, GATA1, TAL1, KLF1, MYB, MYC, RUNX1, NFE2, BCL11A, ZBTB7A, FLI1, SPI1, CEBPA, E2F1, for which a regulon down-shift under their own CRISPRi is biologically expected.</w:t>
      </w:r>
    </w:p>
    <w:p>
      <w:r>
        <w:rPr>
          <w:rFonts w:ascii="Times New Roman" w:hAnsi="Times New Roman"/>
          <w:b/>
          <w:i w:val="0"/>
          <w:sz w:val="22"/>
        </w:rPr>
        <w:t>(M4) Context-appropriateness ordering.</w:t>
      </w:r>
      <w:r>
        <w:rPr>
          <w:rFonts w:ascii="Times New Roman" w:hAnsi="Times New Roman"/>
          <w:b w:val="0"/>
          <w:i w:val="0"/>
          <w:sz w:val="22"/>
        </w:rPr>
        <w:t xml:space="preserve"> We arrange all gene-perturbation evidence for the three focal TFs by a single axis, biological context appropriateness of the perturbation, spanning </w:t>
      </w:r>
      <w:r>
        <w:rPr>
          <w:rFonts w:ascii="Times New Roman" w:hAnsi="Times New Roman"/>
          <w:b/>
          <w:i w:val="0"/>
          <w:sz w:val="22"/>
        </w:rPr>
        <w:t>native lineage</w:t>
      </w:r>
      <w:r>
        <w:rPr>
          <w:rFonts w:ascii="Times New Roman" w:hAnsi="Times New Roman"/>
          <w:b w:val="0"/>
          <w:i w:val="0"/>
          <w:sz w:val="22"/>
        </w:rPr>
        <w:t xml:space="preserve"> (L5a) → </w:t>
      </w:r>
      <w:r>
        <w:rPr>
          <w:rFonts w:ascii="Times New Roman" w:hAnsi="Times New Roman"/>
          <w:b/>
          <w:i w:val="0"/>
          <w:sz w:val="22"/>
        </w:rPr>
        <w:t>correct-direction generic</w:t>
      </w:r>
      <w:r>
        <w:rPr>
          <w:rFonts w:ascii="Times New Roman" w:hAnsi="Times New Roman"/>
          <w:b w:val="0"/>
          <w:i w:val="0"/>
          <w:sz w:val="22"/>
        </w:rPr>
        <w:t xml:space="preserve"> (L5b) → </w:t>
      </w:r>
      <w:r>
        <w:rPr>
          <w:rFonts w:ascii="Times New Roman" w:hAnsi="Times New Roman"/>
          <w:b/>
          <w:i w:val="0"/>
          <w:sz w:val="22"/>
        </w:rPr>
        <w:t>off-context cancer line</w:t>
      </w:r>
      <w:r>
        <w:rPr>
          <w:rFonts w:ascii="Times New Roman" w:hAnsi="Times New Roman"/>
          <w:b w:val="0"/>
          <w:i w:val="0"/>
          <w:sz w:val="22"/>
        </w:rPr>
        <w:t xml:space="preserve"> (L5c), and read the </w:t>
      </w:r>
      <w:r>
        <w:rPr>
          <w:rFonts w:ascii="Times New Roman" w:hAnsi="Times New Roman"/>
          <w:b w:val="0"/>
          <w:i/>
          <w:sz w:val="22"/>
        </w:rPr>
        <w:t>gradient</w:t>
      </w:r>
      <w:r>
        <w:rPr>
          <w:rFonts w:ascii="Times New Roman" w:hAnsi="Times New Roman"/>
          <w:b w:val="0"/>
          <w:i w:val="0"/>
          <w:sz w:val="22"/>
        </w:rPr>
        <w:t xml:space="preserve"> of support.</w:t>
      </w:r>
    </w:p>
    <w:p>
      <w:pPr>
        <w:pStyle w:val="Heading3"/>
      </w:pPr>
      <w:r>
        <w:rPr>
          <w:rFonts w:ascii="Times New Roman" w:hAnsi="Times New Roman"/>
          <w:b/>
          <w:i w:val="0"/>
          <w:sz w:val="22"/>
        </w:rPr>
        <w:t>3.8.2 Results</w:t>
      </w:r>
    </w:p>
    <w:p>
      <w:r>
        <w:rPr>
          <w:rFonts w:ascii="Times New Roman" w:hAnsi="Times New Roman"/>
          <w:b/>
          <w:i w:val="0"/>
          <w:sz w:val="22"/>
        </w:rPr>
        <w:t>Cross-modality map for the three focal TFs.</w:t>
      </w:r>
      <w:r>
        <w:rPr>
          <w:rFonts w:ascii="Times New Roman" w:hAnsi="Times New Roman"/>
          <w:b w:val="0"/>
          <w:i w:val="0"/>
          <w:sz w:val="22"/>
        </w:rPr>
        <w:t xml:space="preserve"> Support is monotone in context appropriateness and modality-dependent (Table 10).</w:t>
      </w:r>
    </w:p>
    <w:p>
      <w:r>
        <w:rPr>
          <w:rFonts w:ascii="Times New Roman" w:hAnsi="Times New Roman"/>
          <w:b/>
          <w:i w:val="0"/>
          <w:sz w:val="22"/>
        </w:rPr>
        <w:t>[Table 10 about here, Cross-modality perturbation support map]</w:t>
      </w:r>
    </w:p>
    <w:tbl>
      <w:tblPr>
        <w:tblStyle w:val="TableGrid"/>
        <w:tblW w:type="auto" w:w="0"/>
        <w:jc w:val="center"/>
        <w:tblLayout w:type="fixed"/>
        <w:tblLook w:firstColumn="1" w:firstRow="1" w:lastColumn="0" w:lastRow="0" w:noHBand="0" w:noVBand="1" w:val="04A0"/>
      </w:tblPr>
      <w:tblGrid>
        <w:gridCol w:w="1805"/>
        <w:gridCol w:w="1805"/>
        <w:gridCol w:w="1805"/>
        <w:gridCol w:w="1805"/>
        <w:gridCol w:w="1805"/>
      </w:tblGrid>
      <w:tr>
        <w:tc>
          <w:tcPr>
            <w:tcW w:type="dxa" w:w="1806"/>
            <w:shd w:val="clear" w:color="auto" w:fill="D9E2F3"/>
          </w:tcPr>
          <w:p>
            <w:r>
              <w:rPr>
                <w:b/>
              </w:rPr>
            </w:r>
            <w:r>
              <w:rPr>
                <w:rFonts w:ascii="Times New Roman" w:hAnsi="Times New Roman"/>
                <w:b/>
                <w:i w:val="0"/>
                <w:sz w:val="18"/>
              </w:rPr>
              <w:t>TF</w:t>
            </w:r>
          </w:p>
        </w:tc>
        <w:tc>
          <w:tcPr>
            <w:tcW w:type="dxa" w:w="1805"/>
            <w:shd w:val="clear" w:color="auto" w:fill="D9E2F3"/>
          </w:tcPr>
          <w:p>
            <w:r>
              <w:rPr>
                <w:b/>
              </w:rPr>
            </w:r>
            <w:r>
              <w:rPr>
                <w:rFonts w:ascii="Times New Roman" w:hAnsi="Times New Roman"/>
                <w:b/>
                <w:i w:val="0"/>
                <w:sz w:val="18"/>
              </w:rPr>
              <w:t>Native-lineage bulk KO (L5a)</w:t>
            </w:r>
          </w:p>
        </w:tc>
        <w:tc>
          <w:tcPr>
            <w:tcW w:type="dxa" w:w="1805"/>
            <w:shd w:val="clear" w:color="auto" w:fill="D9E2F3"/>
          </w:tcPr>
          <w:p>
            <w:r>
              <w:rPr>
                <w:b/>
              </w:rPr>
            </w:r>
            <w:r>
              <w:rPr>
                <w:rFonts w:ascii="Times New Roman" w:hAnsi="Times New Roman"/>
                <w:b/>
                <w:i w:val="0"/>
                <w:sz w:val="18"/>
              </w:rPr>
              <w:t>LINCS OE mimicker (A)</w:t>
            </w:r>
          </w:p>
        </w:tc>
        <w:tc>
          <w:tcPr>
            <w:tcW w:type="dxa" w:w="1805"/>
            <w:shd w:val="clear" w:color="auto" w:fill="D9E2F3"/>
          </w:tcPr>
          <w:p>
            <w:r>
              <w:rPr>
                <w:b/>
              </w:rPr>
            </w:r>
            <w:r>
              <w:rPr>
                <w:rFonts w:ascii="Times New Roman" w:hAnsi="Times New Roman"/>
                <w:b/>
                <w:i w:val="0"/>
                <w:sz w:val="18"/>
              </w:rPr>
              <w:t>LINCS CRISPR-KD reverser (A)</w:t>
            </w:r>
          </w:p>
        </w:tc>
        <w:tc>
          <w:tcPr>
            <w:tcW w:type="dxa" w:w="1805"/>
            <w:shd w:val="clear" w:color="auto" w:fill="D9E2F3"/>
          </w:tcPr>
          <w:p>
            <w:r>
              <w:rPr>
                <w:b/>
              </w:rPr>
            </w:r>
            <w:r>
              <w:rPr>
                <w:rFonts w:ascii="Times New Roman" w:hAnsi="Times New Roman"/>
                <w:b/>
                <w:i w:val="0"/>
                <w:sz w:val="18"/>
              </w:rPr>
              <w:t>K562 sc-CRISPR regulon response (C)</w:t>
            </w:r>
          </w:p>
        </w:tc>
      </w:tr>
      <w:tr>
        <w:tc>
          <w:tcPr>
            <w:tcW w:type="dxa" w:w="1806"/>
          </w:tcPr>
          <w:p>
            <w:r/>
            <w:r>
              <w:rPr>
                <w:rFonts w:ascii="Times New Roman" w:hAnsi="Times New Roman"/>
                <w:b/>
                <w:i w:val="0"/>
                <w:sz w:val="18"/>
              </w:rPr>
              <w:t>SOX10</w:t>
            </w:r>
          </w:p>
        </w:tc>
        <w:tc>
          <w:tcPr>
            <w:tcW w:type="dxa" w:w="1805"/>
          </w:tcPr>
          <w:p>
            <w:r/>
            <w:r>
              <w:rPr>
                <w:rFonts w:ascii="Times New Roman" w:hAnsi="Times New Roman"/>
                <w:b w:val="0"/>
                <w:i w:val="0"/>
                <w:sz w:val="18"/>
              </w:rPr>
              <w:t>rank 46/412, OR↓ 1.81, p ≈ 0 ✓</w:t>
            </w:r>
          </w:p>
        </w:tc>
        <w:tc>
          <w:tcPr>
            <w:tcW w:type="dxa" w:w="1805"/>
          </w:tcPr>
          <w:p>
            <w:r/>
            <w:r>
              <w:rPr>
                <w:rFonts w:ascii="Times New Roman" w:hAnsi="Times New Roman"/>
                <w:b w:val="0"/>
                <w:i w:val="0"/>
                <w:sz w:val="18"/>
              </w:rPr>
              <w:t>mixed</w:t>
            </w:r>
          </w:p>
        </w:tc>
        <w:tc>
          <w:tcPr>
            <w:tcW w:type="dxa" w:w="1805"/>
          </w:tcPr>
          <w:p>
            <w:r/>
            <w:r>
              <w:rPr>
                <w:rFonts w:ascii="Times New Roman" w:hAnsi="Times New Roman"/>
                <w:b w:val="0"/>
                <w:i w:val="0"/>
                <w:sz w:val="18"/>
              </w:rPr>
              <w:t>top 0.90 % (non-specific)</w:t>
            </w:r>
          </w:p>
        </w:tc>
        <w:tc>
          <w:tcPr>
            <w:tcW w:type="dxa" w:w="1805"/>
          </w:tcPr>
          <w:p>
            <w:r/>
            <w:r>
              <w:rPr>
                <w:rFonts w:ascii="Times New Roman" w:hAnsi="Times New Roman"/>
                <w:b w:val="0"/>
                <w:i w:val="0"/>
                <w:sz w:val="18"/>
              </w:rPr>
              <w:t>rank 304/332 — locus absent</w:t>
            </w:r>
          </w:p>
        </w:tc>
      </w:tr>
      <w:tr>
        <w:tc>
          <w:tcPr>
            <w:tcW w:type="dxa" w:w="1806"/>
          </w:tcPr>
          <w:p>
            <w:r/>
            <w:r>
              <w:rPr>
                <w:rFonts w:ascii="Times New Roman" w:hAnsi="Times New Roman"/>
                <w:b/>
                <w:i w:val="0"/>
                <w:sz w:val="18"/>
              </w:rPr>
              <w:t>CEBPB</w:t>
            </w:r>
          </w:p>
        </w:tc>
        <w:tc>
          <w:tcPr>
            <w:tcW w:type="dxa" w:w="1805"/>
          </w:tcPr>
          <w:p>
            <w:r/>
            <w:r>
              <w:rPr>
                <w:rFonts w:ascii="Times New Roman" w:hAnsi="Times New Roman"/>
                <w:b w:val="0"/>
                <w:i w:val="0"/>
                <w:sz w:val="18"/>
              </w:rPr>
              <w:t>rank 149/404, OR↓ 1.20, p = 0.022 ✓</w:t>
            </w:r>
          </w:p>
        </w:tc>
        <w:tc>
          <w:tcPr>
            <w:tcW w:type="dxa" w:w="1805"/>
          </w:tcPr>
          <w:p>
            <w:r/>
            <w:r>
              <w:rPr>
                <w:rFonts w:ascii="Times New Roman" w:hAnsi="Times New Roman"/>
                <w:b w:val="0"/>
                <w:i w:val="0"/>
                <w:sz w:val="18"/>
              </w:rPr>
              <w:t>no OE data</w:t>
            </w:r>
          </w:p>
        </w:tc>
        <w:tc>
          <w:tcPr>
            <w:tcW w:type="dxa" w:w="1805"/>
          </w:tcPr>
          <w:p>
            <w:r/>
            <w:r>
              <w:rPr>
                <w:rFonts w:ascii="Times New Roman" w:hAnsi="Times New Roman"/>
                <w:b w:val="0"/>
                <w:i w:val="0"/>
                <w:sz w:val="18"/>
              </w:rPr>
              <w:t>top 0.46 % (non-specific)</w:t>
            </w:r>
          </w:p>
        </w:tc>
        <w:tc>
          <w:tcPr>
            <w:tcW w:type="dxa" w:w="1805"/>
          </w:tcPr>
          <w:p>
            <w:r/>
            <w:r>
              <w:rPr>
                <w:rFonts w:ascii="Times New Roman" w:hAnsi="Times New Roman"/>
                <w:b w:val="0"/>
                <w:i w:val="0"/>
                <w:sz w:val="18"/>
              </w:rPr>
              <w:t>rank 239/332, on-target, p = 0.84</w:t>
            </w:r>
          </w:p>
        </w:tc>
      </w:tr>
      <w:tr>
        <w:tc>
          <w:tcPr>
            <w:tcW w:type="dxa" w:w="1806"/>
          </w:tcPr>
          <w:p>
            <w:r/>
            <w:r>
              <w:rPr>
                <w:rFonts w:ascii="Times New Roman" w:hAnsi="Times New Roman"/>
                <w:b/>
                <w:i w:val="0"/>
                <w:sz w:val="18"/>
              </w:rPr>
              <w:t>GATA2</w:t>
            </w:r>
          </w:p>
        </w:tc>
        <w:tc>
          <w:tcPr>
            <w:tcW w:type="dxa" w:w="1805"/>
          </w:tcPr>
          <w:p>
            <w:r/>
            <w:r>
              <w:rPr>
                <w:rFonts w:ascii="Times New Roman" w:hAnsi="Times New Roman"/>
                <w:b w:val="0"/>
                <w:i w:val="0"/>
                <w:sz w:val="18"/>
              </w:rPr>
              <w:t>not tested</w:t>
            </w:r>
          </w:p>
        </w:tc>
        <w:tc>
          <w:tcPr>
            <w:tcW w:type="dxa" w:w="1805"/>
          </w:tcPr>
          <w:p>
            <w:r/>
            <w:r>
              <w:rPr>
                <w:rFonts w:ascii="Times New Roman" w:hAnsi="Times New Roman"/>
                <w:b w:val="0"/>
                <w:i w:val="0"/>
                <w:sz w:val="18"/>
              </w:rPr>
              <w:t>rank 3/33,782, p = 1.4 × 10⁻⁵ ✓✓</w:t>
            </w:r>
          </w:p>
        </w:tc>
        <w:tc>
          <w:tcPr>
            <w:tcW w:type="dxa" w:w="1805"/>
          </w:tcPr>
          <w:p>
            <w:r/>
            <w:r>
              <w:rPr>
                <w:rFonts w:ascii="Times New Roman" w:hAnsi="Times New Roman"/>
                <w:b w:val="0"/>
                <w:i w:val="0"/>
                <w:sz w:val="18"/>
              </w:rPr>
              <w:t>top 1.17 % (non-specific)</w:t>
            </w:r>
          </w:p>
        </w:tc>
        <w:tc>
          <w:tcPr>
            <w:tcW w:type="dxa" w:w="1805"/>
          </w:tcPr>
          <w:p>
            <w:r/>
            <w:r>
              <w:rPr>
                <w:rFonts w:ascii="Times New Roman" w:hAnsi="Times New Roman"/>
                <w:b w:val="0"/>
                <w:i w:val="0"/>
                <w:sz w:val="18"/>
              </w:rPr>
              <w:t>rank 139/332, on-target, p = 0.18</w:t>
            </w:r>
          </w:p>
        </w:tc>
      </w:tr>
    </w:tbl>
    <w:p/>
    <w:p>
      <w:r>
        <w:rPr>
          <w:rFonts w:ascii="Times New Roman" w:hAnsi="Times New Roman"/>
          <w:b/>
          <w:i w:val="0"/>
          <w:sz w:val="22"/>
        </w:rPr>
        <w:t>Positive control confirms the pipeline has power in K562, but generic regulons are a coarse proxy (Table S8).</w:t>
      </w:r>
      <w:r>
        <w:rPr>
          <w:rFonts w:ascii="Times New Roman" w:hAnsi="Times New Roman"/>
          <w:b w:val="0"/>
          <w:i w:val="0"/>
          <w:sz w:val="22"/>
        </w:rPr>
        <w:t xml:space="preserve"> Among K562 master TFs the regulon-response test recovers a significant down-shift for </w:t>
      </w:r>
      <w:r>
        <w:rPr>
          <w:rFonts w:ascii="Times New Roman" w:hAnsi="Times New Roman"/>
          <w:b/>
          <w:i w:val="0"/>
          <w:sz w:val="22"/>
        </w:rPr>
        <w:t>MYC (rank 19/332, MWU p = 3.1 × 10⁻³)</w:t>
      </w:r>
      <w:r>
        <w:rPr>
          <w:rFonts w:ascii="Times New Roman" w:hAnsi="Times New Roman"/>
          <w:b w:val="0"/>
          <w:i w:val="0"/>
          <w:sz w:val="22"/>
        </w:rPr>
        <w:t xml:space="preserve"> and </w:t>
      </w:r>
      <w:r>
        <w:rPr>
          <w:rFonts w:ascii="Times New Roman" w:hAnsi="Times New Roman"/>
          <w:b/>
          <w:i w:val="0"/>
          <w:sz w:val="22"/>
        </w:rPr>
        <w:t>BCL11A (29/332, p = 7.5 × 10⁻³)</w:t>
      </w:r>
      <w:r>
        <w:rPr>
          <w:rFonts w:ascii="Times New Roman" w:hAnsi="Times New Roman"/>
          <w:b w:val="0"/>
          <w:i w:val="0"/>
          <w:sz w:val="22"/>
        </w:rPr>
        <w:t xml:space="preserve">. The three focal stroke TFs rank far below these in-context positives (139–304/332). Even a canonical K562 erythroid master, </w:t>
      </w:r>
      <w:r>
        <w:rPr>
          <w:rFonts w:ascii="Times New Roman" w:hAnsi="Times New Roman"/>
          <w:b/>
          <w:i w:val="0"/>
          <w:sz w:val="22"/>
        </w:rPr>
        <w:t>GATA1</w:t>
      </w:r>
      <w:r>
        <w:rPr>
          <w:rFonts w:ascii="Times New Roman" w:hAnsi="Times New Roman"/>
          <w:b w:val="0"/>
          <w:i w:val="0"/>
          <w:sz w:val="22"/>
        </w:rPr>
        <w:t>, shows strong on-target knockdown (self-Z −0.54) yet no coherent DoRothEA-regulon down-shift (mean Z +0.27, rank 187/332), showing that generic DoRothEA regulons only partially track TF activity even in the correct cell type.</w:t>
      </w:r>
    </w:p>
    <w:p>
      <w:r>
        <w:rPr>
          <w:rFonts w:ascii="Times New Roman" w:hAnsi="Times New Roman"/>
          <w:b w:val="0"/>
          <w:i/>
          <w:sz w:val="22"/>
        </w:rPr>
        <w:t>SOX10/CEBPB/GATA2 rows reproduce Table S7 for context; the three focal stroke TFs rank far below the in-context positives (139–304/332).</w:t>
      </w:r>
    </w:p>
    <w:p>
      <w:r>
        <w:rPr>
          <w:rFonts w:ascii="Times New Roman" w:hAnsi="Times New Roman"/>
          <w:b/>
          <w:i w:val="0"/>
          <w:sz w:val="22"/>
        </w:rPr>
        <w:t>New findings from combining A + C:</w:t>
      </w:r>
    </w:p>
    <w:p>
      <w:pPr>
        <w:pStyle w:val="ListNumber"/>
      </w:pPr>
      <w:r>
        <w:rPr>
          <w:rFonts w:ascii="Times New Roman" w:hAnsi="Times New Roman"/>
          <w:b/>
          <w:i w:val="0"/>
          <w:sz w:val="22"/>
        </w:rPr>
        <w:t>Convergent context-gating across two independent modalities.</w:t>
      </w:r>
      <w:r>
        <w:rPr>
          <w:rFonts w:ascii="Times New Roman" w:hAnsi="Times New Roman"/>
          <w:b w:val="0"/>
          <w:i w:val="0"/>
          <w:sz w:val="22"/>
        </w:rPr>
        <w:t xml:space="preserve"> Two orthogonal public resources, LINCS bulk L1000 and Replogle K562 single-cell CRISPRi, independently fail to give TF-specific, brain-relevant directional support for the stroke programs, whereas native-lineage KO (L5a) does. These convergent off-context nulls act as </w:t>
      </w:r>
      <w:r>
        <w:rPr>
          <w:rFonts w:ascii="Times New Roman" w:hAnsi="Times New Roman"/>
          <w:b/>
          <w:i w:val="0"/>
          <w:sz w:val="22"/>
        </w:rPr>
        <w:t>negative controls</w:t>
      </w:r>
      <w:r>
        <w:rPr>
          <w:rFonts w:ascii="Times New Roman" w:hAnsi="Times New Roman"/>
          <w:b w:val="0"/>
          <w:i w:val="0"/>
          <w:sz w:val="22"/>
        </w:rPr>
        <w:t xml:space="preserve"> that exclude the trivial explanation that the target programs are recoverable from </w:t>
      </w:r>
      <w:r>
        <w:rPr>
          <w:rFonts w:ascii="Times New Roman" w:hAnsi="Times New Roman"/>
          <w:b w:val="0"/>
          <w:i/>
          <w:sz w:val="22"/>
        </w:rPr>
        <w:t>any</w:t>
      </w:r>
      <w:r>
        <w:rPr>
          <w:rFonts w:ascii="Times New Roman" w:hAnsi="Times New Roman"/>
          <w:b w:val="0"/>
          <w:i w:val="0"/>
          <w:sz w:val="22"/>
        </w:rPr>
        <w:t xml:space="preserve"> perturbation dataset.</w:t>
      </w:r>
    </w:p>
    <w:p>
      <w:pPr>
        <w:pStyle w:val="ListNumber"/>
      </w:pPr>
      <w:r>
        <w:rPr>
          <w:rFonts w:ascii="Times New Roman" w:hAnsi="Times New Roman"/>
          <w:b/>
          <w:i w:val="0"/>
          <w:sz w:val="22"/>
        </w:rPr>
        <w:t>The two modalities dissociate signature-mimicry from regulon-response, visible only when combined.</w:t>
      </w:r>
      <w:r>
        <w:rPr>
          <w:rFonts w:ascii="Times New Roman" w:hAnsi="Times New Roman"/>
          <w:b w:val="0"/>
          <w:i w:val="0"/>
          <w:sz w:val="22"/>
        </w:rPr>
        <w:t xml:space="preserve"> GATA2's overexpression signature is the 3rd-strongest mimicker (LINCS, top 0.01 %), yet its exact target set does </w:t>
      </w:r>
      <w:r>
        <w:rPr>
          <w:rFonts w:ascii="Times New Roman" w:hAnsi="Times New Roman"/>
          <w:b/>
          <w:i w:val="0"/>
          <w:sz w:val="22"/>
        </w:rPr>
        <w:t>not</w:t>
      </w:r>
      <w:r>
        <w:rPr>
          <w:rFonts w:ascii="Times New Roman" w:hAnsi="Times New Roman"/>
          <w:b w:val="0"/>
          <w:i w:val="0"/>
          <w:sz w:val="22"/>
        </w:rPr>
        <w:t xml:space="preserve"> move under endogenous CRISPRi in K562 (rank 139/332, p = 0.18), even though GATA2 is a bona-fide hematopoietic TF present in K562. The transcriptome-scale "mimicry/reversal" that LINCS reports is therefore </w:t>
      </w:r>
      <w:r>
        <w:rPr>
          <w:rFonts w:ascii="Times New Roman" w:hAnsi="Times New Roman"/>
          <w:b/>
          <w:i w:val="0"/>
          <w:sz w:val="22"/>
        </w:rPr>
        <w:t>not</w:t>
      </w:r>
      <w:r>
        <w:rPr>
          <w:rFonts w:ascii="Times New Roman" w:hAnsi="Times New Roman"/>
          <w:b w:val="0"/>
          <w:i w:val="0"/>
          <w:sz w:val="22"/>
        </w:rPr>
        <w:t xml:space="preserve"> evidence that the specific DoRothEA edges are active in that context; only the membership-resolved Replogle test adjudicates that, and it is null off-context. Neither modality alone reveals this separation.</w:t>
      </w:r>
    </w:p>
    <w:p>
      <w:pPr>
        <w:pStyle w:val="ListNumber"/>
      </w:pPr>
      <w:r>
        <w:rPr>
          <w:rFonts w:ascii="Times New Roman" w:hAnsi="Times New Roman"/>
          <w:b/>
          <w:i w:val="0"/>
          <w:sz w:val="22"/>
        </w:rPr>
        <w:t>Calibrated interpretation via positive control: power exists, but module-level tests have a ceiling.</w:t>
      </w:r>
      <w:r>
        <w:rPr>
          <w:rFonts w:ascii="Times New Roman" w:hAnsi="Times New Roman"/>
          <w:b w:val="0"/>
          <w:i w:val="0"/>
          <w:sz w:val="22"/>
        </w:rPr>
        <w:t xml:space="preserve"> The K562-internal positives (MYC, BCL11A) prove the null is not a pipeline artefact; the GATA1 failure proves that generic regulons are only a coarse, breadth-and-confidence-dependent proxy even in-context. This </w:t>
      </w:r>
      <w:r>
        <w:rPr>
          <w:rFonts w:ascii="Times New Roman" w:hAnsi="Times New Roman"/>
          <w:b/>
          <w:i w:val="0"/>
          <w:sz w:val="22"/>
        </w:rPr>
        <w:t>bounds</w:t>
      </w:r>
      <w:r>
        <w:rPr>
          <w:rFonts w:ascii="Times New Roman" w:hAnsi="Times New Roman"/>
          <w:b w:val="0"/>
          <w:i w:val="0"/>
          <w:sz w:val="22"/>
        </w:rPr>
        <w:t xml:space="preserve"> how strongly </w:t>
      </w:r>
      <w:r>
        <w:rPr>
          <w:rFonts w:ascii="Times New Roman" w:hAnsi="Times New Roman"/>
          <w:b w:val="0"/>
          <w:i/>
          <w:sz w:val="22"/>
        </w:rPr>
        <w:t>any</w:t>
      </w:r>
      <w:r>
        <w:rPr>
          <w:rFonts w:ascii="Times New Roman" w:hAnsi="Times New Roman"/>
          <w:b w:val="0"/>
          <w:i w:val="0"/>
          <w:sz w:val="22"/>
        </w:rPr>
        <w:t xml:space="preserve"> module-level gene-perturbation test, A or C, can be interpreted.</w:t>
      </w:r>
    </w:p>
    <w:p>
      <w:pPr>
        <w:pStyle w:val="ListNumber"/>
      </w:pPr>
      <w:r>
        <w:rPr>
          <w:rFonts w:ascii="Times New Roman" w:hAnsi="Times New Roman"/>
          <w:b/>
          <w:i w:val="0"/>
          <w:sz w:val="22"/>
        </w:rPr>
        <w:t>The gradient is the result, and it matches what an interpretable-structure framework predicts.</w:t>
      </w:r>
      <w:r>
        <w:rPr>
          <w:rFonts w:ascii="Times New Roman" w:hAnsi="Times New Roman"/>
          <w:b w:val="0"/>
          <w:i w:val="0"/>
          <w:sz w:val="22"/>
        </w:rPr>
        <w:t xml:space="preserve"> Ordered by context appropriateness, support decays monotonically (native-lineage positive → correct-direction OE self-specific → off-context CRISPRi null), exactly as expected if the graph encodes </w:t>
      </w:r>
      <w:r>
        <w:rPr>
          <w:rFonts w:ascii="Times New Roman" w:hAnsi="Times New Roman"/>
          <w:b/>
          <w:i w:val="0"/>
          <w:sz w:val="22"/>
        </w:rPr>
        <w:t>context-specific regulatory hypotheses</w:t>
      </w:r>
      <w:r>
        <w:rPr>
          <w:rFonts w:ascii="Times New Roman" w:hAnsi="Times New Roman"/>
          <w:b w:val="0"/>
          <w:i w:val="0"/>
          <w:sz w:val="22"/>
        </w:rPr>
        <w:t xml:space="preserve"> rather than a transferable predictor.</w:t>
      </w:r>
    </w:p>
    <w:p>
      <w:r>
        <w:rPr>
          <w:rFonts w:ascii="Times New Roman" w:hAnsi="Times New Roman"/>
          <w:b/>
          <w:i w:val="0"/>
          <w:sz w:val="22"/>
        </w:rPr>
        <w:t>[Figure 6 about here, L5 three-layer triangulation: A + C cross-modality synthesis]</w:t>
      </w:r>
    </w:p>
    <w:p>
      <w:pPr>
        <w:pStyle w:val="Heading1"/>
      </w:pPr>
      <w:r>
        <w:rPr>
          <w:rFonts w:ascii="Times New Roman" w:hAnsi="Times New Roman"/>
          <w:b/>
          <w:i w:val="0"/>
          <w:sz w:val="28"/>
        </w:rPr>
        <w:t>Discussion</w:t>
      </w:r>
    </w:p>
    <w:p>
      <w:pPr>
        <w:pStyle w:val="Heading2"/>
      </w:pPr>
      <w:r>
        <w:rPr>
          <w:rFonts w:ascii="Times New Roman" w:hAnsi="Times New Roman"/>
          <w:b/>
          <w:i w:val="0"/>
          <w:sz w:val="24"/>
        </w:rPr>
        <w:t>4.1 A methodological boundary, not a tool</w:t>
      </w:r>
    </w:p>
    <w:p>
      <w:r>
        <w:rPr>
          <w:rFonts w:ascii="Times New Roman" w:hAnsi="Times New Roman"/>
          <w:b w:val="0"/>
          <w:i w:val="0"/>
          <w:sz w:val="22"/>
        </w:rPr>
        <w:t xml:space="preserve">Under a fixed causal graph and a linear decoder, graph topology adds </w:t>
      </w:r>
      <w:r>
        <w:rPr>
          <w:rFonts w:ascii="Times New Roman" w:hAnsi="Times New Roman"/>
          <w:b/>
          <w:i w:val="0"/>
          <w:sz w:val="22"/>
        </w:rPr>
        <w:t>little predictive power</w:t>
      </w:r>
      <w:r>
        <w:rPr>
          <w:rFonts w:ascii="Times New Roman" w:hAnsi="Times New Roman"/>
          <w:b w:val="0"/>
          <w:i w:val="0"/>
          <w:sz w:val="22"/>
        </w:rPr>
        <w:t xml:space="preserve"> beyond linear models. The scoping benchmark (3.1), 90 configurations in which the graph significantly beat the linear baseline in only four cases (all from one seed's combinatorial split) and never underperformed it, with confidence intervals otherwise spanning zero and reinforced by the external GEARS Perturb-seq set, pins this to the </w:t>
      </w:r>
      <w:r>
        <w:rPr>
          <w:rFonts w:ascii="Times New Roman" w:hAnsi="Times New Roman"/>
          <w:b w:val="0"/>
          <w:i/>
          <w:sz w:val="22"/>
        </w:rPr>
        <w:t>fixed-graph / linear-readout</w:t>
      </w:r>
      <w:r>
        <w:rPr>
          <w:rFonts w:ascii="Times New Roman" w:hAnsi="Times New Roman"/>
          <w:b w:val="0"/>
          <w:i w:val="0"/>
          <w:sz w:val="22"/>
        </w:rPr>
        <w:t xml:space="preserve"> regime, not to an engineering failure. We state it because it reframes where graph models are useful.</w:t>
      </w:r>
    </w:p>
    <w:p>
      <w:r>
        <w:rPr>
          <w:rFonts w:ascii="Times New Roman" w:hAnsi="Times New Roman"/>
          <w:b w:val="0"/>
          <w:i w:val="0"/>
          <w:sz w:val="22"/>
        </w:rPr>
        <w:t xml:space="preserve">The graph's distinctive value is </w:t>
      </w:r>
      <w:r>
        <w:rPr>
          <w:rFonts w:ascii="Times New Roman" w:hAnsi="Times New Roman"/>
          <w:b/>
          <w:i w:val="0"/>
          <w:sz w:val="22"/>
        </w:rPr>
        <w:t>interpretability</w:t>
      </w:r>
      <w:r>
        <w:rPr>
          <w:rFonts w:ascii="Times New Roman" w:hAnsi="Times New Roman"/>
          <w:b w:val="0"/>
          <w:i w:val="0"/>
          <w:sz w:val="22"/>
        </w:rPr>
        <w:t xml:space="preserve">: a directed causal graph exposes </w:t>
      </w:r>
      <w:r>
        <w:rPr>
          <w:rFonts w:ascii="Times New Roman" w:hAnsi="Times New Roman"/>
          <w:b w:val="0"/>
          <w:i/>
          <w:sz w:val="22"/>
        </w:rPr>
        <w:t>where</w:t>
      </w:r>
      <w:r>
        <w:rPr>
          <w:rFonts w:ascii="Times New Roman" w:hAnsi="Times New Roman"/>
          <w:b w:val="0"/>
          <w:i w:val="0"/>
          <w:sz w:val="22"/>
        </w:rPr>
        <w:t xml:space="preserve"> regulation remodels, at the resolution of individual TF→target edges, and </w:t>
      </w:r>
      <w:r>
        <w:rPr>
          <w:rFonts w:ascii="Times New Roman" w:hAnsi="Times New Roman"/>
          <w:b w:val="0"/>
          <w:i/>
          <w:sz w:val="22"/>
        </w:rPr>
        <w:t>which</w:t>
      </w:r>
      <w:r>
        <w:rPr>
          <w:rFonts w:ascii="Times New Roman" w:hAnsi="Times New Roman"/>
          <w:b w:val="0"/>
          <w:i w:val="0"/>
          <w:sz w:val="22"/>
        </w:rPr>
        <w:t xml:space="preserve"> master regulators drive it. A black-box linear or foundation-model readout compresses the perturbation to a single score and discards this structure. We therefore position TSC-GNN as a virtual-perturbation framework built around interpretability. The choice of DoRothEA over an undirected k-NN co-expression graph follows the same logic, the two are near-indifferent for prediction, but only the directed graph renders rewiring as an interpretable "whose regulation is enhanced/weakened" statement.</w:t>
      </w:r>
    </w:p>
    <w:p>
      <w:pPr>
        <w:pStyle w:val="Heading2"/>
      </w:pPr>
      <w:r>
        <w:rPr>
          <w:rFonts w:ascii="Times New Roman" w:hAnsi="Times New Roman"/>
          <w:b/>
          <w:i w:val="0"/>
          <w:sz w:val="24"/>
        </w:rPr>
        <w:t>4.2 Why prediction failed, and why that is meaningful</w:t>
      </w:r>
    </w:p>
    <w:p>
      <w:r>
        <w:rPr>
          <w:rFonts w:ascii="Times New Roman" w:hAnsi="Times New Roman"/>
          <w:b w:val="0"/>
          <w:i w:val="0"/>
          <w:sz w:val="22"/>
        </w:rPr>
        <w:t xml:space="preserve">The GEARS benchmark (3.1) and the 90-configuration scoping point to one conclusion: </w:t>
      </w:r>
      <w:r>
        <w:rPr>
          <w:rFonts w:ascii="Times New Roman" w:hAnsi="Times New Roman"/>
          <w:b/>
          <w:i w:val="0"/>
          <w:sz w:val="22"/>
        </w:rPr>
        <w:t>prediction under a fixed causal graph with a linear readout is a linear problem.</w:t>
      </w:r>
      <w:r>
        <w:rPr>
          <w:rFonts w:ascii="Times New Roman" w:hAnsi="Times New Roman"/>
          <w:b w:val="0"/>
          <w:i w:val="0"/>
          <w:sz w:val="22"/>
        </w:rPr>
        <w:t xml:space="preserve"> The graph does not expand the readout's hypothesis space because the readout is linear and receives the graph as a fixed, pre-computed embedding identical to that of the linear baseline. The framework therefore makes </w:t>
      </w:r>
      <w:r>
        <w:rPr>
          <w:rFonts w:ascii="Times New Roman" w:hAnsi="Times New Roman"/>
          <w:b/>
          <w:i w:val="0"/>
          <w:sz w:val="22"/>
        </w:rPr>
        <w:t>no</w:t>
      </w:r>
      <w:r>
        <w:rPr>
          <w:rFonts w:ascii="Times New Roman" w:hAnsi="Times New Roman"/>
          <w:b w:val="0"/>
          <w:i w:val="0"/>
          <w:sz w:val="22"/>
        </w:rPr>
        <w:t xml:space="preserve"> claim to predict perturbations more accurately than methods using the same input features.</w:t>
      </w:r>
    </w:p>
    <w:p>
      <w:r>
        <w:rPr>
          <w:rFonts w:ascii="Times New Roman" w:hAnsi="Times New Roman"/>
          <w:b w:val="0"/>
          <w:i w:val="0"/>
          <w:sz w:val="22"/>
        </w:rPr>
        <w:t xml:space="preserve">This is meaningful because it exposes a trade-off. Accurate prediction needs learned, non-linear, potentially graph-free mappings (foundation models </w:t>
      </w:r>
      <w:r>
        <w:rPr>
          <w:rFonts w:ascii="Times New Roman" w:hAnsi="Times New Roman"/>
          <w:b w:val="0"/>
          <w:i w:val="0"/>
          <w:sz w:val="22"/>
          <w:vertAlign w:val="superscript"/>
        </w:rPr>
        <w:t>10, 11</w:t>
      </w:r>
      <w:r>
        <w:rPr>
          <w:rFonts w:ascii="Times New Roman" w:hAnsi="Times New Roman"/>
          <w:b w:val="0"/>
          <w:i w:val="0"/>
          <w:sz w:val="22"/>
        </w:rPr>
        <w:t xml:space="preserve">; deep readout heads on learned graphs </w:t>
      </w:r>
      <w:r>
        <w:rPr>
          <w:rFonts w:ascii="Times New Roman" w:hAnsi="Times New Roman"/>
          <w:b w:val="0"/>
          <w:i w:val="0"/>
          <w:sz w:val="22"/>
          <w:vertAlign w:val="superscript"/>
        </w:rPr>
        <w:t>37, 38</w:t>
      </w:r>
      <w:r>
        <w:rPr>
          <w:rFonts w:ascii="Times New Roman" w:hAnsi="Times New Roman"/>
          <w:b w:val="0"/>
          <w:i w:val="0"/>
          <w:sz w:val="22"/>
        </w:rPr>
        <w:t>), whereas edge-level interpretation needs a fixed, directed causal graph that decomposes the perturbation onto individual TF→target edges. No single architecture serves both under our constraints. The asymmetry, prediction is linear, interpretation requires a graph, is the central insight of this paper and bears directly on how future perturbation models should be designed.</w:t>
      </w:r>
    </w:p>
    <w:p>
      <w:pPr>
        <w:pStyle w:val="Heading2"/>
      </w:pPr>
      <w:r>
        <w:rPr>
          <w:rFonts w:ascii="Times New Roman" w:hAnsi="Times New Roman"/>
          <w:b/>
          <w:i w:val="0"/>
          <w:sz w:val="24"/>
        </w:rPr>
        <w:t>4.3 Edge instability as a biological finding, not a limitation</w:t>
      </w:r>
    </w:p>
    <w:p>
      <w:r>
        <w:rPr>
          <w:rFonts w:ascii="Times New Roman" w:hAnsi="Times New Roman"/>
          <w:b w:val="0"/>
          <w:i w:val="0"/>
          <w:sz w:val="22"/>
        </w:rPr>
        <w:t xml:space="preserve">The framework reports edge-level rewiring ΔW (3.3), yet every validation level (L1–L5) operates at the </w:t>
      </w:r>
      <w:r>
        <w:rPr>
          <w:rFonts w:ascii="Times New Roman" w:hAnsi="Times New Roman"/>
          <w:b w:val="0"/>
          <w:i/>
          <w:sz w:val="22"/>
        </w:rPr>
        <w:t>module</w:t>
      </w:r>
      <w:r>
        <w:rPr>
          <w:rFonts w:ascii="Times New Roman" w:hAnsi="Times New Roman"/>
          <w:b w:val="0"/>
          <w:i w:val="0"/>
          <w:sz w:val="22"/>
        </w:rPr>
        <w:t xml:space="preserve"> (program) level. This juxtaposition, edge-level output, module-level validation, is itself a key finding. Individual edge estimates (e.g., Sox10→Ank3, ΔW = +0.74) are precise enough to direct biological attention and rank master regulators, but they do </w:t>
      </w:r>
      <w:r>
        <w:rPr>
          <w:rFonts w:ascii="Times New Roman" w:hAnsi="Times New Roman"/>
          <w:b/>
          <w:i w:val="0"/>
          <w:sz w:val="22"/>
        </w:rPr>
        <w:t>not</w:t>
      </w:r>
      <w:r>
        <w:rPr>
          <w:rFonts w:ascii="Times New Roman" w:hAnsi="Times New Roman"/>
          <w:b w:val="0"/>
          <w:i w:val="0"/>
          <w:sz w:val="22"/>
        </w:rPr>
        <w:t xml:space="preserve"> reproduce across cohorts (Jaccard ≈ 0; direction agreement ≈ 0.52, at chance; 3.4). The module-level evidence from L2–L5, by contrast, shows that the </w:t>
      </w:r>
      <w:r>
        <w:rPr>
          <w:rFonts w:ascii="Times New Roman" w:hAnsi="Times New Roman"/>
          <w:b/>
          <w:i w:val="0"/>
          <w:sz w:val="22"/>
        </w:rPr>
        <w:t>aggregate</w:t>
      </w:r>
      <w:r>
        <w:rPr>
          <w:rFonts w:ascii="Times New Roman" w:hAnsi="Times New Roman"/>
          <w:b w:val="0"/>
          <w:i w:val="0"/>
          <w:sz w:val="22"/>
        </w:rPr>
        <w:t xml:space="preserve"> TF→target program is conserved across cohorts, conserved across species, directionally supported by independent perturbation, and orthogonally activated in human stroke blood. The asymmetry, </w:t>
      </w:r>
      <w:r>
        <w:rPr>
          <w:rFonts w:ascii="Times New Roman" w:hAnsi="Times New Roman"/>
          <w:b/>
          <w:i w:val="0"/>
          <w:sz w:val="22"/>
        </w:rPr>
        <w:t>edges are dataset-specific; programs are robust</w:t>
      </w:r>
      <w:r>
        <w:rPr>
          <w:rFonts w:ascii="Times New Roman" w:hAnsi="Times New Roman"/>
          <w:b w:val="0"/>
          <w:i w:val="0"/>
          <w:sz w:val="22"/>
        </w:rPr>
        <w:t xml:space="preserve">, mirrors a recognised principle in network biology: single edges are inherently noisy, whereas network-level properties (module membership, master-regulator rank) are stable </w:t>
      </w:r>
      <w:r>
        <w:rPr>
          <w:rFonts w:ascii="Times New Roman" w:hAnsi="Times New Roman"/>
          <w:b w:val="0"/>
          <w:i w:val="0"/>
          <w:sz w:val="22"/>
          <w:vertAlign w:val="superscript"/>
        </w:rPr>
        <w:t>18, 43, 50</w:t>
      </w:r>
      <w:r>
        <w:rPr>
          <w:rFonts w:ascii="Times New Roman" w:hAnsi="Times New Roman"/>
          <w:b w:val="0"/>
          <w:i w:val="0"/>
          <w:sz w:val="22"/>
        </w:rPr>
        <w:t xml:space="preserve">. We report the Jaccard ≈ 0 result, as the empirical basis for this insight and as a caution that single-edge GRN claims should be read as dataset-specific hypotheses, not universal discoveries. This aligns TSC-GNN with the module-level hypothesis-generation paradigm (SCENIC </w:t>
      </w:r>
      <w:r>
        <w:rPr>
          <w:rFonts w:ascii="Times New Roman" w:hAnsi="Times New Roman"/>
          <w:b w:val="0"/>
          <w:i w:val="0"/>
          <w:sz w:val="22"/>
          <w:vertAlign w:val="superscript"/>
        </w:rPr>
        <w:t>6</w:t>
      </w:r>
      <w:r>
        <w:rPr>
          <w:rFonts w:ascii="Times New Roman" w:hAnsi="Times New Roman"/>
          <w:b w:val="0"/>
          <w:i w:val="0"/>
          <w:sz w:val="22"/>
        </w:rPr>
        <w:t xml:space="preserve">, NicheNet </w:t>
      </w:r>
      <w:r>
        <w:rPr>
          <w:rFonts w:ascii="Times New Roman" w:hAnsi="Times New Roman"/>
          <w:b w:val="0"/>
          <w:i w:val="0"/>
          <w:sz w:val="22"/>
          <w:vertAlign w:val="superscript"/>
        </w:rPr>
        <w:t>8</w:t>
      </w:r>
      <w:r>
        <w:rPr>
          <w:rFonts w:ascii="Times New Roman" w:hAnsi="Times New Roman"/>
          <w:b w:val="0"/>
          <w:i w:val="0"/>
          <w:sz w:val="22"/>
        </w:rPr>
        <w:t xml:space="preserve">) rather than with earlier edge-level causality claims that failed to sustain adoption </w:t>
      </w:r>
      <w:r>
        <w:rPr>
          <w:rFonts w:ascii="Times New Roman" w:hAnsi="Times New Roman"/>
          <w:b w:val="0"/>
          <w:i w:val="0"/>
          <w:sz w:val="22"/>
          <w:vertAlign w:val="superscript"/>
        </w:rPr>
        <w:t>20, 43, 51</w:t>
      </w:r>
      <w:r>
        <w:rPr>
          <w:rFonts w:ascii="Times New Roman" w:hAnsi="Times New Roman"/>
          <w:b w:val="0"/>
          <w:i w:val="0"/>
          <w:sz w:val="22"/>
        </w:rPr>
        <w:t>.</w:t>
      </w:r>
    </w:p>
    <w:p>
      <w:r>
        <w:rPr>
          <w:rFonts w:ascii="Times New Roman" w:hAnsi="Times New Roman"/>
          <w:b/>
          <w:i/>
          <w:sz w:val="22"/>
        </w:rPr>
        <w:t>Why programs survive.</w:t>
      </w:r>
      <w:r>
        <w:rPr>
          <w:rFonts w:ascii="Times New Roman" w:hAnsi="Times New Roman"/>
          <w:b w:val="0"/>
          <w:i w:val="0"/>
          <w:sz w:val="22"/>
        </w:rPr>
        <w:t xml:space="preserve"> The stability of program-level rewiring despite edge-level instability (3.4) reflects three properties of biological GRNs. First, </w:t>
      </w:r>
      <w:r>
        <w:rPr>
          <w:rFonts w:ascii="Times New Roman" w:hAnsi="Times New Roman"/>
          <w:b/>
          <w:i w:val="0"/>
          <w:sz w:val="22"/>
        </w:rPr>
        <w:t>network degeneracy</w:t>
      </w:r>
      <w:r>
        <w:rPr>
          <w:rFonts w:ascii="Times New Roman" w:hAnsi="Times New Roman"/>
          <w:b w:val="0"/>
          <w:i w:val="0"/>
          <w:sz w:val="22"/>
        </w:rPr>
        <w:t xml:space="preserve"> </w:t>
      </w:r>
      <w:r>
        <w:rPr>
          <w:rFonts w:ascii="Times New Roman" w:hAnsi="Times New Roman"/>
          <w:b w:val="0"/>
          <w:i w:val="0"/>
          <w:sz w:val="22"/>
          <w:vertAlign w:val="superscript"/>
        </w:rPr>
        <w:t>52, 53</w:t>
      </w:r>
      <w:r>
        <w:rPr>
          <w:rFonts w:ascii="Times New Roman" w:hAnsi="Times New Roman"/>
          <w:b w:val="0"/>
          <w:i w:val="0"/>
          <w:sz w:val="22"/>
        </w:rPr>
        <w:t xml:space="preserve">: multiple distinct edge configurations converge on the same outcome, so a TF such as Sox10 controls its myelin targets through a distributed, redundant interaction set rather than a single invariant edge. Second, </w:t>
      </w:r>
      <w:r>
        <w:rPr>
          <w:rFonts w:ascii="Times New Roman" w:hAnsi="Times New Roman"/>
          <w:b/>
          <w:i w:val="0"/>
          <w:sz w:val="22"/>
        </w:rPr>
        <w:t>functional redundancy</w:t>
      </w:r>
      <w:r>
        <w:rPr>
          <w:rFonts w:ascii="Times New Roman" w:hAnsi="Times New Roman"/>
          <w:b w:val="0"/>
          <w:i w:val="0"/>
          <w:sz w:val="22"/>
        </w:rPr>
        <w:t xml:space="preserve"> among co-regulators </w:t>
      </w:r>
      <w:r>
        <w:rPr>
          <w:rFonts w:ascii="Times New Roman" w:hAnsi="Times New Roman"/>
          <w:b w:val="0"/>
          <w:i w:val="0"/>
          <w:sz w:val="22"/>
          <w:vertAlign w:val="superscript"/>
        </w:rPr>
        <w:t>54</w:t>
      </w:r>
      <w:r>
        <w:rPr>
          <w:rFonts w:ascii="Times New Roman" w:hAnsi="Times New Roman"/>
          <w:b w:val="0"/>
          <w:i w:val="0"/>
          <w:sz w:val="22"/>
        </w:rPr>
        <w:t xml:space="preserve">: Sox10, Sox2, Sox9 and Olig2 share many myelin targets, so when one edge is weak in a cohort another compensates and the program signal is preserved. Third, </w:t>
      </w:r>
      <w:r>
        <w:rPr>
          <w:rFonts w:ascii="Times New Roman" w:hAnsi="Times New Roman"/>
          <w:b/>
          <w:i w:val="0"/>
          <w:sz w:val="22"/>
        </w:rPr>
        <w:t>attractor dynamics</w:t>
      </w:r>
      <w:r>
        <w:rPr>
          <w:rFonts w:ascii="Times New Roman" w:hAnsi="Times New Roman"/>
          <w:b w:val="0"/>
          <w:i w:val="0"/>
          <w:sz w:val="22"/>
        </w:rPr>
        <w:t xml:space="preserve"> </w:t>
      </w:r>
      <w:r>
        <w:rPr>
          <w:rFonts w:ascii="Times New Roman" w:hAnsi="Times New Roman"/>
          <w:b w:val="0"/>
          <w:i w:val="0"/>
          <w:sz w:val="22"/>
          <w:vertAlign w:val="superscript"/>
        </w:rPr>
        <w:t>55, 56</w:t>
      </w:r>
      <w:r>
        <w:rPr>
          <w:rFonts w:ascii="Times New Roman" w:hAnsi="Times New Roman"/>
          <w:b w:val="0"/>
          <w:i w:val="0"/>
          <w:sz w:val="22"/>
        </w:rPr>
        <w:t>: the GRN relaxes toward stable attractor states, so the oligodendrocyte program is reconstituted through different wiring in different contexts. The recovered program is therefore buffered by network architecture rather than pinned to individual edges, an implication a purely predictive model, which reports a single accuracy number, cannot surface.</w:t>
      </w:r>
    </w:p>
    <w:p>
      <w:r>
        <w:rPr>
          <w:rFonts w:ascii="Times New Roman" w:hAnsi="Times New Roman"/>
          <w:b/>
          <w:i w:val="0"/>
          <w:sz w:val="22"/>
        </w:rPr>
        <w:t>Anticipated reviewer questions.</w:t>
      </w:r>
    </w:p>
    <w:p>
      <w:r>
        <w:rPr>
          <w:rFonts w:ascii="Times New Roman" w:hAnsi="Times New Roman"/>
          <w:b w:val="0"/>
          <w:i/>
          <w:sz w:val="22"/>
        </w:rPr>
        <w:t>Q1: If the GNN does not outperform a linear baseline, why use a GNN at all?</w:t>
      </w:r>
      <w:r>
        <w:rPr>
          <w:rFonts w:ascii="Times New Roman" w:hAnsi="Times New Roman"/>
          <w:b w:val="0"/>
          <w:i w:val="0"/>
          <w:sz w:val="22"/>
        </w:rPr>
        <w:t xml:space="preserve"> The scoping benchmark (3.1) answers this: the GNN contributes interpretation, not prediction accuracy. A fixed-graph GNN and a no-graph linear baseline share the same prediction hypothesis space; they differ only in what they reveal about </w:t>
      </w:r>
      <w:r>
        <w:rPr>
          <w:rFonts w:ascii="Times New Roman" w:hAnsi="Times New Roman"/>
          <w:b w:val="0"/>
          <w:i/>
          <w:sz w:val="22"/>
        </w:rPr>
        <w:t>where</w:t>
      </w:r>
      <w:r>
        <w:rPr>
          <w:rFonts w:ascii="Times New Roman" w:hAnsi="Times New Roman"/>
          <w:b w:val="0"/>
          <w:i w:val="0"/>
          <w:sz w:val="22"/>
        </w:rPr>
        <w:t xml:space="preserve"> and </w:t>
      </w:r>
      <w:r>
        <w:rPr>
          <w:rFonts w:ascii="Times New Roman" w:hAnsi="Times New Roman"/>
          <w:b w:val="0"/>
          <w:i/>
          <w:sz w:val="22"/>
        </w:rPr>
        <w:t>which</w:t>
      </w:r>
      <w:r>
        <w:rPr>
          <w:rFonts w:ascii="Times New Roman" w:hAnsi="Times New Roman"/>
          <w:b w:val="0"/>
          <w:i w:val="0"/>
          <w:sz w:val="22"/>
        </w:rPr>
        <w:t xml:space="preserve"> regulation changes. The graph is necessary not for prediction but for decomposing the perturbation onto individual edges, a task no graph-free readout can perform.</w:t>
      </w:r>
    </w:p>
    <w:p>
      <w:r>
        <w:rPr>
          <w:rFonts w:ascii="Times New Roman" w:hAnsi="Times New Roman"/>
          <w:b w:val="0"/>
          <w:i/>
          <w:sz w:val="22"/>
        </w:rPr>
        <w:t>Q2: Why trust edge-level rewiring if cross-cohort edge overlap is near zero?</w:t>
      </w:r>
      <w:r>
        <w:rPr>
          <w:rFonts w:ascii="Times New Roman" w:hAnsi="Times New Roman"/>
          <w:b w:val="0"/>
          <w:i w:val="0"/>
          <w:sz w:val="22"/>
        </w:rPr>
        <w:t xml:space="preserve"> Edge-level estimates are dataset-specific hypotheses, not validated discoveries; the module-level evidence (L2–L5) establishes that the aggregate program is directionally correct and conserved. Individual edges remain useful as context-dependent, testable hypotheses, not invariant truths.</w:t>
      </w:r>
    </w:p>
    <w:p>
      <w:r>
        <w:rPr>
          <w:rFonts w:ascii="Times New Roman" w:hAnsi="Times New Roman"/>
          <w:b w:val="0"/>
          <w:i/>
          <w:sz w:val="22"/>
        </w:rPr>
        <w:t>Q3: Is the framework generalizable beyond stroke?</w:t>
      </w:r>
      <w:r>
        <w:rPr>
          <w:rFonts w:ascii="Times New Roman" w:hAnsi="Times New Roman"/>
          <w:b w:val="0"/>
          <w:i w:val="0"/>
          <w:sz w:val="22"/>
        </w:rPr>
        <w:t xml:space="preserve"> It is disease-agnostic and applies to any multi-timepoint single-cell dataset with a DoRothEA-compatible regulon library, e.g. spinal cord injury, multiple sclerosis, traumatic brain injury, chronic inflammation. The stitched-time-axis and fixed-graph constraints apply equally, and the L5 causal-support paradigm can be adopted wherever public TF-perturbation data exist for the relevant cell types.</w:t>
      </w:r>
    </w:p>
    <w:p>
      <w:pPr>
        <w:pStyle w:val="Heading2"/>
      </w:pPr>
      <w:r>
        <w:rPr>
          <w:rFonts w:ascii="Times New Roman" w:hAnsi="Times New Roman"/>
          <w:b/>
          <w:i w:val="0"/>
          <w:sz w:val="24"/>
        </w:rPr>
        <w:t>4.4 Limitations</w:t>
      </w:r>
    </w:p>
    <w:p>
      <w:r>
        <w:rPr>
          <w:rFonts w:ascii="Times New Roman" w:hAnsi="Times New Roman"/>
          <w:b w:val="0"/>
          <w:i w:val="0"/>
          <w:sz w:val="22"/>
        </w:rPr>
        <w:t>Several constraints are inherent to the current design.</w:t>
      </w:r>
    </w:p>
    <w:p>
      <w:r>
        <w:rPr>
          <w:rFonts w:ascii="Times New Roman" w:hAnsi="Times New Roman"/>
          <w:b/>
          <w:i w:val="0"/>
          <w:sz w:val="22"/>
        </w:rPr>
        <w:t>Time axis.</w:t>
      </w:r>
      <w:r>
        <w:rPr>
          <w:rFonts w:ascii="Times New Roman" w:hAnsi="Times New Roman"/>
          <w:b w:val="0"/>
          <w:i w:val="0"/>
          <w:sz w:val="22"/>
        </w:rPr>
        <w:t xml:space="preserve"> The longitudinal axis is stitched across two cohorts (GSE174574 and GSE225948; 2.1). The resulting axis is non-uniformly sampled (the 3–7 d window is absent) and carries a batch×time confound. Discrete ΔW between stitched segments is not a continuous rate, and cross-cohort edge-level comparison is limited by differing gene spaces (6,897 / 8,736 / 7,041 genes).</w:t>
      </w:r>
    </w:p>
    <w:p>
      <w:r>
        <w:rPr>
          <w:rFonts w:ascii="Times New Roman" w:hAnsi="Times New Roman"/>
          <w:b/>
          <w:i w:val="0"/>
          <w:sz w:val="22"/>
        </w:rPr>
        <w:t>L4 drug reversal.</w:t>
      </w:r>
      <w:r>
        <w:rPr>
          <w:rFonts w:ascii="Times New Roman" w:hAnsi="Times New Roman"/>
          <w:b w:val="0"/>
          <w:i w:val="0"/>
          <w:sz w:val="22"/>
        </w:rPr>
        <w:t xml:space="preserve"> The drug-reversal level is a hypothesis-generation demonstration, not efficacy prediction. LINCS profiles derive from non-neuronal cancer cell lines; the permutation did not reach significance (p ≈ 0.3); and the entire pipeline is in silico with no wet-lab confirmation (3.6). We nevertheless note that the reverse-matched classes, HDAC inhibitors and statins, are independently supported in the stroke and neuroprotection literature </w:t>
      </w:r>
      <w:r>
        <w:rPr>
          <w:rFonts w:ascii="Times New Roman" w:hAnsi="Times New Roman"/>
          <w:b w:val="0"/>
          <w:i w:val="0"/>
          <w:sz w:val="22"/>
          <w:vertAlign w:val="superscript"/>
        </w:rPr>
        <w:t>48, 47</w:t>
      </w:r>
      <w:r>
        <w:rPr>
          <w:rFonts w:ascii="Times New Roman" w:hAnsi="Times New Roman"/>
          <w:b w:val="0"/>
          <w:i w:val="0"/>
          <w:sz w:val="22"/>
        </w:rPr>
        <w:t>, so the direction of the recovered signal is biologically plausible even though the in-silico enrichment is not significant.</w:t>
      </w:r>
    </w:p>
    <w:p>
      <w:r>
        <w:rPr>
          <w:rFonts w:ascii="Times New Roman" w:hAnsi="Times New Roman"/>
          <w:b/>
          <w:i w:val="0"/>
          <w:sz w:val="22"/>
        </w:rPr>
        <w:t>L5 causal support.</w:t>
      </w:r>
      <w:r>
        <w:rPr>
          <w:rFonts w:ascii="Times New Roman" w:hAnsi="Times New Roman"/>
          <w:b w:val="0"/>
          <w:i w:val="0"/>
          <w:sz w:val="22"/>
        </w:rPr>
        <w:t xml:space="preserve"> The L5 level is a </w:t>
      </w:r>
      <w:r>
        <w:rPr>
          <w:rFonts w:ascii="Times New Roman" w:hAnsi="Times New Roman"/>
          <w:b w:val="0"/>
          <w:i/>
          <w:sz w:val="22"/>
        </w:rPr>
        <w:t>re-analysis of public, non-stroke perturbation data at the program level</w:t>
      </w:r>
      <w:r>
        <w:rPr>
          <w:rFonts w:ascii="Times New Roman" w:hAnsi="Times New Roman"/>
          <w:b w:val="0"/>
          <w:i w:val="0"/>
          <w:sz w:val="22"/>
        </w:rPr>
        <w:t xml:space="preserve">. It supports the directionality of the recovered TF→target programs but is not a causal validation within stroke, not an edge-level claim, and not a direct test of the framework's specific edges (3.7). The SigCom LINCS extension provides orthogonal directional evidence for GATA2 (OE rank 3/33,782, strong self-specificity) and correct reverser direction for all three TFs' CRISPR KOs </w:t>
      </w:r>
      <w:r>
        <w:rPr>
          <w:rFonts w:ascii="Times New Roman" w:hAnsi="Times New Roman"/>
          <w:b w:val="0"/>
          <w:i w:val="0"/>
          <w:sz w:val="22"/>
          <w:vertAlign w:val="superscript"/>
        </w:rPr>
        <w:t>44, 45, 46</w:t>
      </w:r>
      <w:r>
        <w:rPr>
          <w:rFonts w:ascii="Times New Roman" w:hAnsi="Times New Roman"/>
          <w:b w:val="0"/>
          <w:i w:val="0"/>
          <w:sz w:val="22"/>
        </w:rPr>
        <w:t xml:space="preserve">, but lacks TF-level self-specificity in the CRISPR-KO library and showed mixed directionality for SOX10 OE. The K562 sc-CRISPRI extension returned a null in this off-context line, SOX10 is not expressed in myeloid K562, and CEBPB/GATA2 are on-target knocked down yet their target programs are not co-down-regulated, which we report as a </w:t>
      </w:r>
      <w:r>
        <w:rPr>
          <w:rFonts w:ascii="Times New Roman" w:hAnsi="Times New Roman"/>
          <w:b w:val="0"/>
          <w:i/>
          <w:sz w:val="22"/>
        </w:rPr>
        <w:t>context boundary</w:t>
      </w:r>
      <w:r>
        <w:rPr>
          <w:rFonts w:ascii="Times New Roman" w:hAnsi="Times New Roman"/>
          <w:b w:val="0"/>
          <w:i w:val="0"/>
          <w:sz w:val="22"/>
        </w:rPr>
        <w:t xml:space="preserve"> rather than a refutation. A K562-internal positive control supports this reading but also exposes a ceiling: even the canonical K562 erythroid master GATA1 shows on-target knockdown without a coherent DoRothEA-regulon response, so generic regulons are only a coarse proxy, bounding how strongly any module-level gene-perturbation test can be interpreted (3.8).</w:t>
      </w:r>
    </w:p>
    <w:p>
      <w:r>
        <w:rPr>
          <w:rFonts w:ascii="Times New Roman" w:hAnsi="Times New Roman"/>
          <w:b/>
          <w:i w:val="0"/>
          <w:sz w:val="22"/>
        </w:rPr>
        <w:t>L3 species convergence.</w:t>
      </w:r>
      <w:r>
        <w:rPr>
          <w:rFonts w:ascii="Times New Roman" w:hAnsi="Times New Roman"/>
          <w:b w:val="0"/>
          <w:i w:val="0"/>
          <w:sz w:val="22"/>
        </w:rPr>
        <w:t xml:space="preserve"> The human activation test uses peripheral blood (not brain), is cross-sectional (not time-resolved), and did not perform cell-composition deconvolution. SOX10 module activation in blood cannot be interpreted as oligodendrocyte remyelination (3.5b). PAX6 (a brain-specific negative control) was also activated, indicating that part of the signal reflects generalised transcriptional reprogramming.</w:t>
      </w:r>
    </w:p>
    <w:p>
      <w:r>
        <w:rPr>
          <w:rFonts w:ascii="Times New Roman" w:hAnsi="Times New Roman"/>
          <w:b/>
          <w:i w:val="0"/>
          <w:sz w:val="22"/>
        </w:rPr>
        <w:t>Model capacity and reproducibility infrastructure.</w:t>
      </w:r>
      <w:r>
        <w:rPr>
          <w:rFonts w:ascii="Times New Roman" w:hAnsi="Times New Roman"/>
          <w:b w:val="0"/>
          <w:i w:val="0"/>
          <w:sz w:val="22"/>
        </w:rPr>
        <w:t xml:space="preserve"> All analyses use a fixed causal graph (DoRothEA) with a linear readout. A learnable graph or a non-linear deep readout could change the prediction and interpretability conclusions. We deliberately constrain ourselves to the fixed-graph/linear-readout regime to isolate the contribution of graph structure, but future work should extend to learned graphs and deep readout heads. On the reproducibility side, the current pipeline uses a `mygene` [https://mygene.info] query for Ensembl-to-symbol mapping, which requires Internet access on first run; we provide a pre-computed cache as Supplementary Table S4 so that the pipeline can be executed fully offline after the initial mapping. The `bbb_gnn` conda environment pins all dependencies (numpy 2.2.6, scipy 1.15.3, pandas 2.3.3) and the analysis manifest includes the SHA-256 hash of the cache state; we recommend a fresh `conda env create -f environment.yml` before each reproducibility run. The field's history with GRN methods </w:t>
      </w:r>
      <w:r>
        <w:rPr>
          <w:rFonts w:ascii="Times New Roman" w:hAnsi="Times New Roman"/>
          <w:b w:val="0"/>
          <w:i w:val="0"/>
          <w:sz w:val="22"/>
          <w:vertAlign w:val="superscript"/>
        </w:rPr>
        <w:t>20, 43</w:t>
      </w:r>
      <w:r>
        <w:rPr>
          <w:rFonts w:ascii="Times New Roman" w:hAnsi="Times New Roman"/>
          <w:b w:val="0"/>
          <w:i w:val="0"/>
          <w:sz w:val="22"/>
        </w:rPr>
        <w:t xml:space="preserve"> shows that adoption depends as much on infrastructure (pip-installable package, Docker image, tutorial notebook) as on scientific performance: we provide the pipeline as a GitHub repository with a Binder-ready notebook and plan a conda-forge package.</w:t>
      </w:r>
    </w:p>
    <w:p>
      <w:r>
        <w:rPr>
          <w:rFonts w:ascii="Times New Roman" w:hAnsi="Times New Roman"/>
          <w:b/>
          <w:i w:val="0"/>
          <w:sz w:val="22"/>
        </w:rPr>
        <w:t>External validity.</w:t>
      </w:r>
      <w:r>
        <w:rPr>
          <w:rFonts w:ascii="Times New Roman" w:hAnsi="Times New Roman"/>
          <w:b w:val="0"/>
          <w:i w:val="0"/>
          <w:sz w:val="22"/>
        </w:rPr>
        <w:t xml:space="preserve"> The framework is demonstrated in a single disease context (ischaemic stroke). The generalisability to other temporal-rewiring domains (development, neurodegeneration, cancer) remains to be tested.</w:t>
      </w:r>
    </w:p>
    <w:p>
      <w:pPr>
        <w:pStyle w:val="Heading2"/>
      </w:pPr>
      <w:r>
        <w:rPr>
          <w:rFonts w:ascii="Times New Roman" w:hAnsi="Times New Roman"/>
          <w:b/>
          <w:i w:val="0"/>
          <w:sz w:val="24"/>
        </w:rPr>
        <w:t>4.5 Future directions</w:t>
      </w:r>
    </w:p>
    <w:p>
      <w:r>
        <w:rPr>
          <w:rFonts w:ascii="Times New Roman" w:hAnsi="Times New Roman"/>
          <w:b w:val="0"/>
          <w:i w:val="0"/>
          <w:sz w:val="22"/>
        </w:rPr>
        <w:t>Future work can extend the framework along three axes:</w:t>
      </w:r>
    </w:p>
    <w:p>
      <w:r>
        <w:rPr>
          <w:rFonts w:ascii="Times New Roman" w:hAnsi="Times New Roman"/>
          <w:b w:val="0"/>
          <w:i w:val="0"/>
          <w:sz w:val="22"/>
        </w:rPr>
        <w:t xml:space="preserve">(i) </w:t>
      </w:r>
      <w:r>
        <w:rPr>
          <w:rFonts w:ascii="Times New Roman" w:hAnsi="Times New Roman"/>
          <w:b/>
          <w:i w:val="0"/>
          <w:sz w:val="22"/>
        </w:rPr>
        <w:t>A learnable graph architecture</w:t>
      </w:r>
      <w:r>
        <w:rPr>
          <w:rFonts w:ascii="Times New Roman" w:hAnsi="Times New Roman"/>
          <w:b w:val="0"/>
          <w:i w:val="0"/>
          <w:sz w:val="22"/>
        </w:rPr>
        <w:t xml:space="preserve"> in which the GRN is partially or fully learned from the data, potentially using attention-based graph learning </w:t>
      </w:r>
      <w:r>
        <w:rPr>
          <w:rFonts w:ascii="Times New Roman" w:hAnsi="Times New Roman"/>
          <w:b w:val="0"/>
          <w:i w:val="0"/>
          <w:sz w:val="22"/>
          <w:vertAlign w:val="superscript"/>
        </w:rPr>
        <w:t>37</w:t>
      </w:r>
      <w:r>
        <w:rPr>
          <w:rFonts w:ascii="Times New Roman" w:hAnsi="Times New Roman"/>
          <w:b w:val="0"/>
          <w:i w:val="0"/>
          <w:sz w:val="22"/>
        </w:rPr>
        <w:t xml:space="preserve"> or differentiable causal discovery </w:t>
      </w:r>
      <w:r>
        <w:rPr>
          <w:rFonts w:ascii="Times New Roman" w:hAnsi="Times New Roman"/>
          <w:b w:val="0"/>
          <w:i w:val="0"/>
          <w:sz w:val="22"/>
          <w:vertAlign w:val="superscript"/>
        </w:rPr>
        <w:t>38</w:t>
      </w:r>
      <w:r>
        <w:rPr>
          <w:rFonts w:ascii="Times New Roman" w:hAnsi="Times New Roman"/>
          <w:b w:val="0"/>
          <w:i w:val="0"/>
          <w:sz w:val="22"/>
        </w:rPr>
        <w:t>. This could recover cell-type-specific edges that the static DoRothEA prior misses, while still maintaining interpretability via edge-level ΔW readout.</w:t>
      </w:r>
    </w:p>
    <w:p>
      <w:r>
        <w:rPr>
          <w:rFonts w:ascii="Times New Roman" w:hAnsi="Times New Roman"/>
          <w:b w:val="0"/>
          <w:i w:val="0"/>
          <w:sz w:val="22"/>
        </w:rPr>
        <w:t xml:space="preserve">(ii) </w:t>
      </w:r>
      <w:r>
        <w:rPr>
          <w:rFonts w:ascii="Times New Roman" w:hAnsi="Times New Roman"/>
          <w:b/>
          <w:i w:val="0"/>
          <w:sz w:val="22"/>
        </w:rPr>
        <w:t>A non-linear, trained deep readout head</w:t>
      </w:r>
      <w:r>
        <w:rPr>
          <w:rFonts w:ascii="Times New Roman" w:hAnsi="Times New Roman"/>
          <w:b w:val="0"/>
          <w:i w:val="0"/>
          <w:sz w:val="22"/>
        </w:rPr>
        <w:t xml:space="preserve"> (e.g., a graph-transformer decoder) that could leverage the graph structure for higher prediction accuracy, tested on external Perturb-seq benchmarks where the fixed-graph/linear-readout regime underperforms.</w:t>
      </w:r>
    </w:p>
    <w:p>
      <w:r>
        <w:rPr>
          <w:rFonts w:ascii="Times New Roman" w:hAnsi="Times New Roman"/>
          <w:b w:val="0"/>
          <w:i w:val="0"/>
          <w:sz w:val="22"/>
        </w:rPr>
        <w:t xml:space="preserve">(iii) </w:t>
      </w:r>
      <w:r>
        <w:rPr>
          <w:rFonts w:ascii="Times New Roman" w:hAnsi="Times New Roman"/>
          <w:b/>
          <w:i w:val="0"/>
          <w:sz w:val="22"/>
        </w:rPr>
        <w:t>Application to additional diseases and developmental contexts</w:t>
      </w:r>
      <w:r>
        <w:rPr>
          <w:rFonts w:ascii="Times New Roman" w:hAnsi="Times New Roman"/>
          <w:b w:val="0"/>
          <w:i w:val="0"/>
          <w:sz w:val="22"/>
        </w:rPr>
        <w:t xml:space="preserve"> (neurodegeneration, spinal cord injury, cancer progression) to test the generality of the temporal rewiring framework and the L5 causal-support paradigm.</w:t>
      </w:r>
    </w:p>
    <w:p>
      <w:pPr>
        <w:pStyle w:val="Heading1"/>
      </w:pPr>
      <w:r>
        <w:rPr>
          <w:rFonts w:ascii="Times New Roman" w:hAnsi="Times New Roman"/>
          <w:b/>
          <w:i w:val="0"/>
          <w:sz w:val="28"/>
        </w:rPr>
        <w:t>Conclusion</w:t>
      </w:r>
    </w:p>
    <w:p>
      <w:r>
        <w:rPr>
          <w:rFonts w:ascii="Times New Roman" w:hAnsi="Times New Roman"/>
          <w:b w:val="0"/>
          <w:i w:val="0"/>
          <w:sz w:val="22"/>
        </w:rPr>
        <w:t xml:space="preserve">A fixed causal graph read out by a linear decoder does not beat linear models at prediction; that boundary is the starting point of this work. What the graph </w:t>
      </w:r>
      <w:r>
        <w:rPr>
          <w:rFonts w:ascii="Times New Roman" w:hAnsi="Times New Roman"/>
          <w:b w:val="0"/>
          <w:i/>
          <w:sz w:val="22"/>
        </w:rPr>
        <w:t>does</w:t>
      </w:r>
      <w:r>
        <w:rPr>
          <w:rFonts w:ascii="Times New Roman" w:hAnsi="Times New Roman"/>
          <w:b w:val="0"/>
          <w:i w:val="0"/>
          <w:sz w:val="22"/>
        </w:rPr>
        <w:t xml:space="preserve"> provide is </w:t>
      </w:r>
      <w:r>
        <w:rPr>
          <w:rFonts w:ascii="Times New Roman" w:hAnsi="Times New Roman"/>
          <w:b/>
          <w:i w:val="0"/>
          <w:sz w:val="22"/>
        </w:rPr>
        <w:t>interpretability</w:t>
      </w:r>
      <w:r>
        <w:rPr>
          <w:rFonts w:ascii="Times New Roman" w:hAnsi="Times New Roman"/>
          <w:b w:val="0"/>
          <w:i w:val="0"/>
          <w:sz w:val="22"/>
        </w:rPr>
        <w:t>, edge-level rewiring (ΔW) with permutation significance, module-level master-regulator ranking, cell–cell communication remodelling, and drug-repurposing hypotheses, a complete path from virtual perturbation to a causally-supported, translatable output. The five-level ladder (L1–L5) establishes cross-cohort reproducibility, biological coherence, cross-species convergence, translational convergence, and program-level directional causal support, while candidly exposing each level's boundaries. The honest negative prediction result and the context-dependent causal-support gradient are a more durable contribution than another incrementally more accurate predictor.</w:t>
      </w:r>
    </w:p>
    <w:p>
      <w:pPr>
        <w:pStyle w:val="Heading1"/>
      </w:pPr>
      <w:r>
        <w:rPr>
          <w:rFonts w:ascii="Times New Roman" w:hAnsi="Times New Roman"/>
          <w:b/>
          <w:i w:val="0"/>
          <w:sz w:val="28"/>
        </w:rPr>
        <w:t>Resource availability</w:t>
      </w:r>
    </w:p>
    <w:p>
      <w:pPr>
        <w:pStyle w:val="Heading2"/>
      </w:pPr>
      <w:r>
        <w:rPr>
          <w:rFonts w:ascii="Times New Roman" w:hAnsi="Times New Roman"/>
          <w:b/>
          <w:i w:val="0"/>
          <w:sz w:val="24"/>
        </w:rPr>
        <w:t>Lead contact</w:t>
      </w:r>
    </w:p>
    <w:p>
      <w:r>
        <w:rPr>
          <w:rFonts w:ascii="Times New Roman" w:hAnsi="Times New Roman"/>
          <w:b w:val="0"/>
          <w:i w:val="0"/>
          <w:sz w:val="22"/>
        </w:rPr>
        <w:t>Wenwu Huang (hwenwu321@gmail.com) is the lead contact, responsible for all correspondence and for data/code availability upon request.</w:t>
      </w:r>
    </w:p>
    <w:p>
      <w:pPr>
        <w:pStyle w:val="Heading2"/>
      </w:pPr>
      <w:r>
        <w:rPr>
          <w:rFonts w:ascii="Times New Roman" w:hAnsi="Times New Roman"/>
          <w:b/>
          <w:i w:val="0"/>
          <w:sz w:val="24"/>
        </w:rPr>
        <w:t>Materials availability</w:t>
      </w:r>
    </w:p>
    <w:p>
      <w:r>
        <w:rPr>
          <w:rFonts w:ascii="Times New Roman" w:hAnsi="Times New Roman"/>
          <w:b w:val="0"/>
          <w:i w:val="0"/>
          <w:sz w:val="22"/>
        </w:rPr>
        <w:t>This study generated no new materials. All inputs are publicly available, previously published omics datasets (GSE174574, GSE225948, GSE16561, GSE269122, GSE273163; Figshare 20029387); no reagents, cell lines, or plasmids were produced.</w:t>
      </w:r>
    </w:p>
    <w:p>
      <w:pPr>
        <w:pStyle w:val="Heading2"/>
      </w:pPr>
      <w:r>
        <w:rPr>
          <w:rFonts w:ascii="Times New Roman" w:hAnsi="Times New Roman"/>
          <w:b/>
          <w:i w:val="0"/>
          <w:sz w:val="24"/>
        </w:rPr>
        <w:t>Data and code availability</w:t>
      </w:r>
    </w:p>
    <w:p>
      <w:r>
        <w:rPr>
          <w:rFonts w:ascii="Times New Roman" w:hAnsi="Times New Roman"/>
          <w:b/>
          <w:i w:val="0"/>
          <w:sz w:val="22"/>
        </w:rPr>
        <w:t>Data.</w:t>
      </w:r>
      <w:r>
        <w:rPr>
          <w:rFonts w:ascii="Times New Roman" w:hAnsi="Times New Roman"/>
          <w:b w:val="0"/>
          <w:i w:val="0"/>
          <w:sz w:val="22"/>
        </w:rPr>
        <w:t xml:space="preserve"> All primary omics data are publicly available and were re-analysed without generating new sequencing: mouse stroke scRNA-seq, GSE174574 </w:t>
      </w:r>
      <w:r>
        <w:rPr>
          <w:rFonts w:ascii="Times New Roman" w:hAnsi="Times New Roman"/>
          <w:b w:val="0"/>
          <w:i w:val="0"/>
          <w:sz w:val="22"/>
          <w:vertAlign w:val="superscript"/>
        </w:rPr>
        <w:t>3</w:t>
      </w:r>
      <w:r>
        <w:rPr>
          <w:rFonts w:ascii="Times New Roman" w:hAnsi="Times New Roman"/>
          <w:b w:val="0"/>
          <w:i w:val="0"/>
          <w:sz w:val="22"/>
        </w:rPr>
        <w:t xml:space="preserve"> and GSE225948 </w:t>
      </w:r>
      <w:r>
        <w:rPr>
          <w:rFonts w:ascii="Times New Roman" w:hAnsi="Times New Roman"/>
          <w:b w:val="0"/>
          <w:i w:val="0"/>
          <w:sz w:val="22"/>
          <w:vertAlign w:val="superscript"/>
        </w:rPr>
        <w:t>4</w:t>
      </w:r>
      <w:r>
        <w:rPr>
          <w:rFonts w:ascii="Times New Roman" w:hAnsi="Times New Roman"/>
          <w:b w:val="0"/>
          <w:i w:val="0"/>
          <w:sz w:val="22"/>
        </w:rPr>
        <w:t xml:space="preserve">; human stroke blood bulk, GSE16561 </w:t>
      </w:r>
      <w:r>
        <w:rPr>
          <w:rFonts w:ascii="Times New Roman" w:hAnsi="Times New Roman"/>
          <w:b w:val="0"/>
          <w:i w:val="0"/>
          <w:sz w:val="22"/>
          <w:vertAlign w:val="superscript"/>
        </w:rPr>
        <w:t>30</w:t>
      </w:r>
      <w:r>
        <w:rPr>
          <w:rFonts w:ascii="Times New Roman" w:hAnsi="Times New Roman"/>
          <w:b w:val="0"/>
          <w:i w:val="0"/>
          <w:sz w:val="22"/>
        </w:rPr>
        <w:t xml:space="preserve">; TF-knockout profiling, GSE269122 </w:t>
      </w:r>
      <w:r>
        <w:rPr>
          <w:rFonts w:ascii="Times New Roman" w:hAnsi="Times New Roman"/>
          <w:b w:val="0"/>
          <w:i w:val="0"/>
          <w:sz w:val="22"/>
          <w:vertAlign w:val="superscript"/>
        </w:rPr>
        <w:t>33</w:t>
      </w:r>
      <w:r>
        <w:rPr>
          <w:rFonts w:ascii="Times New Roman" w:hAnsi="Times New Roman"/>
          <w:b w:val="0"/>
          <w:i w:val="0"/>
          <w:sz w:val="22"/>
        </w:rPr>
        <w:t xml:space="preserve"> (Sox10) and GSE273163 </w:t>
      </w:r>
      <w:r>
        <w:rPr>
          <w:rFonts w:ascii="Times New Roman" w:hAnsi="Times New Roman"/>
          <w:b w:val="0"/>
          <w:i w:val="0"/>
          <w:sz w:val="22"/>
          <w:vertAlign w:val="superscript"/>
        </w:rPr>
        <w:t>34</w:t>
      </w:r>
      <w:r>
        <w:rPr>
          <w:rFonts w:ascii="Times New Roman" w:hAnsi="Times New Roman"/>
          <w:b w:val="0"/>
          <w:i w:val="0"/>
          <w:sz w:val="22"/>
        </w:rPr>
        <w:t xml:space="preserve"> (Cebpb); K562 genome-scale CRISPRi, Figshare 20029387 </w:t>
      </w:r>
      <w:r>
        <w:rPr>
          <w:rFonts w:ascii="Times New Roman" w:hAnsi="Times New Roman"/>
          <w:b w:val="0"/>
          <w:i w:val="0"/>
          <w:sz w:val="22"/>
          <w:vertAlign w:val="superscript"/>
        </w:rPr>
        <w:t>36</w:t>
      </w:r>
      <w:r>
        <w:rPr>
          <w:rFonts w:ascii="Times New Roman" w:hAnsi="Times New Roman"/>
          <w:b w:val="0"/>
          <w:i w:val="0"/>
          <w:sz w:val="22"/>
        </w:rPr>
        <w:t>.</w:t>
      </w:r>
    </w:p>
    <w:p>
      <w:r>
        <w:rPr>
          <w:rFonts w:ascii="Times New Roman" w:hAnsi="Times New Roman"/>
          <w:b/>
          <w:i w:val="0"/>
          <w:sz w:val="22"/>
        </w:rPr>
        <w:t>Code.</w:t>
      </w:r>
      <w:r>
        <w:rPr>
          <w:rFonts w:ascii="Times New Roman" w:hAnsi="Times New Roman"/>
          <w:b w:val="0"/>
          <w:i w:val="0"/>
          <w:sz w:val="22"/>
        </w:rPr>
        <w:t xml:space="preserve"> The full TSC-GNN pipeline, pre-processing, GRN construction, edge-level rewiring with permutation significance, CellChat remodelling, LINCS drug-reversal, and the Level-5 perturbation re-analysis, is implemented in Python 3 and released under an MIT licence. Source code and the exact analysis scripts are available at https://github.com/ming13333/tsc-gnn (released upon acceptance) and archived on Zenodo (DOI: 10.5281/zenodo.21289784). The repository ships a conda environment file (`environment.yml`), a per-run SHA-256 manifest, and a worked example on a subsampled cohort. Processed tables underlying Figs. 3–7, Tables 1, 2, 10 and Supplementary Tables S1–S8 are provided as Supplementary Data.</w:t>
      </w:r>
    </w:p>
    <w:p>
      <w:r>
        <w:rPr>
          <w:rFonts w:ascii="Times New Roman" w:hAnsi="Times New Roman"/>
          <w:b/>
          <w:i w:val="0"/>
          <w:sz w:val="22"/>
        </w:rPr>
        <w:t>Note.</w:t>
      </w:r>
      <w:r>
        <w:rPr>
          <w:rFonts w:ascii="Times New Roman" w:hAnsi="Times New Roman"/>
          <w:b w:val="0"/>
          <w:i w:val="0"/>
          <w:sz w:val="22"/>
        </w:rPr>
        <w:t xml:space="preserve"> The GitHub URL is a placeholder to be finalised at acceptance; the Zenodo DOI (10.5281/zenodo.21289784) is active. The code is also available from the corresponding author on request.</w:t>
      </w:r>
    </w:p>
    <w:p>
      <w:pPr>
        <w:pStyle w:val="Heading1"/>
      </w:pPr>
      <w:r>
        <w:rPr>
          <w:rFonts w:ascii="Times New Roman" w:hAnsi="Times New Roman"/>
          <w:b/>
          <w:i w:val="0"/>
          <w:sz w:val="28"/>
        </w:rPr>
        <w:t>Author Contributions</w:t>
      </w:r>
    </w:p>
    <w:p>
      <w:r>
        <w:rPr>
          <w:rFonts w:ascii="Times New Roman" w:hAnsi="Times New Roman"/>
          <w:b w:val="0"/>
          <w:i w:val="0"/>
          <w:sz w:val="22"/>
        </w:rPr>
        <w:t>M.L. and Y.M. contributed equally to this work. W.H. conceived and supervised the study and is the corresponding author. M.L. and Y.M. designed the computational framework, implemented the TSC-GNN pipeline, carried out the data analysis, and prepared the figures and tables. W.Y. curated the public datasets, contributed to the cross-species and public-perturbation re-analyses, and validated the reproducibility pipeline. M.L., Y.M. and W.H. wrote the manuscript with input from all authors. W.H. acquired funding and handled project administration. All authors read, critically revised, and approved the final manuscript.</w:t>
      </w:r>
    </w:p>
    <w:p>
      <w:r>
        <w:rPr>
          <w:rFonts w:ascii="Times New Roman" w:hAnsi="Times New Roman"/>
          <w:b w:val="0"/>
          <w:i w:val="0"/>
          <w:sz w:val="22"/>
        </w:rPr>
        <w:t xml:space="preserve">Using the CRediT taxonomy: </w:t>
      </w:r>
      <w:r>
        <w:rPr>
          <w:rFonts w:ascii="Times New Roman" w:hAnsi="Times New Roman"/>
          <w:b/>
          <w:i w:val="0"/>
          <w:sz w:val="22"/>
        </w:rPr>
        <w:t>Conceptualization</w:t>
      </w:r>
      <w:r>
        <w:rPr>
          <w:rFonts w:ascii="Times New Roman" w:hAnsi="Times New Roman"/>
          <w:b w:val="0"/>
          <w:i w:val="0"/>
          <w:sz w:val="22"/>
        </w:rPr>
        <w:t xml:space="preserve">, W.H., M.L.; </w:t>
      </w:r>
      <w:r>
        <w:rPr>
          <w:rFonts w:ascii="Times New Roman" w:hAnsi="Times New Roman"/>
          <w:b/>
          <w:i w:val="0"/>
          <w:sz w:val="22"/>
        </w:rPr>
        <w:t>Methodology</w:t>
      </w:r>
      <w:r>
        <w:rPr>
          <w:rFonts w:ascii="Times New Roman" w:hAnsi="Times New Roman"/>
          <w:b w:val="0"/>
          <w:i w:val="0"/>
          <w:sz w:val="22"/>
        </w:rPr>
        <w:t xml:space="preserve">, M.L., Y.M.; </w:t>
      </w:r>
      <w:r>
        <w:rPr>
          <w:rFonts w:ascii="Times New Roman" w:hAnsi="Times New Roman"/>
          <w:b/>
          <w:i w:val="0"/>
          <w:sz w:val="22"/>
        </w:rPr>
        <w:t>Software</w:t>
      </w:r>
      <w:r>
        <w:rPr>
          <w:rFonts w:ascii="Times New Roman" w:hAnsi="Times New Roman"/>
          <w:b w:val="0"/>
          <w:i w:val="0"/>
          <w:sz w:val="22"/>
        </w:rPr>
        <w:t xml:space="preserve">, M.L., Y.M.; </w:t>
      </w:r>
      <w:r>
        <w:rPr>
          <w:rFonts w:ascii="Times New Roman" w:hAnsi="Times New Roman"/>
          <w:b/>
          <w:i w:val="0"/>
          <w:sz w:val="22"/>
        </w:rPr>
        <w:t>Formal analysis</w:t>
      </w:r>
      <w:r>
        <w:rPr>
          <w:rFonts w:ascii="Times New Roman" w:hAnsi="Times New Roman"/>
          <w:b w:val="0"/>
          <w:i w:val="0"/>
          <w:sz w:val="22"/>
        </w:rPr>
        <w:t xml:space="preserve">, M.L., Y.M., W.Y.; </w:t>
      </w:r>
      <w:r>
        <w:rPr>
          <w:rFonts w:ascii="Times New Roman" w:hAnsi="Times New Roman"/>
          <w:b/>
          <w:i w:val="0"/>
          <w:sz w:val="22"/>
        </w:rPr>
        <w:t>Data curation</w:t>
      </w:r>
      <w:r>
        <w:rPr>
          <w:rFonts w:ascii="Times New Roman" w:hAnsi="Times New Roman"/>
          <w:b w:val="0"/>
          <w:i w:val="0"/>
          <w:sz w:val="22"/>
        </w:rPr>
        <w:t xml:space="preserve">, W.Y.; </w:t>
      </w:r>
      <w:r>
        <w:rPr>
          <w:rFonts w:ascii="Times New Roman" w:hAnsi="Times New Roman"/>
          <w:b/>
          <w:i w:val="0"/>
          <w:sz w:val="22"/>
        </w:rPr>
        <w:t>Validation</w:t>
      </w:r>
      <w:r>
        <w:rPr>
          <w:rFonts w:ascii="Times New Roman" w:hAnsi="Times New Roman"/>
          <w:b w:val="0"/>
          <w:i w:val="0"/>
          <w:sz w:val="22"/>
        </w:rPr>
        <w:t xml:space="preserve">, W.Y., Y.M.; </w:t>
      </w:r>
      <w:r>
        <w:rPr>
          <w:rFonts w:ascii="Times New Roman" w:hAnsi="Times New Roman"/>
          <w:b/>
          <w:i w:val="0"/>
          <w:sz w:val="22"/>
        </w:rPr>
        <w:t>Visualization</w:t>
      </w:r>
      <w:r>
        <w:rPr>
          <w:rFonts w:ascii="Times New Roman" w:hAnsi="Times New Roman"/>
          <w:b w:val="0"/>
          <w:i w:val="0"/>
          <w:sz w:val="22"/>
        </w:rPr>
        <w:t xml:space="preserve">, M.L.; </w:t>
      </w:r>
      <w:r>
        <w:rPr>
          <w:rFonts w:ascii="Times New Roman" w:hAnsi="Times New Roman"/>
          <w:b/>
          <w:i w:val="0"/>
          <w:sz w:val="22"/>
        </w:rPr>
        <w:t>Writing – original draft</w:t>
      </w:r>
      <w:r>
        <w:rPr>
          <w:rFonts w:ascii="Times New Roman" w:hAnsi="Times New Roman"/>
          <w:b w:val="0"/>
          <w:i w:val="0"/>
          <w:sz w:val="22"/>
        </w:rPr>
        <w:t xml:space="preserve">, M.L., Y.M.; </w:t>
      </w:r>
      <w:r>
        <w:rPr>
          <w:rFonts w:ascii="Times New Roman" w:hAnsi="Times New Roman"/>
          <w:b/>
          <w:i w:val="0"/>
          <w:sz w:val="22"/>
        </w:rPr>
        <w:t>Writing – review &amp; editing</w:t>
      </w:r>
      <w:r>
        <w:rPr>
          <w:rFonts w:ascii="Times New Roman" w:hAnsi="Times New Roman"/>
          <w:b w:val="0"/>
          <w:i w:val="0"/>
          <w:sz w:val="22"/>
        </w:rPr>
        <w:t xml:space="preserve">, W.H., W.Y.; </w:t>
      </w:r>
      <w:r>
        <w:rPr>
          <w:rFonts w:ascii="Times New Roman" w:hAnsi="Times New Roman"/>
          <w:b/>
          <w:i w:val="0"/>
          <w:sz w:val="22"/>
        </w:rPr>
        <w:t>Supervision, Funding acquisition, Project administration</w:t>
      </w:r>
      <w:r>
        <w:rPr>
          <w:rFonts w:ascii="Times New Roman" w:hAnsi="Times New Roman"/>
          <w:b w:val="0"/>
          <w:i w:val="0"/>
          <w:sz w:val="22"/>
        </w:rPr>
        <w:t>, W.H.</w:t>
      </w:r>
    </w:p>
    <w:p>
      <w:pPr>
        <w:pStyle w:val="Heading1"/>
      </w:pPr>
      <w:r>
        <w:rPr>
          <w:rFonts w:ascii="Times New Roman" w:hAnsi="Times New Roman"/>
          <w:b/>
          <w:i w:val="0"/>
          <w:sz w:val="28"/>
        </w:rPr>
        <w:t>Funding</w:t>
      </w:r>
    </w:p>
    <w:p>
      <w:r>
        <w:rPr>
          <w:rFonts w:ascii="Times New Roman" w:hAnsi="Times New Roman"/>
          <w:b w:val="0"/>
          <w:i w:val="0"/>
          <w:sz w:val="22"/>
        </w:rPr>
        <w:t>The authors declare that no funds, grants, or other support were received during the preparation of this manuscript.</w:t>
      </w:r>
    </w:p>
    <w:p>
      <w:pPr>
        <w:pStyle w:val="Heading1"/>
      </w:pPr>
      <w:r>
        <w:rPr>
          <w:rFonts w:ascii="Times New Roman" w:hAnsi="Times New Roman"/>
          <w:b/>
          <w:i w:val="0"/>
          <w:sz w:val="28"/>
        </w:rPr>
        <w:t>Acknowledgements</w:t>
      </w:r>
    </w:p>
    <w:p>
      <w:r>
        <w:rPr>
          <w:rFonts w:ascii="Times New Roman" w:hAnsi="Times New Roman"/>
          <w:b w:val="0"/>
          <w:i w:val="0"/>
          <w:sz w:val="22"/>
        </w:rPr>
        <w:t>The authors thank colleagues at the Department of Neurosurgery, The Fifth Affiliated Hospital of Wenzhou Medical University (Lishui Central Hospital), for helpful discussions.</w:t>
      </w:r>
    </w:p>
    <w:p>
      <w:r>
        <w:rPr>
          <w:rFonts w:ascii="Times New Roman" w:hAnsi="Times New Roman"/>
          <w:b/>
          <w:i w:val="0"/>
          <w:sz w:val="22"/>
        </w:rPr>
        <w:t>Declaration of generative AI and AI-assisted technologies in the writing process.</w:t>
      </w:r>
      <w:r>
        <w:rPr>
          <w:rFonts w:ascii="Times New Roman" w:hAnsi="Times New Roman"/>
          <w:b w:val="0"/>
          <w:i w:val="0"/>
          <w:sz w:val="22"/>
        </w:rPr>
        <w:t xml:space="preserve"> During the preparation of this manuscript, the authors used WorkBuddy (powered by Deepseek-V4-Flash) for the purposes of assisting in literature citation matching, reference formatting, and generation of illustrative figures. The authors have reviewed and edited all output and take full responsibility for the content of this publication. No generative AI system was used to generate, interpret, or fabricate scientific data, results, or conclusions; all data processing, statistical analyses, and their interpretation were performed and verified by the authors.</w:t>
      </w:r>
    </w:p>
    <w:p>
      <w:pPr>
        <w:pStyle w:val="Heading1"/>
      </w:pPr>
      <w:r>
        <w:rPr>
          <w:rFonts w:ascii="Times New Roman" w:hAnsi="Times New Roman"/>
          <w:b/>
          <w:i w:val="0"/>
          <w:sz w:val="28"/>
        </w:rPr>
        <w:t>Conflict of Interest</w:t>
      </w:r>
    </w:p>
    <w:p>
      <w:r>
        <w:rPr>
          <w:rFonts w:ascii="Times New Roman" w:hAnsi="Times New Roman"/>
          <w:b w:val="0"/>
          <w:i w:val="0"/>
          <w:sz w:val="22"/>
        </w:rPr>
        <w:t>The authors declare no competing financial interests.</w:t>
      </w:r>
    </w:p>
    <w:p>
      <w:pPr>
        <w:pStyle w:val="Heading1"/>
      </w:pPr>
      <w:r>
        <w:rPr>
          <w:rFonts w:ascii="Times New Roman" w:hAnsi="Times New Roman"/>
          <w:b/>
          <w:i w:val="0"/>
          <w:sz w:val="28"/>
        </w:rPr>
        <w:t>Ethical Statement</w:t>
      </w:r>
    </w:p>
    <w:p>
      <w:r>
        <w:rPr>
          <w:rFonts w:ascii="Times New Roman" w:hAnsi="Times New Roman"/>
          <w:b w:val="0"/>
          <w:i w:val="0"/>
          <w:sz w:val="22"/>
        </w:rPr>
        <w:t>This study is a computational analysis that used only publicly available, previously published datasets and did not involve human participants, human specimens, or animal subjects. Accordingly, Institutional Review Board (IRB) approval and animal-care-and-use committee approval were not required.</w:t>
      </w:r>
    </w:p>
    <w:p>
      <w:pPr>
        <w:pStyle w:val="Heading1"/>
      </w:pPr>
      <w:r>
        <w:rPr>
          <w:rFonts w:ascii="Times New Roman" w:hAnsi="Times New Roman"/>
          <w:b/>
          <w:i w:val="0"/>
          <w:sz w:val="28"/>
        </w:rPr>
        <w:t>Figure Legends</w:t>
      </w:r>
    </w:p>
    <w:p>
      <w:r>
        <w:rPr>
          <w:rFonts w:ascii="Times New Roman" w:hAnsi="Times New Roman"/>
          <w:b w:val="0"/>
          <w:i/>
          <w:color w:val="808080"/>
          <w:sz w:val="20"/>
        </w:rPr>
        <w:t>[Note: the source manuscript contains no legend for Figure 1; supply Figure 1 and its legend before submission.]</w:t>
      </w:r>
    </w:p>
    <w:p>
      <w:pPr>
        <w:jc w:val="center"/>
      </w:pPr>
      <w:r>
        <w:drawing>
          <wp:inline xmlns:a="http://schemas.openxmlformats.org/drawingml/2006/main" xmlns:pic="http://schemas.openxmlformats.org/drawingml/2006/picture">
            <wp:extent cx="5400000" cy="2509895"/>
            <wp:docPr id="2" name="Picture 2"/>
            <wp:cNvGraphicFramePr>
              <a:graphicFrameLocks noChangeAspect="1"/>
            </wp:cNvGraphicFramePr>
            <a:graphic>
              <a:graphicData uri="http://schemas.openxmlformats.org/drawingml/2006/picture">
                <pic:pic>
                  <pic:nvPicPr>
                    <pic:cNvPr id="0" name="figure2_prediction_benchmark.png"/>
                    <pic:cNvPicPr/>
                  </pic:nvPicPr>
                  <pic:blipFill>
                    <a:blip r:embed="rId10"/>
                    <a:stretch>
                      <a:fillRect/>
                    </a:stretch>
                  </pic:blipFill>
                  <pic:spPr>
                    <a:xfrm>
                      <a:off x="0" y="0"/>
                      <a:ext cx="5400000" cy="2509895"/>
                    </a:xfrm>
                    <a:prstGeom prst="rect"/>
                  </pic:spPr>
                </pic:pic>
              </a:graphicData>
            </a:graphic>
          </wp:inline>
        </w:drawing>
      </w:r>
    </w:p>
    <w:p>
      <w:r>
        <w:rPr>
          <w:rFonts w:ascii="Times New Roman" w:hAnsi="Times New Roman"/>
          <w:b/>
          <w:i w:val="0"/>
          <w:sz w:val="22"/>
        </w:rPr>
        <w:t>Figure 2. Prediction benchmark and interpretability trade-off.</w:t>
      </w:r>
      <w:r>
        <w:rPr>
          <w:rFonts w:ascii="Times New Roman" w:hAnsi="Times New Roman"/>
          <w:b w:val="0"/>
          <w:i w:val="0"/>
          <w:sz w:val="22"/>
        </w:rPr>
        <w:t xml:space="preserve"> (A) Scatter plot of graph-vs-linear relative improvement across 90 configurations. (B) Schematic illustrating the interpretability-vs-prediction trade-off that reframes the contribution of fixed-graph methods.</w:t>
      </w:r>
    </w:p>
    <w:p>
      <w:pPr>
        <w:jc w:val="center"/>
      </w:pPr>
      <w:r>
        <w:drawing>
          <wp:inline xmlns:a="http://schemas.openxmlformats.org/drawingml/2006/main" xmlns:pic="http://schemas.openxmlformats.org/drawingml/2006/picture">
            <wp:extent cx="5400000" cy="4959738"/>
            <wp:docPr id="3" name="Picture 3"/>
            <wp:cNvGraphicFramePr>
              <a:graphicFrameLocks noChangeAspect="1"/>
            </wp:cNvGraphicFramePr>
            <a:graphic>
              <a:graphicData uri="http://schemas.openxmlformats.org/drawingml/2006/picture">
                <pic:pic>
                  <pic:nvPicPr>
                    <pic:cNvPr id="0" name="figure3_rewiring_heatmaps.png"/>
                    <pic:cNvPicPr/>
                  </pic:nvPicPr>
                  <pic:blipFill>
                    <a:blip r:embed="rId11"/>
                    <a:stretch>
                      <a:fillRect/>
                    </a:stretch>
                  </pic:blipFill>
                  <pic:spPr>
                    <a:xfrm>
                      <a:off x="0" y="0"/>
                      <a:ext cx="5400000" cy="4959738"/>
                    </a:xfrm>
                    <a:prstGeom prst="rect"/>
                  </pic:spPr>
                </pic:pic>
              </a:graphicData>
            </a:graphic>
          </wp:inline>
        </w:drawing>
      </w:r>
    </w:p>
    <w:p>
      <w:r>
        <w:rPr>
          <w:rFonts w:ascii="Times New Roman" w:hAnsi="Times New Roman"/>
          <w:b/>
          <w:i w:val="0"/>
          <w:sz w:val="22"/>
        </w:rPr>
        <w:t>Figure 3. Temporal rewiring across stroke transitions.</w:t>
      </w:r>
      <w:r>
        <w:rPr>
          <w:rFonts w:ascii="Times New Roman" w:hAnsi="Times New Roman"/>
          <w:b w:val="0"/>
          <w:i w:val="0"/>
          <w:sz w:val="22"/>
        </w:rPr>
        <w:t xml:space="preserve"> Heatmaps of ΔW for significant edges (pooled q &lt; 0.05) at each transition: (A) sham→24 h, (B) 24 h→2 d, (C) 2 d→14 d, (D) sham→14 d. Colour: red = coupling enhancement, blue = weakening.</w:t>
      </w:r>
    </w:p>
    <w:p>
      <w:pPr>
        <w:jc w:val="center"/>
      </w:pPr>
      <w:r>
        <w:drawing>
          <wp:inline xmlns:a="http://schemas.openxmlformats.org/drawingml/2006/main" xmlns:pic="http://schemas.openxmlformats.org/drawingml/2006/picture">
            <wp:extent cx="5400000" cy="2970732"/>
            <wp:docPr id="4" name="Picture 4"/>
            <wp:cNvGraphicFramePr>
              <a:graphicFrameLocks noChangeAspect="1"/>
            </wp:cNvGraphicFramePr>
            <a:graphic>
              <a:graphicData uri="http://schemas.openxmlformats.org/drawingml/2006/picture">
                <pic:pic>
                  <pic:nvPicPr>
                    <pic:cNvPr id="0" name="figure4_cross_species.png"/>
                    <pic:cNvPicPr/>
                  </pic:nvPicPr>
                  <pic:blipFill>
                    <a:blip r:embed="rId12"/>
                    <a:stretch>
                      <a:fillRect/>
                    </a:stretch>
                  </pic:blipFill>
                  <pic:spPr>
                    <a:xfrm>
                      <a:off x="0" y="0"/>
                      <a:ext cx="5400000" cy="2970732"/>
                    </a:xfrm>
                    <a:prstGeom prst="rect"/>
                  </pic:spPr>
                </pic:pic>
              </a:graphicData>
            </a:graphic>
          </wp:inline>
        </w:drawing>
      </w:r>
    </w:p>
    <w:p>
      <w:r>
        <w:rPr>
          <w:rFonts w:ascii="Times New Roman" w:hAnsi="Times New Roman"/>
          <w:b/>
          <w:i w:val="0"/>
          <w:sz w:val="22"/>
        </w:rPr>
        <w:t>Figure 4. Cross-species regulatory convergence.</w:t>
      </w:r>
      <w:r>
        <w:rPr>
          <w:rFonts w:ascii="Times New Roman" w:hAnsi="Times New Roman"/>
          <w:b w:val="0"/>
          <w:i w:val="0"/>
          <w:sz w:val="22"/>
        </w:rPr>
        <w:t xml:space="preserve"> (A) Structural enrichment: SOX10→myelin, CEBPB→neuroinflammation, GATA2→neuroinflammation. Bars: odds ratio with 95 % CI. (B) Activation in human stroke blood (GSE16561): AUCell/ssGSEA scores for the three recovered modules, stroke vs control.</w:t>
      </w:r>
    </w:p>
    <w:p>
      <w:pPr>
        <w:jc w:val="center"/>
      </w:pPr>
      <w:r>
        <w:drawing>
          <wp:inline xmlns:a="http://schemas.openxmlformats.org/drawingml/2006/main" xmlns:pic="http://schemas.openxmlformats.org/drawingml/2006/picture">
            <wp:extent cx="5400000" cy="1989240"/>
            <wp:docPr id="5" name="Picture 5"/>
            <wp:cNvGraphicFramePr>
              <a:graphicFrameLocks noChangeAspect="1"/>
            </wp:cNvGraphicFramePr>
            <a:graphic>
              <a:graphicData uri="http://schemas.openxmlformats.org/drawingml/2006/picture">
                <pic:pic>
                  <pic:nvPicPr>
                    <pic:cNvPr id="0" name="figure5_drug_reversal.png"/>
                    <pic:cNvPicPr/>
                  </pic:nvPicPr>
                  <pic:blipFill>
                    <a:blip r:embed="rId13"/>
                    <a:stretch>
                      <a:fillRect/>
                    </a:stretch>
                  </pic:blipFill>
                  <pic:spPr>
                    <a:xfrm>
                      <a:off x="0" y="0"/>
                      <a:ext cx="5400000" cy="1989240"/>
                    </a:xfrm>
                    <a:prstGeom prst="rect"/>
                  </pic:spPr>
                </pic:pic>
              </a:graphicData>
            </a:graphic>
          </wp:inline>
        </w:drawing>
      </w:r>
    </w:p>
    <w:p>
      <w:r>
        <w:rPr>
          <w:rFonts w:ascii="Times New Roman" w:hAnsi="Times New Roman"/>
          <w:b/>
          <w:i w:val="0"/>
          <w:sz w:val="22"/>
        </w:rPr>
        <w:t>Figure 5. Drug-reversal analysis.</w:t>
      </w:r>
      <w:r>
        <w:rPr>
          <w:rFonts w:ascii="Times New Roman" w:hAnsi="Times New Roman"/>
          <w:b w:val="0"/>
          <w:i w:val="0"/>
          <w:sz w:val="22"/>
        </w:rPr>
        <w:t xml:space="preserve"> (A) Top L1000 compounds, shown by the number of cell types in which they reversed the robust 24 h injury signature. (B) Permutation distribution (n = 20 random signatures) vs observed count (dashed line). (C) Cross-level convergence: drug targets align with rewiring-recovered programs.</w:t>
      </w:r>
    </w:p>
    <w:p>
      <w:pPr>
        <w:jc w:val="center"/>
      </w:pPr>
      <w:r>
        <w:drawing>
          <wp:inline xmlns:a="http://schemas.openxmlformats.org/drawingml/2006/main" xmlns:pic="http://schemas.openxmlformats.org/drawingml/2006/picture">
            <wp:extent cx="5400000" cy="3147949"/>
            <wp:docPr id="6" name="Picture 6"/>
            <wp:cNvGraphicFramePr>
              <a:graphicFrameLocks noChangeAspect="1"/>
            </wp:cNvGraphicFramePr>
            <a:graphic>
              <a:graphicData uri="http://schemas.openxmlformats.org/drawingml/2006/picture">
                <pic:pic>
                  <pic:nvPicPr>
                    <pic:cNvPr id="0" name="figure6_L5_triangulation.png"/>
                    <pic:cNvPicPr/>
                  </pic:nvPicPr>
                  <pic:blipFill>
                    <a:blip r:embed="rId14"/>
                    <a:stretch>
                      <a:fillRect/>
                    </a:stretch>
                  </pic:blipFill>
                  <pic:spPr>
                    <a:xfrm>
                      <a:off x="0" y="0"/>
                      <a:ext cx="5400000" cy="3147949"/>
                    </a:xfrm>
                    <a:prstGeom prst="rect"/>
                  </pic:spPr>
                </pic:pic>
              </a:graphicData>
            </a:graphic>
          </wp:inline>
        </w:drawing>
      </w:r>
    </w:p>
    <w:p>
      <w:r>
        <w:rPr>
          <w:rFonts w:ascii="Times New Roman" w:hAnsi="Times New Roman"/>
          <w:b/>
          <w:i w:val="0"/>
          <w:sz w:val="22"/>
        </w:rPr>
        <w:t>Figure 6. L5 three-layer triangulation: cross-modality causal support.</w:t>
      </w:r>
      <w:r>
        <w:rPr>
          <w:rFonts w:ascii="Times New Roman" w:hAnsi="Times New Roman"/>
          <w:b w:val="0"/>
          <w:i w:val="0"/>
          <w:sz w:val="22"/>
        </w:rPr>
        <w:t xml:space="preserve"> Three evidence layers converge: (i) native-lineage bulk KO (L5a, positive), (ii) LINCS overexpression (L5b, positive for GATA2), (iii) K562 sc-CRISPRi (L5c, off-context null). The gradient confirms that causal support is context-dependent. K562-internal positive control (MYC, BCL11A) confirms pipeline power; GATA1 in-context failure bounds regulon interpretability.</w:t>
      </w:r>
    </w:p>
    <w:p>
      <w:pPr>
        <w:jc w:val="center"/>
      </w:pPr>
      <w:r>
        <w:drawing>
          <wp:inline xmlns:a="http://schemas.openxmlformats.org/drawingml/2006/main" xmlns:pic="http://schemas.openxmlformats.org/drawingml/2006/picture">
            <wp:extent cx="5400000" cy="8335422"/>
            <wp:docPr id="7" name="Picture 7"/>
            <wp:cNvGraphicFramePr>
              <a:graphicFrameLocks noChangeAspect="1"/>
            </wp:cNvGraphicFramePr>
            <a:graphic>
              <a:graphicData uri="http://schemas.openxmlformats.org/drawingml/2006/picture">
                <pic:pic>
                  <pic:nvPicPr>
                    <pic:cNvPr id="0" name="figure7_evidence_ladder.png"/>
                    <pic:cNvPicPr/>
                  </pic:nvPicPr>
                  <pic:blipFill>
                    <a:blip r:embed="rId15"/>
                    <a:stretch>
                      <a:fillRect/>
                    </a:stretch>
                  </pic:blipFill>
                  <pic:spPr>
                    <a:xfrm>
                      <a:off x="0" y="0"/>
                      <a:ext cx="5400000" cy="8335422"/>
                    </a:xfrm>
                    <a:prstGeom prst="rect"/>
                  </pic:spPr>
                </pic:pic>
              </a:graphicData>
            </a:graphic>
          </wp:inline>
        </w:drawing>
      </w:r>
    </w:p>
    <w:p>
      <w:r>
        <w:rPr>
          <w:rFonts w:ascii="Times New Roman" w:hAnsi="Times New Roman"/>
          <w:b/>
          <w:i w:val="0"/>
          <w:sz w:val="22"/>
        </w:rPr>
        <w:t>Figure 7. Five-level evidence ladder (L1–L5) visual summary.</w:t>
      </w:r>
      <w:r>
        <w:rPr>
          <w:rFonts w:ascii="Times New Roman" w:hAnsi="Times New Roman"/>
          <w:b w:val="0"/>
          <w:i w:val="0"/>
          <w:sz w:val="22"/>
        </w:rPr>
        <w:t xml:space="preserve"> Schematic showing the escalation from technical reproducibility (L1) through biological coherence (L2), cross-species convergence (L3), translational convergence (L4), to program-level directional causal support (L5). Each level annotated with its evidence type and strength. See Table 1 for numerical details.</w:t>
      </w:r>
    </w:p>
    <w:p>
      <w:pPr>
        <w:pStyle w:val="Heading1"/>
      </w:pPr>
      <w:r>
        <w:rPr>
          <w:rFonts w:ascii="Times New Roman" w:hAnsi="Times New Roman"/>
          <w:b/>
          <w:i w:val="0"/>
          <w:sz w:val="28"/>
        </w:rPr>
        <w:t>Tables (in-text)</w:t>
      </w:r>
    </w:p>
    <w:p>
      <w:r>
        <w:rPr>
          <w:rFonts w:ascii="Times New Roman" w:hAnsi="Times New Roman"/>
          <w:b/>
          <w:i w:val="0"/>
          <w:sz w:val="22"/>
        </w:rPr>
        <w:t>Table 1.</w:t>
      </w:r>
      <w:r>
        <w:rPr>
          <w:rFonts w:ascii="Times New Roman" w:hAnsi="Times New Roman"/>
          <w:b w:val="0"/>
          <w:i w:val="0"/>
          <w:sz w:val="22"/>
        </w:rPr>
        <w:t xml:space="preserve"> Five-level evidence ladder (L1–L5): design, evidence type, and strength. </w:t>
      </w:r>
      <w:r>
        <w:rPr>
          <w:rFonts w:ascii="Times New Roman" w:hAnsi="Times New Roman"/>
          <w:b w:val="0"/>
          <w:i/>
          <w:sz w:val="22"/>
        </w:rPr>
        <w:t>[in-text, 3.3; visual summary: Fig. 7]</w:t>
      </w:r>
    </w:p>
    <w:p>
      <w:r>
        <w:rPr>
          <w:rFonts w:ascii="Times New Roman" w:hAnsi="Times New Roman"/>
          <w:b/>
          <w:i w:val="0"/>
          <w:sz w:val="22"/>
        </w:rPr>
        <w:t>Table 2.</w:t>
      </w:r>
      <w:r>
        <w:rPr>
          <w:rFonts w:ascii="Times New Roman" w:hAnsi="Times New Roman"/>
          <w:b w:val="0"/>
          <w:i w:val="0"/>
          <w:sz w:val="22"/>
        </w:rPr>
        <w:t xml:space="preserve"> Summary of significant rewiring edges per transition. </w:t>
      </w:r>
      <w:r>
        <w:rPr>
          <w:rFonts w:ascii="Times New Roman" w:hAnsi="Times New Roman"/>
          <w:b w:val="0"/>
          <w:i/>
          <w:sz w:val="22"/>
        </w:rPr>
        <w:t>[in-text, 3.3]</w:t>
      </w:r>
    </w:p>
    <w:p>
      <w:r>
        <w:rPr>
          <w:rFonts w:ascii="Times New Roman" w:hAnsi="Times New Roman"/>
          <w:b/>
          <w:i w:val="0"/>
          <w:sz w:val="22"/>
        </w:rPr>
        <w:t>Table 10.</w:t>
      </w:r>
      <w:r>
        <w:rPr>
          <w:rFonts w:ascii="Times New Roman" w:hAnsi="Times New Roman"/>
          <w:b w:val="0"/>
          <w:i w:val="0"/>
          <w:sz w:val="22"/>
        </w:rPr>
        <w:t xml:space="preserve"> Cross-modality perturbation support map. </w:t>
      </w:r>
      <w:r>
        <w:rPr>
          <w:rFonts w:ascii="Times New Roman" w:hAnsi="Times New Roman"/>
          <w:b w:val="0"/>
          <w:i/>
          <w:sz w:val="22"/>
        </w:rPr>
        <w:t>[in-text, 3.8.2]</w:t>
      </w:r>
    </w:p>
    <w:p>
      <w:r>
        <w:rPr>
          <w:rFonts w:ascii="Times New Roman" w:hAnsi="Times New Roman"/>
          <w:b w:val="0"/>
          <w:i w:val="0"/>
          <w:sz w:val="22"/>
        </w:rPr>
        <w:t>Tables S1–S8 are provided in the Supplementary Materials.</w:t>
      </w:r>
    </w:p>
    <w:p>
      <w:r>
        <w:br w:type="page"/>
      </w:r>
    </w:p>
    <w:p>
      <w:pPr>
        <w:pStyle w:val="Heading1"/>
      </w:pPr>
      <w:r>
        <w:rPr>
          <w:rFonts w:ascii="Times New Roman" w:hAnsi="Times New Roman"/>
          <w:b/>
          <w:i w:val="0"/>
          <w:sz w:val="28"/>
        </w:rPr>
        <w:t>Supplementary Materials</w:t>
      </w:r>
    </w:p>
    <w:p>
      <w:pPr>
        <w:pStyle w:val="Heading2"/>
      </w:pPr>
      <w:r>
        <w:rPr>
          <w:rFonts w:ascii="Times New Roman" w:hAnsi="Times New Roman"/>
          <w:b/>
          <w:i w:val="0"/>
          <w:sz w:val="24"/>
        </w:rPr>
        <w:t>Supplementary Tables</w:t>
      </w:r>
    </w:p>
    <w:p>
      <w:r>
        <w:rPr>
          <w:rFonts w:ascii="Times New Roman" w:hAnsi="Times New Roman"/>
          <w:b/>
          <w:i w:val="0"/>
          <w:sz w:val="22"/>
        </w:rPr>
        <w:t>Table S1.</w:t>
      </w:r>
      <w:r>
        <w:rPr>
          <w:rFonts w:ascii="Times New Roman" w:hAnsi="Times New Roman"/>
          <w:b w:val="0"/>
          <w:i w:val="0"/>
          <w:sz w:val="22"/>
        </w:rPr>
        <w:t xml:space="preserve"> Cross-cohort Spearman correlations for TF master-regulator rankings</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c>
          <w:tcPr>
            <w:tcW w:type="dxa" w:w="2258"/>
            <w:shd w:val="clear" w:color="auto" w:fill="D9E2F3"/>
          </w:tcPr>
          <w:p>
            <w:r>
              <w:rPr>
                <w:b/>
              </w:rPr>
            </w:r>
            <w:r>
              <w:rPr>
                <w:rFonts w:ascii="Times New Roman" w:hAnsi="Times New Roman"/>
                <w:b/>
                <w:i w:val="0"/>
                <w:sz w:val="18"/>
              </w:rPr>
              <w:t>Comparison</w:t>
            </w:r>
          </w:p>
        </w:tc>
        <w:tc>
          <w:tcPr>
            <w:tcW w:type="dxa" w:w="2256"/>
            <w:shd w:val="clear" w:color="auto" w:fill="D9E2F3"/>
          </w:tcPr>
          <w:p>
            <w:r>
              <w:rPr>
                <w:b/>
              </w:rPr>
            </w:r>
            <w:r>
              <w:rPr>
                <w:rFonts w:ascii="Times New Roman" w:hAnsi="Times New Roman"/>
                <w:b/>
                <w:i w:val="0"/>
                <w:sz w:val="18"/>
              </w:rPr>
              <w:t>Common TFs</w:t>
            </w:r>
          </w:p>
        </w:tc>
        <w:tc>
          <w:tcPr>
            <w:tcW w:type="dxa" w:w="2256"/>
            <w:shd w:val="clear" w:color="auto" w:fill="D9E2F3"/>
          </w:tcPr>
          <w:p>
            <w:r>
              <w:rPr>
                <w:b/>
              </w:rPr>
            </w:r>
            <w:r>
              <w:rPr>
                <w:rFonts w:ascii="Times New Roman" w:hAnsi="Times New Roman"/>
                <w:b/>
                <w:i w:val="0"/>
                <w:sz w:val="18"/>
              </w:rPr>
              <w:t>Spearman ρ</w:t>
            </w:r>
          </w:p>
        </w:tc>
        <w:tc>
          <w:tcPr>
            <w:tcW w:type="dxa" w:w="2256"/>
            <w:shd w:val="clear" w:color="auto" w:fill="D9E2F3"/>
          </w:tcPr>
          <w:p>
            <w:r>
              <w:rPr>
                <w:b/>
              </w:rPr>
            </w:r>
            <w:r>
              <w:rPr>
                <w:rFonts w:ascii="Times New Roman" w:hAnsi="Times New Roman"/>
                <w:b/>
                <w:i w:val="0"/>
                <w:sz w:val="18"/>
              </w:rPr>
              <w:t>p</w:t>
            </w:r>
          </w:p>
        </w:tc>
      </w:tr>
      <w:tr>
        <w:tc>
          <w:tcPr>
            <w:tcW w:type="dxa" w:w="2258"/>
          </w:tcPr>
          <w:p>
            <w:r/>
            <w:r>
              <w:rPr>
                <w:rFonts w:ascii="Times New Roman" w:hAnsi="Times New Roman"/>
                <w:b w:val="0"/>
                <w:i w:val="0"/>
                <w:sz w:val="18"/>
              </w:rPr>
              <w:t>Integrated vs cohort 1</w:t>
            </w:r>
          </w:p>
        </w:tc>
        <w:tc>
          <w:tcPr>
            <w:tcW w:type="dxa" w:w="2256"/>
          </w:tcPr>
          <w:p>
            <w:r/>
            <w:r>
              <w:rPr>
                <w:rFonts w:ascii="Times New Roman" w:hAnsi="Times New Roman"/>
                <w:b w:val="0"/>
                <w:i w:val="0"/>
                <w:sz w:val="18"/>
              </w:rPr>
              <w:t>251</w:t>
            </w:r>
          </w:p>
        </w:tc>
        <w:tc>
          <w:tcPr>
            <w:tcW w:type="dxa" w:w="2256"/>
          </w:tcPr>
          <w:p>
            <w:r/>
            <w:r>
              <w:rPr>
                <w:rFonts w:ascii="Times New Roman" w:hAnsi="Times New Roman"/>
                <w:b w:val="0"/>
                <w:i w:val="0"/>
                <w:sz w:val="18"/>
              </w:rPr>
              <w:t>+0.517</w:t>
            </w:r>
          </w:p>
        </w:tc>
        <w:tc>
          <w:tcPr>
            <w:tcW w:type="dxa" w:w="2256"/>
          </w:tcPr>
          <w:p>
            <w:r/>
            <w:r>
              <w:rPr>
                <w:rFonts w:ascii="Times New Roman" w:hAnsi="Times New Roman"/>
                <w:b w:val="0"/>
                <w:i w:val="0"/>
                <w:sz w:val="18"/>
              </w:rPr>
              <w:t>1.5 × 10⁻¹⁸</w:t>
            </w:r>
          </w:p>
        </w:tc>
      </w:tr>
      <w:tr>
        <w:tc>
          <w:tcPr>
            <w:tcW w:type="dxa" w:w="2258"/>
          </w:tcPr>
          <w:p>
            <w:r/>
            <w:r>
              <w:rPr>
                <w:rFonts w:ascii="Times New Roman" w:hAnsi="Times New Roman"/>
                <w:b w:val="0"/>
                <w:i w:val="0"/>
                <w:sz w:val="18"/>
              </w:rPr>
              <w:t>Integrated vs cohort 2</w:t>
            </w:r>
          </w:p>
        </w:tc>
        <w:tc>
          <w:tcPr>
            <w:tcW w:type="dxa" w:w="2256"/>
          </w:tcPr>
          <w:p>
            <w:r/>
            <w:r>
              <w:rPr>
                <w:rFonts w:ascii="Times New Roman" w:hAnsi="Times New Roman"/>
                <w:b w:val="0"/>
                <w:i w:val="0"/>
                <w:sz w:val="18"/>
              </w:rPr>
              <w:t>235</w:t>
            </w:r>
          </w:p>
        </w:tc>
        <w:tc>
          <w:tcPr>
            <w:tcW w:type="dxa" w:w="2256"/>
          </w:tcPr>
          <w:p>
            <w:r/>
            <w:r>
              <w:rPr>
                <w:rFonts w:ascii="Times New Roman" w:hAnsi="Times New Roman"/>
                <w:b w:val="0"/>
                <w:i w:val="0"/>
                <w:sz w:val="18"/>
              </w:rPr>
              <w:t>+0.548</w:t>
            </w:r>
          </w:p>
        </w:tc>
        <w:tc>
          <w:tcPr>
            <w:tcW w:type="dxa" w:w="2256"/>
          </w:tcPr>
          <w:p>
            <w:r/>
            <w:r>
              <w:rPr>
                <w:rFonts w:ascii="Times New Roman" w:hAnsi="Times New Roman"/>
                <w:b w:val="0"/>
                <w:i w:val="0"/>
                <w:sz w:val="18"/>
              </w:rPr>
              <w:t>8.8 × 10⁻²⁰</w:t>
            </w:r>
          </w:p>
        </w:tc>
      </w:tr>
      <w:tr>
        <w:tc>
          <w:tcPr>
            <w:tcW w:type="dxa" w:w="2258"/>
          </w:tcPr>
          <w:p>
            <w:r/>
            <w:r>
              <w:rPr>
                <w:rFonts w:ascii="Times New Roman" w:hAnsi="Times New Roman"/>
                <w:b w:val="0"/>
                <w:i w:val="0"/>
                <w:sz w:val="18"/>
              </w:rPr>
              <w:t>Cohort 1 vs cohort 2</w:t>
            </w:r>
          </w:p>
        </w:tc>
        <w:tc>
          <w:tcPr>
            <w:tcW w:type="dxa" w:w="2256"/>
          </w:tcPr>
          <w:p>
            <w:r/>
            <w:r>
              <w:rPr>
                <w:rFonts w:ascii="Times New Roman" w:hAnsi="Times New Roman"/>
                <w:b w:val="0"/>
                <w:i w:val="0"/>
                <w:sz w:val="18"/>
              </w:rPr>
              <w:t>242</w:t>
            </w:r>
          </w:p>
        </w:tc>
        <w:tc>
          <w:tcPr>
            <w:tcW w:type="dxa" w:w="2256"/>
          </w:tcPr>
          <w:p>
            <w:r/>
            <w:r>
              <w:rPr>
                <w:rFonts w:ascii="Times New Roman" w:hAnsi="Times New Roman"/>
                <w:b w:val="0"/>
                <w:i w:val="0"/>
                <w:sz w:val="18"/>
              </w:rPr>
              <w:t>+0.482</w:t>
            </w:r>
          </w:p>
        </w:tc>
        <w:tc>
          <w:tcPr>
            <w:tcW w:type="dxa" w:w="2256"/>
          </w:tcPr>
          <w:p>
            <w:r/>
            <w:r>
              <w:rPr>
                <w:rFonts w:ascii="Times New Roman" w:hAnsi="Times New Roman"/>
                <w:b w:val="0"/>
                <w:i w:val="0"/>
                <w:sz w:val="18"/>
              </w:rPr>
              <w:t>1.7 × 10⁻¹⁵</w:t>
            </w:r>
          </w:p>
        </w:tc>
      </w:tr>
    </w:tbl>
    <w:p/>
    <w:p>
      <w:r>
        <w:rPr>
          <w:rFonts w:ascii="Times New Roman" w:hAnsi="Times New Roman"/>
          <w:b/>
          <w:i w:val="0"/>
          <w:sz w:val="22"/>
        </w:rPr>
        <w:t>Table S2.</w:t>
      </w:r>
      <w:r>
        <w:rPr>
          <w:rFonts w:ascii="Times New Roman" w:hAnsi="Times New Roman"/>
          <w:b w:val="0"/>
          <w:i w:val="0"/>
          <w:sz w:val="22"/>
        </w:rPr>
        <w:t xml:space="preserve"> Cross-species regulatory convergence: structural enrichment of human ortholog targets</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1506"/>
            <w:shd w:val="clear" w:color="auto" w:fill="D9E2F3"/>
          </w:tcPr>
          <w:p>
            <w:r>
              <w:rPr>
                <w:b/>
              </w:rPr>
            </w:r>
            <w:r>
              <w:rPr>
                <w:rFonts w:ascii="Times New Roman" w:hAnsi="Times New Roman"/>
                <w:b/>
                <w:i w:val="0"/>
                <w:sz w:val="18"/>
              </w:rPr>
              <w:t>TF (human)</w:t>
            </w:r>
          </w:p>
        </w:tc>
        <w:tc>
          <w:tcPr>
            <w:tcW w:type="dxa" w:w="1504"/>
            <w:shd w:val="clear" w:color="auto" w:fill="D9E2F3"/>
          </w:tcPr>
          <w:p>
            <w:r>
              <w:rPr>
                <w:b/>
              </w:rPr>
            </w:r>
            <w:r>
              <w:rPr>
                <w:rFonts w:ascii="Times New Roman" w:hAnsi="Times New Roman"/>
                <w:b/>
                <w:i w:val="0"/>
                <w:sz w:val="18"/>
              </w:rPr>
              <w:t>Reference set</w:t>
            </w:r>
          </w:p>
        </w:tc>
        <w:tc>
          <w:tcPr>
            <w:tcW w:type="dxa" w:w="1504"/>
            <w:shd w:val="clear" w:color="auto" w:fill="D9E2F3"/>
          </w:tcPr>
          <w:p>
            <w:r>
              <w:rPr>
                <w:b/>
              </w:rPr>
            </w:r>
            <w:r>
              <w:rPr>
                <w:rFonts w:ascii="Times New Roman" w:hAnsi="Times New Roman"/>
                <w:b/>
                <w:i w:val="0"/>
                <w:sz w:val="18"/>
              </w:rPr>
              <w:t>k/n</w:t>
            </w:r>
          </w:p>
        </w:tc>
        <w:tc>
          <w:tcPr>
            <w:tcW w:type="dxa" w:w="1504"/>
            <w:shd w:val="clear" w:color="auto" w:fill="D9E2F3"/>
          </w:tcPr>
          <w:p>
            <w:r>
              <w:rPr>
                <w:b/>
              </w:rPr>
            </w:r>
            <w:r>
              <w:rPr>
                <w:rFonts w:ascii="Times New Roman" w:hAnsi="Times New Roman"/>
                <w:b/>
                <w:i w:val="0"/>
                <w:sz w:val="18"/>
              </w:rPr>
              <w:t>OR</w:t>
            </w:r>
          </w:p>
        </w:tc>
        <w:tc>
          <w:tcPr>
            <w:tcW w:type="dxa" w:w="1504"/>
            <w:shd w:val="clear" w:color="auto" w:fill="D9E2F3"/>
          </w:tcPr>
          <w:p>
            <w:r>
              <w:rPr>
                <w:b/>
              </w:rPr>
            </w:r>
            <w:r>
              <w:rPr>
                <w:rFonts w:ascii="Times New Roman" w:hAnsi="Times New Roman"/>
                <w:b/>
                <w:i w:val="0"/>
                <w:sz w:val="18"/>
              </w:rPr>
              <w:t>Hypergeom. p</w:t>
            </w:r>
          </w:p>
        </w:tc>
        <w:tc>
          <w:tcPr>
            <w:tcW w:type="dxa" w:w="1504"/>
            <w:shd w:val="clear" w:color="auto" w:fill="D9E2F3"/>
          </w:tcPr>
          <w:p>
            <w:r>
              <w:rPr>
                <w:b/>
              </w:rPr>
            </w:r>
            <w:r>
              <w:rPr>
                <w:rFonts w:ascii="Times New Roman" w:hAnsi="Times New Roman"/>
                <w:b/>
                <w:i w:val="0"/>
                <w:sz w:val="18"/>
              </w:rPr>
              <w:t>Emp. p (perm)</w:t>
            </w:r>
          </w:p>
        </w:tc>
      </w:tr>
      <w:tr>
        <w:tc>
          <w:tcPr>
            <w:tcW w:type="dxa" w:w="1506"/>
          </w:tcPr>
          <w:p>
            <w:r/>
            <w:r>
              <w:rPr>
                <w:rFonts w:ascii="Times New Roman" w:hAnsi="Times New Roman"/>
                <w:b/>
                <w:i w:val="0"/>
                <w:sz w:val="18"/>
              </w:rPr>
              <w:t>SOX10</w:t>
            </w:r>
          </w:p>
        </w:tc>
        <w:tc>
          <w:tcPr>
            <w:tcW w:type="dxa" w:w="1504"/>
          </w:tcPr>
          <w:p>
            <w:r/>
            <w:r>
              <w:rPr>
                <w:rFonts w:ascii="Times New Roman" w:hAnsi="Times New Roman"/>
                <w:b w:val="0"/>
                <w:i w:val="0"/>
                <w:sz w:val="18"/>
              </w:rPr>
              <w:t>myelin/oligo</w:t>
            </w:r>
          </w:p>
        </w:tc>
        <w:tc>
          <w:tcPr>
            <w:tcW w:type="dxa" w:w="1504"/>
          </w:tcPr>
          <w:p>
            <w:r/>
            <w:r>
              <w:rPr>
                <w:rFonts w:ascii="Times New Roman" w:hAnsi="Times New Roman"/>
                <w:b w:val="0"/>
                <w:i w:val="0"/>
                <w:sz w:val="18"/>
              </w:rPr>
              <w:t>7/22</w:t>
            </w:r>
          </w:p>
        </w:tc>
        <w:tc>
          <w:tcPr>
            <w:tcW w:type="dxa" w:w="1504"/>
          </w:tcPr>
          <w:p>
            <w:r/>
            <w:r>
              <w:rPr>
                <w:rFonts w:ascii="Times New Roman" w:hAnsi="Times New Roman"/>
                <w:b w:val="0"/>
                <w:i w:val="0"/>
                <w:sz w:val="18"/>
              </w:rPr>
              <w:t>27.0</w:t>
            </w:r>
          </w:p>
        </w:tc>
        <w:tc>
          <w:tcPr>
            <w:tcW w:type="dxa" w:w="1504"/>
          </w:tcPr>
          <w:p>
            <w:r/>
            <w:r>
              <w:rPr>
                <w:rFonts w:ascii="Times New Roman" w:hAnsi="Times New Roman"/>
                <w:b w:val="0"/>
                <w:i w:val="0"/>
                <w:sz w:val="18"/>
              </w:rPr>
              <w:t>6.0 × 10⁻⁸</w:t>
            </w:r>
          </w:p>
        </w:tc>
        <w:tc>
          <w:tcPr>
            <w:tcW w:type="dxa" w:w="1504"/>
          </w:tcPr>
          <w:p>
            <w:r/>
            <w:r>
              <w:rPr>
                <w:rFonts w:ascii="Times New Roman" w:hAnsi="Times New Roman"/>
                <w:b w:val="0"/>
                <w:i w:val="0"/>
                <w:sz w:val="18"/>
              </w:rPr>
              <w:t>0.0005</w:t>
            </w:r>
          </w:p>
        </w:tc>
      </w:tr>
      <w:tr>
        <w:tc>
          <w:tcPr>
            <w:tcW w:type="dxa" w:w="1506"/>
          </w:tcPr>
          <w:p>
            <w:r/>
            <w:r>
              <w:rPr>
                <w:rFonts w:ascii="Times New Roman" w:hAnsi="Times New Roman"/>
                <w:b/>
                <w:i w:val="0"/>
                <w:sz w:val="18"/>
              </w:rPr>
              <w:t>CEBPB</w:t>
            </w:r>
          </w:p>
        </w:tc>
        <w:tc>
          <w:tcPr>
            <w:tcW w:type="dxa" w:w="1504"/>
          </w:tcPr>
          <w:p>
            <w:r/>
            <w:r>
              <w:rPr>
                <w:rFonts w:ascii="Times New Roman" w:hAnsi="Times New Roman"/>
                <w:b w:val="0"/>
                <w:i w:val="0"/>
                <w:sz w:val="18"/>
              </w:rPr>
              <w:t>neuroinflammation</w:t>
            </w:r>
          </w:p>
        </w:tc>
        <w:tc>
          <w:tcPr>
            <w:tcW w:type="dxa" w:w="1504"/>
          </w:tcPr>
          <w:p>
            <w:r/>
            <w:r>
              <w:rPr>
                <w:rFonts w:ascii="Times New Roman" w:hAnsi="Times New Roman"/>
                <w:b w:val="0"/>
                <w:i w:val="0"/>
                <w:sz w:val="18"/>
              </w:rPr>
              <w:t>8/23</w:t>
            </w:r>
          </w:p>
        </w:tc>
        <w:tc>
          <w:tcPr>
            <w:tcW w:type="dxa" w:w="1504"/>
          </w:tcPr>
          <w:p>
            <w:r/>
            <w:r>
              <w:rPr>
                <w:rFonts w:ascii="Times New Roman" w:hAnsi="Times New Roman"/>
                <w:b w:val="0"/>
                <w:i w:val="0"/>
                <w:sz w:val="18"/>
              </w:rPr>
              <w:t>16.5</w:t>
            </w:r>
          </w:p>
        </w:tc>
        <w:tc>
          <w:tcPr>
            <w:tcW w:type="dxa" w:w="1504"/>
          </w:tcPr>
          <w:p>
            <w:r/>
            <w:r>
              <w:rPr>
                <w:rFonts w:ascii="Times New Roman" w:hAnsi="Times New Roman"/>
                <w:b w:val="0"/>
                <w:i w:val="0"/>
                <w:sz w:val="18"/>
              </w:rPr>
              <w:t>3.2 × 10⁻⁷</w:t>
            </w:r>
          </w:p>
        </w:tc>
        <w:tc>
          <w:tcPr>
            <w:tcW w:type="dxa" w:w="1504"/>
          </w:tcPr>
          <w:p>
            <w:r/>
            <w:r>
              <w:rPr>
                <w:rFonts w:ascii="Times New Roman" w:hAnsi="Times New Roman"/>
                <w:b w:val="0"/>
                <w:i w:val="0"/>
                <w:sz w:val="18"/>
              </w:rPr>
              <w:t>0.024</w:t>
            </w:r>
          </w:p>
        </w:tc>
      </w:tr>
      <w:tr>
        <w:tc>
          <w:tcPr>
            <w:tcW w:type="dxa" w:w="1506"/>
          </w:tcPr>
          <w:p>
            <w:r/>
            <w:r>
              <w:rPr>
                <w:rFonts w:ascii="Times New Roman" w:hAnsi="Times New Roman"/>
                <w:b/>
                <w:i w:val="0"/>
                <w:sz w:val="18"/>
              </w:rPr>
              <w:t>GATA2</w:t>
            </w:r>
          </w:p>
        </w:tc>
        <w:tc>
          <w:tcPr>
            <w:tcW w:type="dxa" w:w="1504"/>
          </w:tcPr>
          <w:p>
            <w:r/>
            <w:r>
              <w:rPr>
                <w:rFonts w:ascii="Times New Roman" w:hAnsi="Times New Roman"/>
                <w:b w:val="0"/>
                <w:i w:val="0"/>
                <w:sz w:val="18"/>
              </w:rPr>
              <w:t>neuroinflammation</w:t>
            </w:r>
          </w:p>
        </w:tc>
        <w:tc>
          <w:tcPr>
            <w:tcW w:type="dxa" w:w="1504"/>
          </w:tcPr>
          <w:p>
            <w:r/>
            <w:r>
              <w:rPr>
                <w:rFonts w:ascii="Times New Roman" w:hAnsi="Times New Roman"/>
                <w:b w:val="0"/>
                <w:i w:val="0"/>
                <w:sz w:val="18"/>
              </w:rPr>
              <w:t>15/23</w:t>
            </w:r>
          </w:p>
        </w:tc>
        <w:tc>
          <w:tcPr>
            <w:tcW w:type="dxa" w:w="1504"/>
          </w:tcPr>
          <w:p>
            <w:r/>
            <w:r>
              <w:rPr>
                <w:rFonts w:ascii="Times New Roman" w:hAnsi="Times New Roman"/>
                <w:b w:val="0"/>
                <w:i w:val="0"/>
                <w:sz w:val="18"/>
              </w:rPr>
              <w:t>4.6</w:t>
            </w:r>
          </w:p>
        </w:tc>
        <w:tc>
          <w:tcPr>
            <w:tcW w:type="dxa" w:w="1504"/>
          </w:tcPr>
          <w:p>
            <w:r/>
            <w:r>
              <w:rPr>
                <w:rFonts w:ascii="Times New Roman" w:hAnsi="Times New Roman"/>
                <w:b w:val="0"/>
                <w:i w:val="0"/>
                <w:sz w:val="18"/>
              </w:rPr>
              <w:t>3.3 × 10⁻⁴</w:t>
            </w:r>
          </w:p>
        </w:tc>
        <w:tc>
          <w:tcPr>
            <w:tcW w:type="dxa" w:w="1504"/>
          </w:tcPr>
          <w:p>
            <w:r/>
            <w:r>
              <w:rPr>
                <w:rFonts w:ascii="Times New Roman" w:hAnsi="Times New Roman"/>
                <w:b w:val="0"/>
                <w:i w:val="0"/>
                <w:sz w:val="18"/>
              </w:rPr>
              <w:t>0.047</w:t>
            </w:r>
          </w:p>
        </w:tc>
      </w:tr>
    </w:tbl>
    <w:p/>
    <w:p>
      <w:r>
        <w:rPr>
          <w:rFonts w:ascii="Times New Roman" w:hAnsi="Times New Roman"/>
          <w:b/>
          <w:i w:val="0"/>
          <w:sz w:val="22"/>
        </w:rPr>
        <w:t>Table S3.</w:t>
      </w:r>
      <w:r>
        <w:rPr>
          <w:rFonts w:ascii="Times New Roman" w:hAnsi="Times New Roman"/>
          <w:b w:val="0"/>
          <w:i w:val="0"/>
          <w:sz w:val="22"/>
        </w:rPr>
        <w:t xml:space="preserve"> Human stroke blood (GSE16561) module activation</w:t>
      </w:r>
    </w:p>
    <w:tbl>
      <w:tblPr>
        <w:tblStyle w:val="TableGrid"/>
        <w:tblW w:type="auto" w:w="0"/>
        <w:jc w:val="center"/>
        <w:tblLayout w:type="fixed"/>
        <w:tblLook w:firstColumn="1" w:firstRow="1" w:lastColumn="0" w:lastRow="0" w:noHBand="0" w:noVBand="1" w:val="04A0"/>
      </w:tblPr>
      <w:tblGrid>
        <w:gridCol w:w="1805"/>
        <w:gridCol w:w="1805"/>
        <w:gridCol w:w="1805"/>
        <w:gridCol w:w="1805"/>
        <w:gridCol w:w="1805"/>
      </w:tblGrid>
      <w:tr>
        <w:tc>
          <w:tcPr>
            <w:tcW w:type="dxa" w:w="1806"/>
            <w:shd w:val="clear" w:color="auto" w:fill="D9E2F3"/>
          </w:tcPr>
          <w:p>
            <w:r>
              <w:rPr>
                <w:b/>
              </w:rPr>
            </w:r>
            <w:r>
              <w:rPr>
                <w:rFonts w:ascii="Times New Roman" w:hAnsi="Times New Roman"/>
                <w:b/>
                <w:i w:val="0"/>
                <w:sz w:val="18"/>
              </w:rPr>
              <w:t>Module</w:t>
            </w:r>
          </w:p>
        </w:tc>
        <w:tc>
          <w:tcPr>
            <w:tcW w:type="dxa" w:w="1805"/>
            <w:shd w:val="clear" w:color="auto" w:fill="D9E2F3"/>
          </w:tcPr>
          <w:p>
            <w:r>
              <w:rPr>
                <w:b/>
              </w:rPr>
            </w:r>
            <w:r>
              <w:rPr>
                <w:rFonts w:ascii="Times New Roman" w:hAnsi="Times New Roman"/>
                <w:b/>
                <w:i w:val="0"/>
                <w:sz w:val="18"/>
              </w:rPr>
              <w:t>targets (present/total)</w:t>
            </w:r>
          </w:p>
        </w:tc>
        <w:tc>
          <w:tcPr>
            <w:tcW w:type="dxa" w:w="1805"/>
            <w:shd w:val="clear" w:color="auto" w:fill="D9E2F3"/>
          </w:tcPr>
          <w:p>
            <w:r>
              <w:rPr>
                <w:b/>
              </w:rPr>
            </w:r>
            <w:r>
              <w:rPr>
                <w:rFonts w:ascii="Times New Roman" w:hAnsi="Times New Roman"/>
                <w:b/>
                <w:i w:val="0"/>
                <w:sz w:val="18"/>
              </w:rPr>
              <w:t>Δ (stroke−control)</w:t>
            </w:r>
          </w:p>
        </w:tc>
        <w:tc>
          <w:tcPr>
            <w:tcW w:type="dxa" w:w="1805"/>
            <w:shd w:val="clear" w:color="auto" w:fill="D9E2F3"/>
          </w:tcPr>
          <w:p>
            <w:r>
              <w:rPr>
                <w:b/>
              </w:rPr>
            </w:r>
            <w:r>
              <w:rPr>
                <w:rFonts w:ascii="Times New Roman" w:hAnsi="Times New Roman"/>
                <w:b/>
                <w:i w:val="0"/>
                <w:sz w:val="18"/>
              </w:rPr>
              <w:t>Cliff's δ</w:t>
            </w:r>
          </w:p>
        </w:tc>
        <w:tc>
          <w:tcPr>
            <w:tcW w:type="dxa" w:w="1805"/>
            <w:shd w:val="clear" w:color="auto" w:fill="D9E2F3"/>
          </w:tcPr>
          <w:p>
            <w:r>
              <w:rPr>
                <w:b/>
              </w:rPr>
            </w:r>
            <w:r>
              <w:rPr>
                <w:rFonts w:ascii="Times New Roman" w:hAnsi="Times New Roman"/>
                <w:b/>
                <w:i w:val="0"/>
                <w:sz w:val="18"/>
              </w:rPr>
              <w:t>p</w:t>
            </w:r>
          </w:p>
        </w:tc>
      </w:tr>
      <w:tr>
        <w:tc>
          <w:tcPr>
            <w:tcW w:type="dxa" w:w="1806"/>
          </w:tcPr>
          <w:p>
            <w:r/>
            <w:r>
              <w:rPr>
                <w:rFonts w:ascii="Times New Roman" w:hAnsi="Times New Roman"/>
                <w:b w:val="0"/>
                <w:i w:val="0"/>
                <w:sz w:val="18"/>
              </w:rPr>
              <w:t>CEBPB (inflammation)</w:t>
            </w:r>
          </w:p>
        </w:tc>
        <w:tc>
          <w:tcPr>
            <w:tcW w:type="dxa" w:w="1805"/>
          </w:tcPr>
          <w:p>
            <w:r/>
            <w:r>
              <w:rPr>
                <w:rFonts w:ascii="Times New Roman" w:hAnsi="Times New Roman"/>
                <w:b w:val="0"/>
                <w:i w:val="0"/>
                <w:sz w:val="18"/>
              </w:rPr>
              <w:t>555/589</w:t>
            </w:r>
          </w:p>
        </w:tc>
        <w:tc>
          <w:tcPr>
            <w:tcW w:type="dxa" w:w="1805"/>
          </w:tcPr>
          <w:p>
            <w:r/>
            <w:r>
              <w:rPr>
                <w:rFonts w:ascii="Times New Roman" w:hAnsi="Times New Roman"/>
                <w:b w:val="0"/>
                <w:i w:val="0"/>
                <w:sz w:val="18"/>
              </w:rPr>
              <w:t>+0.058</w:t>
            </w:r>
          </w:p>
        </w:tc>
        <w:tc>
          <w:tcPr>
            <w:tcW w:type="dxa" w:w="1805"/>
          </w:tcPr>
          <w:p>
            <w:r/>
            <w:r>
              <w:rPr>
                <w:rFonts w:ascii="Times New Roman" w:hAnsi="Times New Roman"/>
                <w:b w:val="0"/>
                <w:i w:val="0"/>
                <w:sz w:val="18"/>
              </w:rPr>
              <w:t>+0.89</w:t>
            </w:r>
          </w:p>
        </w:tc>
        <w:tc>
          <w:tcPr>
            <w:tcW w:type="dxa" w:w="1805"/>
          </w:tcPr>
          <w:p>
            <w:r/>
            <w:r>
              <w:rPr>
                <w:rFonts w:ascii="Times New Roman" w:hAnsi="Times New Roman"/>
                <w:b w:val="0"/>
                <w:i w:val="0"/>
                <w:sz w:val="18"/>
              </w:rPr>
              <w:t>3.8 × 10⁻⁹</w:t>
            </w:r>
          </w:p>
        </w:tc>
      </w:tr>
      <w:tr>
        <w:tc>
          <w:tcPr>
            <w:tcW w:type="dxa" w:w="1806"/>
          </w:tcPr>
          <w:p>
            <w:r/>
            <w:r>
              <w:rPr>
                <w:rFonts w:ascii="Times New Roman" w:hAnsi="Times New Roman"/>
                <w:b w:val="0"/>
                <w:i w:val="0"/>
                <w:sz w:val="18"/>
              </w:rPr>
              <w:t>SOX10 (myelin/oligo)</w:t>
            </w:r>
          </w:p>
        </w:tc>
        <w:tc>
          <w:tcPr>
            <w:tcW w:type="dxa" w:w="1805"/>
          </w:tcPr>
          <w:p>
            <w:r/>
            <w:r>
              <w:rPr>
                <w:rFonts w:ascii="Times New Roman" w:hAnsi="Times New Roman"/>
                <w:b w:val="0"/>
                <w:i w:val="0"/>
                <w:sz w:val="18"/>
              </w:rPr>
              <w:t>296/322</w:t>
            </w:r>
          </w:p>
        </w:tc>
        <w:tc>
          <w:tcPr>
            <w:tcW w:type="dxa" w:w="1805"/>
          </w:tcPr>
          <w:p>
            <w:r/>
            <w:r>
              <w:rPr>
                <w:rFonts w:ascii="Times New Roman" w:hAnsi="Times New Roman"/>
                <w:b w:val="0"/>
                <w:i w:val="0"/>
                <w:sz w:val="18"/>
              </w:rPr>
              <w:t>+0.045</w:t>
            </w:r>
          </w:p>
        </w:tc>
        <w:tc>
          <w:tcPr>
            <w:tcW w:type="dxa" w:w="1805"/>
          </w:tcPr>
          <w:p>
            <w:r/>
            <w:r>
              <w:rPr>
                <w:rFonts w:ascii="Times New Roman" w:hAnsi="Times New Roman"/>
                <w:b w:val="0"/>
                <w:i w:val="0"/>
                <w:sz w:val="18"/>
              </w:rPr>
              <w:t>+0.83</w:t>
            </w:r>
          </w:p>
        </w:tc>
        <w:tc>
          <w:tcPr>
            <w:tcW w:type="dxa" w:w="1805"/>
          </w:tcPr>
          <w:p>
            <w:r/>
            <w:r>
              <w:rPr>
                <w:rFonts w:ascii="Times New Roman" w:hAnsi="Times New Roman"/>
                <w:b w:val="0"/>
                <w:i w:val="0"/>
                <w:sz w:val="18"/>
              </w:rPr>
              <w:t>4.9 × 10⁻⁸</w:t>
            </w:r>
          </w:p>
        </w:tc>
      </w:tr>
      <w:tr>
        <w:tc>
          <w:tcPr>
            <w:tcW w:type="dxa" w:w="1806"/>
          </w:tcPr>
          <w:p>
            <w:r/>
            <w:r>
              <w:rPr>
                <w:rFonts w:ascii="Times New Roman" w:hAnsi="Times New Roman"/>
                <w:b w:val="0"/>
                <w:i w:val="0"/>
                <w:sz w:val="18"/>
              </w:rPr>
              <w:t>GATA2 (inflammation)</w:t>
            </w:r>
          </w:p>
        </w:tc>
        <w:tc>
          <w:tcPr>
            <w:tcW w:type="dxa" w:w="1805"/>
          </w:tcPr>
          <w:p>
            <w:r/>
            <w:r>
              <w:rPr>
                <w:rFonts w:ascii="Times New Roman" w:hAnsi="Times New Roman"/>
                <w:b w:val="0"/>
                <w:i w:val="0"/>
                <w:sz w:val="18"/>
              </w:rPr>
              <w:t>4780/5370</w:t>
            </w:r>
          </w:p>
        </w:tc>
        <w:tc>
          <w:tcPr>
            <w:tcW w:type="dxa" w:w="1805"/>
          </w:tcPr>
          <w:p>
            <w:r/>
            <w:r>
              <w:rPr>
                <w:rFonts w:ascii="Times New Roman" w:hAnsi="Times New Roman"/>
                <w:b w:val="0"/>
                <w:i w:val="0"/>
                <w:sz w:val="18"/>
              </w:rPr>
              <w:t>+0.023</w:t>
            </w:r>
          </w:p>
        </w:tc>
        <w:tc>
          <w:tcPr>
            <w:tcW w:type="dxa" w:w="1805"/>
          </w:tcPr>
          <w:p>
            <w:r/>
            <w:r>
              <w:rPr>
                <w:rFonts w:ascii="Times New Roman" w:hAnsi="Times New Roman"/>
                <w:b w:val="0"/>
                <w:i w:val="0"/>
                <w:sz w:val="18"/>
              </w:rPr>
              <w:t>+0.76</w:t>
            </w:r>
          </w:p>
        </w:tc>
        <w:tc>
          <w:tcPr>
            <w:tcW w:type="dxa" w:w="1805"/>
          </w:tcPr>
          <w:p>
            <w:r/>
            <w:r>
              <w:rPr>
                <w:rFonts w:ascii="Times New Roman" w:hAnsi="Times New Roman"/>
                <w:b w:val="0"/>
                <w:i w:val="0"/>
                <w:sz w:val="18"/>
              </w:rPr>
              <w:t>5.2 × 10⁻⁷</w:t>
            </w:r>
          </w:p>
        </w:tc>
      </w:tr>
    </w:tbl>
    <w:p/>
    <w:p>
      <w:r>
        <w:rPr>
          <w:rFonts w:ascii="Times New Roman" w:hAnsi="Times New Roman"/>
          <w:b/>
          <w:i w:val="0"/>
          <w:sz w:val="22"/>
        </w:rPr>
        <w:t>Table S4.</w:t>
      </w:r>
      <w:r>
        <w:rPr>
          <w:rFonts w:ascii="Times New Roman" w:hAnsi="Times New Roman"/>
          <w:b w:val="0"/>
          <w:i w:val="0"/>
          <w:sz w:val="22"/>
        </w:rPr>
        <w:t xml:space="preserve"> Sox10 cKO (GSE269122): target program directional support</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1506"/>
            <w:shd w:val="clear" w:color="auto" w:fill="D9E2F3"/>
          </w:tcPr>
          <w:p>
            <w:r>
              <w:rPr>
                <w:b/>
              </w:rPr>
            </w:r>
            <w:r>
              <w:rPr>
                <w:rFonts w:ascii="Times New Roman" w:hAnsi="Times New Roman"/>
                <w:b/>
                <w:i w:val="0"/>
                <w:sz w:val="18"/>
              </w:rPr>
              <w:t>TF program</w:t>
            </w:r>
          </w:p>
        </w:tc>
        <w:tc>
          <w:tcPr>
            <w:tcW w:type="dxa" w:w="1504"/>
            <w:shd w:val="clear" w:color="auto" w:fill="D9E2F3"/>
          </w:tcPr>
          <w:p>
            <w:r>
              <w:rPr>
                <w:b/>
              </w:rPr>
            </w:r>
            <w:r>
              <w:rPr>
                <w:rFonts w:ascii="Times New Roman" w:hAnsi="Times New Roman"/>
                <w:b/>
                <w:i w:val="0"/>
                <w:sz w:val="18"/>
              </w:rPr>
              <w:t>n</w:t>
            </w:r>
          </w:p>
        </w:tc>
        <w:tc>
          <w:tcPr>
            <w:tcW w:type="dxa" w:w="1504"/>
            <w:shd w:val="clear" w:color="auto" w:fill="D9E2F3"/>
          </w:tcPr>
          <w:p>
            <w:r>
              <w:rPr>
                <w:b/>
              </w:rPr>
            </w:r>
            <w:r>
              <w:rPr>
                <w:rFonts w:ascii="Times New Roman" w:hAnsi="Times New Roman"/>
                <w:b/>
                <w:i w:val="0"/>
                <w:sz w:val="18"/>
              </w:rPr>
              <w:t>mean log₂FC</w:t>
            </w:r>
          </w:p>
        </w:tc>
        <w:tc>
          <w:tcPr>
            <w:tcW w:type="dxa" w:w="1504"/>
            <w:shd w:val="clear" w:color="auto" w:fill="D9E2F3"/>
          </w:tcPr>
          <w:p>
            <w:r>
              <w:rPr>
                <w:b/>
              </w:rPr>
            </w:r>
            <w:r>
              <w:rPr>
                <w:rFonts w:ascii="Times New Roman" w:hAnsi="Times New Roman"/>
                <w:b/>
                <w:i w:val="0"/>
                <w:sz w:val="18"/>
              </w:rPr>
              <w:t>OR↓</w:t>
            </w:r>
          </w:p>
        </w:tc>
        <w:tc>
          <w:tcPr>
            <w:tcW w:type="dxa" w:w="1504"/>
            <w:shd w:val="clear" w:color="auto" w:fill="D9E2F3"/>
          </w:tcPr>
          <w:p>
            <w:r>
              <w:rPr>
                <w:b/>
              </w:rPr>
            </w:r>
            <w:r>
              <w:rPr>
                <w:rFonts w:ascii="Times New Roman" w:hAnsi="Times New Roman"/>
                <w:b/>
                <w:i w:val="0"/>
                <w:sz w:val="18"/>
              </w:rPr>
              <w:t>Fisher p</w:t>
            </w:r>
          </w:p>
        </w:tc>
        <w:tc>
          <w:tcPr>
            <w:tcW w:type="dxa" w:w="1504"/>
            <w:shd w:val="clear" w:color="auto" w:fill="D9E2F3"/>
          </w:tcPr>
          <w:p>
            <w:r>
              <w:rPr>
                <w:b/>
              </w:rPr>
            </w:r>
            <w:r>
              <w:rPr>
                <w:rFonts w:ascii="Times New Roman" w:hAnsi="Times New Roman"/>
                <w:b/>
                <w:i w:val="0"/>
                <w:sz w:val="18"/>
              </w:rPr>
              <w:t>Rank (most-negative)</w:t>
            </w:r>
          </w:p>
        </w:tc>
      </w:tr>
      <w:tr>
        <w:tc>
          <w:tcPr>
            <w:tcW w:type="dxa" w:w="1506"/>
          </w:tcPr>
          <w:p>
            <w:r/>
            <w:r>
              <w:rPr>
                <w:rFonts w:ascii="Times New Roman" w:hAnsi="Times New Roman"/>
                <w:b/>
                <w:i w:val="0"/>
                <w:sz w:val="18"/>
              </w:rPr>
              <w:t>Sox10</w:t>
            </w:r>
            <w:r>
              <w:rPr>
                <w:rFonts w:ascii="Times New Roman" w:hAnsi="Times New Roman"/>
                <w:b w:val="0"/>
                <w:i w:val="0"/>
                <w:sz w:val="18"/>
              </w:rPr>
              <w:t xml:space="preserve"> (perturbed)</w:t>
            </w:r>
          </w:p>
        </w:tc>
        <w:tc>
          <w:tcPr>
            <w:tcW w:type="dxa" w:w="1504"/>
          </w:tcPr>
          <w:p>
            <w:r/>
            <w:r>
              <w:rPr>
                <w:rFonts w:ascii="Times New Roman" w:hAnsi="Times New Roman"/>
                <w:b w:val="0"/>
                <w:i w:val="0"/>
                <w:sz w:val="18"/>
              </w:rPr>
              <w:t>319</w:t>
            </w:r>
          </w:p>
        </w:tc>
        <w:tc>
          <w:tcPr>
            <w:tcW w:type="dxa" w:w="1504"/>
          </w:tcPr>
          <w:p>
            <w:r/>
            <w:r>
              <w:rPr>
                <w:rFonts w:ascii="Times New Roman" w:hAnsi="Times New Roman"/>
                <w:b w:val="0"/>
                <w:i w:val="0"/>
                <w:sz w:val="18"/>
              </w:rPr>
              <w:t>−0.090</w:t>
            </w:r>
          </w:p>
        </w:tc>
        <w:tc>
          <w:tcPr>
            <w:tcW w:type="dxa" w:w="1504"/>
          </w:tcPr>
          <w:p>
            <w:r/>
            <w:r>
              <w:rPr>
                <w:rFonts w:ascii="Times New Roman" w:hAnsi="Times New Roman"/>
                <w:b w:val="0"/>
                <w:i w:val="0"/>
                <w:sz w:val="18"/>
              </w:rPr>
              <w:t>1.81</w:t>
            </w:r>
          </w:p>
        </w:tc>
        <w:tc>
          <w:tcPr>
            <w:tcW w:type="dxa" w:w="1504"/>
          </w:tcPr>
          <w:p>
            <w:r/>
            <w:r>
              <w:rPr>
                <w:rFonts w:ascii="Times New Roman" w:hAnsi="Times New Roman"/>
                <w:b w:val="0"/>
                <w:i w:val="0"/>
                <w:sz w:val="18"/>
              </w:rPr>
              <w:t>≈ 0</w:t>
            </w:r>
          </w:p>
        </w:tc>
        <w:tc>
          <w:tcPr>
            <w:tcW w:type="dxa" w:w="1504"/>
          </w:tcPr>
          <w:p>
            <w:r/>
            <w:r>
              <w:rPr>
                <w:rFonts w:ascii="Times New Roman" w:hAnsi="Times New Roman"/>
                <w:b/>
                <w:i w:val="0"/>
                <w:sz w:val="18"/>
              </w:rPr>
              <w:t>46 / 412 (top 11 %)</w:t>
            </w:r>
          </w:p>
        </w:tc>
      </w:tr>
      <w:tr>
        <w:tc>
          <w:tcPr>
            <w:tcW w:type="dxa" w:w="1506"/>
          </w:tcPr>
          <w:p>
            <w:r/>
            <w:r>
              <w:rPr>
                <w:rFonts w:ascii="Times New Roman" w:hAnsi="Times New Roman"/>
                <w:b w:val="0"/>
                <w:i w:val="0"/>
                <w:sz w:val="18"/>
              </w:rPr>
              <w:t>Cebpb (control)</w:t>
            </w:r>
          </w:p>
        </w:tc>
        <w:tc>
          <w:tcPr>
            <w:tcW w:type="dxa" w:w="1504"/>
          </w:tcPr>
          <w:p>
            <w:r/>
            <w:r>
              <w:rPr>
                <w:rFonts w:ascii="Times New Roman" w:hAnsi="Times New Roman"/>
                <w:b w:val="0"/>
                <w:i w:val="0"/>
                <w:sz w:val="18"/>
              </w:rPr>
              <w:t>570</w:t>
            </w:r>
          </w:p>
        </w:tc>
        <w:tc>
          <w:tcPr>
            <w:tcW w:type="dxa" w:w="1504"/>
          </w:tcPr>
          <w:p>
            <w:r/>
            <w:r>
              <w:rPr>
                <w:rFonts w:ascii="Times New Roman" w:hAnsi="Times New Roman"/>
                <w:b w:val="0"/>
                <w:i w:val="0"/>
                <w:sz w:val="18"/>
              </w:rPr>
              <w:t>−0.065</w:t>
            </w:r>
          </w:p>
        </w:tc>
        <w:tc>
          <w:tcPr>
            <w:tcW w:type="dxa" w:w="1504"/>
          </w:tcPr>
          <w:p>
            <w:r/>
            <w:r>
              <w:rPr>
                <w:rFonts w:ascii="Times New Roman" w:hAnsi="Times New Roman"/>
                <w:b w:val="0"/>
                <w:i w:val="0"/>
                <w:sz w:val="18"/>
              </w:rPr>
              <w:t>1.83</w:t>
            </w:r>
          </w:p>
        </w:tc>
        <w:tc>
          <w:tcPr>
            <w:tcW w:type="dxa" w:w="1504"/>
          </w:tcPr>
          <w:p>
            <w:r/>
            <w:r>
              <w:rPr>
                <w:rFonts w:ascii="Times New Roman" w:hAnsi="Times New Roman"/>
                <w:b w:val="0"/>
                <w:i w:val="0"/>
                <w:sz w:val="18"/>
              </w:rPr>
              <w:t>≈ 0</w:t>
            </w:r>
          </w:p>
        </w:tc>
        <w:tc>
          <w:tcPr>
            <w:tcW w:type="dxa" w:w="1504"/>
          </w:tcPr>
          <w:p>
            <w:r/>
            <w:r>
              <w:rPr>
                <w:rFonts w:ascii="Times New Roman" w:hAnsi="Times New Roman"/>
                <w:b w:val="0"/>
                <w:i w:val="0"/>
                <w:sz w:val="18"/>
              </w:rPr>
              <w:t>147 / 412</w:t>
            </w:r>
          </w:p>
        </w:tc>
      </w:tr>
      <w:tr>
        <w:tc>
          <w:tcPr>
            <w:tcW w:type="dxa" w:w="1506"/>
          </w:tcPr>
          <w:p>
            <w:r/>
            <w:r>
              <w:rPr>
                <w:rFonts w:ascii="Times New Roman" w:hAnsi="Times New Roman"/>
                <w:b w:val="0"/>
                <w:i w:val="0"/>
                <w:sz w:val="18"/>
              </w:rPr>
              <w:t>Gata2 (control)</w:t>
            </w:r>
          </w:p>
        </w:tc>
        <w:tc>
          <w:tcPr>
            <w:tcW w:type="dxa" w:w="1504"/>
          </w:tcPr>
          <w:p>
            <w:r/>
            <w:r>
              <w:rPr>
                <w:rFonts w:ascii="Times New Roman" w:hAnsi="Times New Roman"/>
                <w:b w:val="0"/>
                <w:i w:val="0"/>
                <w:sz w:val="18"/>
              </w:rPr>
              <w:t>5177</w:t>
            </w:r>
          </w:p>
        </w:tc>
        <w:tc>
          <w:tcPr>
            <w:tcW w:type="dxa" w:w="1504"/>
          </w:tcPr>
          <w:p>
            <w:r/>
            <w:r>
              <w:rPr>
                <w:rFonts w:ascii="Times New Roman" w:hAnsi="Times New Roman"/>
                <w:b w:val="0"/>
                <w:i w:val="0"/>
                <w:sz w:val="18"/>
              </w:rPr>
              <w:t>−0.033</w:t>
            </w:r>
          </w:p>
        </w:tc>
        <w:tc>
          <w:tcPr>
            <w:tcW w:type="dxa" w:w="1504"/>
          </w:tcPr>
          <w:p>
            <w:r/>
            <w:r>
              <w:rPr>
                <w:rFonts w:ascii="Times New Roman" w:hAnsi="Times New Roman"/>
                <w:b w:val="0"/>
                <w:i w:val="0"/>
                <w:sz w:val="18"/>
              </w:rPr>
              <w:t>1.33</w:t>
            </w:r>
          </w:p>
        </w:tc>
        <w:tc>
          <w:tcPr>
            <w:tcW w:type="dxa" w:w="1504"/>
          </w:tcPr>
          <w:p>
            <w:r/>
            <w:r>
              <w:rPr>
                <w:rFonts w:ascii="Times New Roman" w:hAnsi="Times New Roman"/>
                <w:b w:val="0"/>
                <w:i w:val="0"/>
                <w:sz w:val="18"/>
              </w:rPr>
              <w:t>≈ 0</w:t>
            </w:r>
          </w:p>
        </w:tc>
        <w:tc>
          <w:tcPr>
            <w:tcW w:type="dxa" w:w="1504"/>
          </w:tcPr>
          <w:p>
            <w:r/>
            <w:r>
              <w:rPr>
                <w:rFonts w:ascii="Times New Roman" w:hAnsi="Times New Roman"/>
                <w:b w:val="0"/>
                <w:i w:val="0"/>
                <w:sz w:val="18"/>
              </w:rPr>
              <w:t>309 / 412</w:t>
            </w:r>
          </w:p>
        </w:tc>
      </w:tr>
      <w:tr>
        <w:tc>
          <w:tcPr>
            <w:tcW w:type="dxa" w:w="1506"/>
          </w:tcPr>
          <w:p>
            <w:r/>
            <w:r>
              <w:rPr>
                <w:rFonts w:ascii="Times New Roman" w:hAnsi="Times New Roman"/>
                <w:b w:val="0"/>
                <w:i w:val="0"/>
                <w:sz w:val="18"/>
              </w:rPr>
              <w:t>Sox2 (control)</w:t>
            </w:r>
          </w:p>
        </w:tc>
        <w:tc>
          <w:tcPr>
            <w:tcW w:type="dxa" w:w="1504"/>
          </w:tcPr>
          <w:p>
            <w:r/>
            <w:r>
              <w:rPr>
                <w:rFonts w:ascii="Times New Roman" w:hAnsi="Times New Roman"/>
                <w:b w:val="0"/>
                <w:i w:val="0"/>
                <w:sz w:val="18"/>
              </w:rPr>
              <w:t>3121</w:t>
            </w:r>
          </w:p>
        </w:tc>
        <w:tc>
          <w:tcPr>
            <w:tcW w:type="dxa" w:w="1504"/>
          </w:tcPr>
          <w:p>
            <w:r/>
            <w:r>
              <w:rPr>
                <w:rFonts w:ascii="Times New Roman" w:hAnsi="Times New Roman"/>
                <w:b w:val="0"/>
                <w:i w:val="0"/>
                <w:sz w:val="18"/>
              </w:rPr>
              <w:t>−0.025</w:t>
            </w:r>
          </w:p>
        </w:tc>
        <w:tc>
          <w:tcPr>
            <w:tcW w:type="dxa" w:w="1504"/>
          </w:tcPr>
          <w:p>
            <w:r/>
            <w:r>
              <w:rPr>
                <w:rFonts w:ascii="Times New Roman" w:hAnsi="Times New Roman"/>
                <w:b w:val="0"/>
                <w:i w:val="0"/>
                <w:sz w:val="18"/>
              </w:rPr>
              <w:t>1.29</w:t>
            </w:r>
          </w:p>
        </w:tc>
        <w:tc>
          <w:tcPr>
            <w:tcW w:type="dxa" w:w="1504"/>
          </w:tcPr>
          <w:p>
            <w:r/>
            <w:r>
              <w:rPr>
                <w:rFonts w:ascii="Times New Roman" w:hAnsi="Times New Roman"/>
                <w:b w:val="0"/>
                <w:i w:val="0"/>
                <w:sz w:val="18"/>
              </w:rPr>
              <w:t>≈ 0</w:t>
            </w:r>
          </w:p>
        </w:tc>
        <w:tc>
          <w:tcPr>
            <w:tcW w:type="dxa" w:w="1504"/>
          </w:tcPr>
          <w:p>
            <w:r/>
            <w:r>
              <w:rPr>
                <w:rFonts w:ascii="Times New Roman" w:hAnsi="Times New Roman"/>
                <w:b w:val="0"/>
                <w:i w:val="0"/>
                <w:sz w:val="18"/>
              </w:rPr>
              <w:t>339 / 412</w:t>
            </w:r>
          </w:p>
        </w:tc>
      </w:tr>
    </w:tbl>
    <w:p/>
    <w:p>
      <w:r>
        <w:rPr>
          <w:rFonts w:ascii="Times New Roman" w:hAnsi="Times New Roman"/>
          <w:b/>
          <w:i w:val="0"/>
          <w:sz w:val="22"/>
        </w:rPr>
        <w:t>Table S5.</w:t>
      </w:r>
      <w:r>
        <w:rPr>
          <w:rFonts w:ascii="Times New Roman" w:hAnsi="Times New Roman"/>
          <w:b w:val="0"/>
          <w:i w:val="0"/>
          <w:sz w:val="22"/>
        </w:rPr>
        <w:t xml:space="preserve"> Cebpb het-KO (GSE273163): target program directional support</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1506"/>
            <w:shd w:val="clear" w:color="auto" w:fill="D9E2F3"/>
          </w:tcPr>
          <w:p>
            <w:r>
              <w:rPr>
                <w:b/>
              </w:rPr>
            </w:r>
            <w:r>
              <w:rPr>
                <w:rFonts w:ascii="Times New Roman" w:hAnsi="Times New Roman"/>
                <w:b/>
                <w:i w:val="0"/>
                <w:sz w:val="18"/>
              </w:rPr>
              <w:t>TF program</w:t>
            </w:r>
          </w:p>
        </w:tc>
        <w:tc>
          <w:tcPr>
            <w:tcW w:type="dxa" w:w="1504"/>
            <w:shd w:val="clear" w:color="auto" w:fill="D9E2F3"/>
          </w:tcPr>
          <w:p>
            <w:r>
              <w:rPr>
                <w:b/>
              </w:rPr>
            </w:r>
            <w:r>
              <w:rPr>
                <w:rFonts w:ascii="Times New Roman" w:hAnsi="Times New Roman"/>
                <w:b/>
                <w:i w:val="0"/>
                <w:sz w:val="18"/>
              </w:rPr>
              <w:t>n</w:t>
            </w:r>
          </w:p>
        </w:tc>
        <w:tc>
          <w:tcPr>
            <w:tcW w:type="dxa" w:w="1504"/>
            <w:shd w:val="clear" w:color="auto" w:fill="D9E2F3"/>
          </w:tcPr>
          <w:p>
            <w:r>
              <w:rPr>
                <w:b/>
              </w:rPr>
            </w:r>
            <w:r>
              <w:rPr>
                <w:rFonts w:ascii="Times New Roman" w:hAnsi="Times New Roman"/>
                <w:b/>
                <w:i w:val="0"/>
                <w:sz w:val="18"/>
              </w:rPr>
              <w:t>mean log₂FC</w:t>
            </w:r>
          </w:p>
        </w:tc>
        <w:tc>
          <w:tcPr>
            <w:tcW w:type="dxa" w:w="1504"/>
            <w:shd w:val="clear" w:color="auto" w:fill="D9E2F3"/>
          </w:tcPr>
          <w:p>
            <w:r>
              <w:rPr>
                <w:b/>
              </w:rPr>
            </w:r>
            <w:r>
              <w:rPr>
                <w:rFonts w:ascii="Times New Roman" w:hAnsi="Times New Roman"/>
                <w:b/>
                <w:i w:val="0"/>
                <w:sz w:val="18"/>
              </w:rPr>
              <w:t>OR↓</w:t>
            </w:r>
          </w:p>
        </w:tc>
        <w:tc>
          <w:tcPr>
            <w:tcW w:type="dxa" w:w="1504"/>
            <w:shd w:val="clear" w:color="auto" w:fill="D9E2F3"/>
          </w:tcPr>
          <w:p>
            <w:r>
              <w:rPr>
                <w:b/>
              </w:rPr>
            </w:r>
            <w:r>
              <w:rPr>
                <w:rFonts w:ascii="Times New Roman" w:hAnsi="Times New Roman"/>
                <w:b/>
                <w:i w:val="0"/>
                <w:sz w:val="18"/>
              </w:rPr>
              <w:t>Fisher p</w:t>
            </w:r>
          </w:p>
        </w:tc>
        <w:tc>
          <w:tcPr>
            <w:tcW w:type="dxa" w:w="1504"/>
            <w:shd w:val="clear" w:color="auto" w:fill="D9E2F3"/>
          </w:tcPr>
          <w:p>
            <w:r>
              <w:rPr>
                <w:b/>
              </w:rPr>
            </w:r>
            <w:r>
              <w:rPr>
                <w:rFonts w:ascii="Times New Roman" w:hAnsi="Times New Roman"/>
                <w:b/>
                <w:i w:val="0"/>
                <w:sz w:val="18"/>
              </w:rPr>
              <w:t>Rank (most-negative)</w:t>
            </w:r>
          </w:p>
        </w:tc>
      </w:tr>
      <w:tr>
        <w:tc>
          <w:tcPr>
            <w:tcW w:type="dxa" w:w="1506"/>
          </w:tcPr>
          <w:p>
            <w:r/>
            <w:r>
              <w:rPr>
                <w:rFonts w:ascii="Times New Roman" w:hAnsi="Times New Roman"/>
                <w:b/>
                <w:i w:val="0"/>
                <w:sz w:val="18"/>
              </w:rPr>
              <w:t>Cebpb</w:t>
            </w:r>
            <w:r>
              <w:rPr>
                <w:rFonts w:ascii="Times New Roman" w:hAnsi="Times New Roman"/>
                <w:b w:val="0"/>
                <w:i w:val="0"/>
                <w:sz w:val="18"/>
              </w:rPr>
              <w:t xml:space="preserve"> (perturbed)</w:t>
            </w:r>
          </w:p>
        </w:tc>
        <w:tc>
          <w:tcPr>
            <w:tcW w:type="dxa" w:w="1504"/>
          </w:tcPr>
          <w:p>
            <w:r/>
            <w:r>
              <w:rPr>
                <w:rFonts w:ascii="Times New Roman" w:hAnsi="Times New Roman"/>
                <w:b w:val="0"/>
                <w:i w:val="0"/>
                <w:sz w:val="18"/>
              </w:rPr>
              <w:t>555</w:t>
            </w:r>
          </w:p>
        </w:tc>
        <w:tc>
          <w:tcPr>
            <w:tcW w:type="dxa" w:w="1504"/>
          </w:tcPr>
          <w:p>
            <w:r/>
            <w:r>
              <w:rPr>
                <w:rFonts w:ascii="Times New Roman" w:hAnsi="Times New Roman"/>
                <w:b w:val="0"/>
                <w:i w:val="0"/>
                <w:sz w:val="18"/>
              </w:rPr>
              <w:t>−0.172</w:t>
            </w:r>
          </w:p>
        </w:tc>
        <w:tc>
          <w:tcPr>
            <w:tcW w:type="dxa" w:w="1504"/>
          </w:tcPr>
          <w:p>
            <w:r/>
            <w:r>
              <w:rPr>
                <w:rFonts w:ascii="Times New Roman" w:hAnsi="Times New Roman"/>
                <w:b w:val="0"/>
                <w:i w:val="0"/>
                <w:sz w:val="18"/>
              </w:rPr>
              <w:t>1.20</w:t>
            </w:r>
          </w:p>
        </w:tc>
        <w:tc>
          <w:tcPr>
            <w:tcW w:type="dxa" w:w="1504"/>
          </w:tcPr>
          <w:p>
            <w:r/>
            <w:r>
              <w:rPr>
                <w:rFonts w:ascii="Times New Roman" w:hAnsi="Times New Roman"/>
                <w:b/>
                <w:i w:val="0"/>
                <w:sz w:val="18"/>
              </w:rPr>
              <w:t>0.022</w:t>
            </w:r>
          </w:p>
        </w:tc>
        <w:tc>
          <w:tcPr>
            <w:tcW w:type="dxa" w:w="1504"/>
          </w:tcPr>
          <w:p>
            <w:r/>
            <w:r>
              <w:rPr>
                <w:rFonts w:ascii="Times New Roman" w:hAnsi="Times New Roman"/>
                <w:b/>
                <w:i w:val="0"/>
                <w:sz w:val="18"/>
              </w:rPr>
              <w:t>149 / 404 (top 37 %)</w:t>
            </w:r>
          </w:p>
        </w:tc>
      </w:tr>
      <w:tr>
        <w:tc>
          <w:tcPr>
            <w:tcW w:type="dxa" w:w="1506"/>
          </w:tcPr>
          <w:p>
            <w:r/>
            <w:r>
              <w:rPr>
                <w:rFonts w:ascii="Times New Roman" w:hAnsi="Times New Roman"/>
                <w:b w:val="0"/>
                <w:i w:val="0"/>
                <w:sz w:val="18"/>
              </w:rPr>
              <w:t>Gata2 (control)</w:t>
            </w:r>
          </w:p>
        </w:tc>
        <w:tc>
          <w:tcPr>
            <w:tcW w:type="dxa" w:w="1504"/>
          </w:tcPr>
          <w:p>
            <w:r/>
            <w:r>
              <w:rPr>
                <w:rFonts w:ascii="Times New Roman" w:hAnsi="Times New Roman"/>
                <w:b w:val="0"/>
                <w:i w:val="0"/>
                <w:sz w:val="18"/>
              </w:rPr>
              <w:t>4889</w:t>
            </w:r>
          </w:p>
        </w:tc>
        <w:tc>
          <w:tcPr>
            <w:tcW w:type="dxa" w:w="1504"/>
          </w:tcPr>
          <w:p>
            <w:r/>
            <w:r>
              <w:rPr>
                <w:rFonts w:ascii="Times New Roman" w:hAnsi="Times New Roman"/>
                <w:b w:val="0"/>
                <w:i w:val="0"/>
                <w:sz w:val="18"/>
              </w:rPr>
              <w:t>−0.147</w:t>
            </w:r>
          </w:p>
        </w:tc>
        <w:tc>
          <w:tcPr>
            <w:tcW w:type="dxa" w:w="1504"/>
          </w:tcPr>
          <w:p>
            <w:r/>
            <w:r>
              <w:rPr>
                <w:rFonts w:ascii="Times New Roman" w:hAnsi="Times New Roman"/>
                <w:b w:val="0"/>
                <w:i w:val="0"/>
                <w:sz w:val="18"/>
              </w:rPr>
              <w:t>1.15</w:t>
            </w:r>
          </w:p>
        </w:tc>
        <w:tc>
          <w:tcPr>
            <w:tcW w:type="dxa" w:w="1504"/>
          </w:tcPr>
          <w:p>
            <w:r/>
            <w:r>
              <w:rPr>
                <w:rFonts w:ascii="Times New Roman" w:hAnsi="Times New Roman"/>
                <w:b w:val="0"/>
                <w:i w:val="0"/>
                <w:sz w:val="18"/>
              </w:rPr>
              <w:t>≈ 0</w:t>
            </w:r>
          </w:p>
        </w:tc>
        <w:tc>
          <w:tcPr>
            <w:tcW w:type="dxa" w:w="1504"/>
          </w:tcPr>
          <w:p>
            <w:r/>
            <w:r>
              <w:rPr>
                <w:rFonts w:ascii="Times New Roman" w:hAnsi="Times New Roman"/>
                <w:b w:val="0"/>
                <w:i w:val="0"/>
                <w:sz w:val="18"/>
              </w:rPr>
              <w:t>205 / 404</w:t>
            </w:r>
          </w:p>
        </w:tc>
      </w:tr>
      <w:tr>
        <w:tc>
          <w:tcPr>
            <w:tcW w:type="dxa" w:w="1506"/>
          </w:tcPr>
          <w:p>
            <w:r/>
            <w:r>
              <w:rPr>
                <w:rFonts w:ascii="Times New Roman" w:hAnsi="Times New Roman"/>
                <w:b w:val="0"/>
                <w:i w:val="0"/>
                <w:sz w:val="18"/>
              </w:rPr>
              <w:t>Sox10 (control)</w:t>
            </w:r>
          </w:p>
        </w:tc>
        <w:tc>
          <w:tcPr>
            <w:tcW w:type="dxa" w:w="1504"/>
          </w:tcPr>
          <w:p>
            <w:r/>
            <w:r>
              <w:rPr>
                <w:rFonts w:ascii="Times New Roman" w:hAnsi="Times New Roman"/>
                <w:b w:val="0"/>
                <w:i w:val="0"/>
                <w:sz w:val="18"/>
              </w:rPr>
              <w:t>307</w:t>
            </w:r>
          </w:p>
        </w:tc>
        <w:tc>
          <w:tcPr>
            <w:tcW w:type="dxa" w:w="1504"/>
          </w:tcPr>
          <w:p>
            <w:r/>
            <w:r>
              <w:rPr>
                <w:rFonts w:ascii="Times New Roman" w:hAnsi="Times New Roman"/>
                <w:b w:val="0"/>
                <w:i w:val="0"/>
                <w:sz w:val="18"/>
              </w:rPr>
              <w:t>−0.128</w:t>
            </w:r>
          </w:p>
        </w:tc>
        <w:tc>
          <w:tcPr>
            <w:tcW w:type="dxa" w:w="1504"/>
          </w:tcPr>
          <w:p>
            <w:r/>
            <w:r>
              <w:rPr>
                <w:rFonts w:ascii="Times New Roman" w:hAnsi="Times New Roman"/>
                <w:b w:val="0"/>
                <w:i w:val="0"/>
                <w:sz w:val="18"/>
              </w:rPr>
              <w:t>0.95</w:t>
            </w:r>
          </w:p>
        </w:tc>
        <w:tc>
          <w:tcPr>
            <w:tcW w:type="dxa" w:w="1504"/>
          </w:tcPr>
          <w:p>
            <w:r/>
            <w:r>
              <w:rPr>
                <w:rFonts w:ascii="Times New Roman" w:hAnsi="Times New Roman"/>
                <w:b w:val="0"/>
                <w:i w:val="0"/>
                <w:sz w:val="18"/>
              </w:rPr>
              <w:t>0.68</w:t>
            </w:r>
          </w:p>
        </w:tc>
        <w:tc>
          <w:tcPr>
            <w:tcW w:type="dxa" w:w="1504"/>
          </w:tcPr>
          <w:p>
            <w:r/>
            <w:r>
              <w:rPr>
                <w:rFonts w:ascii="Times New Roman" w:hAnsi="Times New Roman"/>
                <w:b w:val="0"/>
                <w:i w:val="0"/>
                <w:sz w:val="18"/>
              </w:rPr>
              <w:t>278 / 404</w:t>
            </w:r>
          </w:p>
        </w:tc>
      </w:tr>
    </w:tbl>
    <w:p/>
    <w:p>
      <w:r>
        <w:rPr>
          <w:rFonts w:ascii="Times New Roman" w:hAnsi="Times New Roman"/>
          <w:b/>
          <w:i w:val="0"/>
          <w:sz w:val="22"/>
        </w:rPr>
        <w:t>Table S6.</w:t>
      </w:r>
      <w:r>
        <w:rPr>
          <w:rFonts w:ascii="Times New Roman" w:hAnsi="Times New Roman"/>
          <w:b w:val="0"/>
          <w:i w:val="0"/>
          <w:sz w:val="22"/>
        </w:rPr>
        <w:t xml:space="preserve"> SigCom LINCS: signature-match results</w:t>
      </w:r>
    </w:p>
    <w:tbl>
      <w:tblPr>
        <w:tblStyle w:val="TableGrid"/>
        <w:tblW w:type="auto" w:w="0"/>
        <w:jc w:val="center"/>
        <w:tblLayout w:type="fixed"/>
        <w:tblLook w:firstColumn="1" w:firstRow="1" w:lastColumn="0" w:lastRow="0" w:noHBand="0" w:noVBand="1" w:val="04A0"/>
      </w:tblPr>
      <w:tblGrid>
        <w:gridCol w:w="1289"/>
        <w:gridCol w:w="1289"/>
        <w:gridCol w:w="1289"/>
        <w:gridCol w:w="1289"/>
        <w:gridCol w:w="1289"/>
        <w:gridCol w:w="1289"/>
        <w:gridCol w:w="1289"/>
      </w:tblGrid>
      <w:tr>
        <w:tc>
          <w:tcPr>
            <w:tcW w:type="dxa" w:w="1292"/>
            <w:shd w:val="clear" w:color="auto" w:fill="D9E2F3"/>
          </w:tcPr>
          <w:p>
            <w:r>
              <w:rPr>
                <w:b/>
              </w:rPr>
            </w:r>
            <w:r>
              <w:rPr>
                <w:rFonts w:ascii="Times New Roman" w:hAnsi="Times New Roman"/>
                <w:b/>
                <w:i w:val="0"/>
                <w:sz w:val="18"/>
              </w:rPr>
              <w:t>Assay (SigCom LINCS)</w:t>
            </w:r>
          </w:p>
        </w:tc>
        <w:tc>
          <w:tcPr>
            <w:tcW w:type="dxa" w:w="1289"/>
            <w:shd w:val="clear" w:color="auto" w:fill="D9E2F3"/>
          </w:tcPr>
          <w:p>
            <w:r>
              <w:rPr>
                <w:b/>
              </w:rPr>
            </w:r>
            <w:r>
              <w:rPr>
                <w:rFonts w:ascii="Times New Roman" w:hAnsi="Times New Roman"/>
                <w:b/>
                <w:i w:val="0"/>
                <w:sz w:val="18"/>
              </w:rPr>
              <w:t>Gene</w:t>
            </w:r>
          </w:p>
        </w:tc>
        <w:tc>
          <w:tcPr>
            <w:tcW w:type="dxa" w:w="1289"/>
            <w:shd w:val="clear" w:color="auto" w:fill="D9E2F3"/>
          </w:tcPr>
          <w:p>
            <w:r>
              <w:rPr>
                <w:b/>
              </w:rPr>
            </w:r>
            <w:r>
              <w:rPr>
                <w:rFonts w:ascii="Times New Roman" w:hAnsi="Times New Roman"/>
                <w:b/>
                <w:i w:val="0"/>
                <w:sz w:val="18"/>
              </w:rPr>
              <w:t>Metric</w:t>
            </w:r>
          </w:p>
        </w:tc>
        <w:tc>
          <w:tcPr>
            <w:tcW w:type="dxa" w:w="1289"/>
            <w:shd w:val="clear" w:color="auto" w:fill="D9E2F3"/>
          </w:tcPr>
          <w:p>
            <w:r>
              <w:rPr>
                <w:b/>
              </w:rPr>
            </w:r>
            <w:r>
              <w:rPr>
                <w:rFonts w:ascii="Times New Roman" w:hAnsi="Times New Roman"/>
                <w:b/>
                <w:i w:val="0"/>
                <w:sz w:val="18"/>
              </w:rPr>
              <w:t>Rank / total</w:t>
            </w:r>
          </w:p>
        </w:tc>
        <w:tc>
          <w:tcPr>
            <w:tcW w:type="dxa" w:w="1289"/>
            <w:shd w:val="clear" w:color="auto" w:fill="D9E2F3"/>
          </w:tcPr>
          <w:p>
            <w:r>
              <w:rPr>
                <w:b/>
              </w:rPr>
            </w:r>
            <w:r>
              <w:rPr>
                <w:rFonts w:ascii="Times New Roman" w:hAnsi="Times New Roman"/>
                <w:b/>
                <w:i w:val="0"/>
                <w:sz w:val="18"/>
              </w:rPr>
              <w:t>p / percentile</w:t>
            </w:r>
          </w:p>
        </w:tc>
        <w:tc>
          <w:tcPr>
            <w:tcW w:type="dxa" w:w="1289"/>
            <w:shd w:val="clear" w:color="auto" w:fill="D9E2F3"/>
          </w:tcPr>
          <w:p>
            <w:r>
              <w:rPr>
                <w:b/>
              </w:rPr>
            </w:r>
            <w:r>
              <w:rPr>
                <w:rFonts w:ascii="Times New Roman" w:hAnsi="Times New Roman"/>
                <w:b/>
                <w:i w:val="0"/>
                <w:sz w:val="18"/>
              </w:rPr>
              <w:t>Self-specific?</w:t>
            </w:r>
          </w:p>
        </w:tc>
        <w:tc>
          <w:tcPr>
            <w:tcW w:type="dxa" w:w="1289"/>
            <w:shd w:val="clear" w:color="auto" w:fill="D9E2F3"/>
          </w:tcPr>
          <w:p>
            <w:r>
              <w:rPr>
                <w:b/>
              </w:rPr>
            </w:r>
            <w:r>
              <w:rPr>
                <w:rFonts w:ascii="Times New Roman" w:hAnsi="Times New Roman"/>
                <w:b/>
                <w:i w:val="0"/>
                <w:sz w:val="18"/>
              </w:rPr>
              <w:t>Note</w:t>
            </w:r>
          </w:p>
        </w:tc>
      </w:tr>
      <w:tr>
        <w:tc>
          <w:tcPr>
            <w:tcW w:type="dxa" w:w="1292"/>
          </w:tcPr>
          <w:p>
            <w:r/>
            <w:r>
              <w:rPr>
                <w:rFonts w:ascii="Times New Roman" w:hAnsi="Times New Roman"/>
                <w:b w:val="0"/>
                <w:i w:val="0"/>
                <w:sz w:val="18"/>
              </w:rPr>
              <w:t>OE mimicker</w:t>
            </w:r>
          </w:p>
        </w:tc>
        <w:tc>
          <w:tcPr>
            <w:tcW w:type="dxa" w:w="1289"/>
          </w:tcPr>
          <w:p>
            <w:r/>
            <w:r>
              <w:rPr>
                <w:rFonts w:ascii="Times New Roman" w:hAnsi="Times New Roman"/>
                <w:b w:val="0"/>
                <w:i w:val="0"/>
                <w:sz w:val="18"/>
              </w:rPr>
              <w:t>GATA2</w:t>
            </w:r>
          </w:p>
        </w:tc>
        <w:tc>
          <w:tcPr>
            <w:tcW w:type="dxa" w:w="1289"/>
          </w:tcPr>
          <w:p>
            <w:r/>
            <w:r>
              <w:rPr>
                <w:rFonts w:ascii="Times New Roman" w:hAnsi="Times New Roman"/>
                <w:b w:val="0"/>
                <w:i w:val="0"/>
                <w:sz w:val="18"/>
              </w:rPr>
              <w:t>own OE signature mimics GATA2 target program</w:t>
            </w:r>
          </w:p>
        </w:tc>
        <w:tc>
          <w:tcPr>
            <w:tcW w:type="dxa" w:w="1289"/>
          </w:tcPr>
          <w:p>
            <w:r/>
            <w:r>
              <w:rPr>
                <w:rFonts w:ascii="Times New Roman" w:hAnsi="Times New Roman"/>
                <w:b w:val="0"/>
                <w:i w:val="0"/>
                <w:sz w:val="18"/>
              </w:rPr>
              <w:t>3 / 33,782 (top 0.01 %)</w:t>
            </w:r>
          </w:p>
        </w:tc>
        <w:tc>
          <w:tcPr>
            <w:tcW w:type="dxa" w:w="1289"/>
          </w:tcPr>
          <w:p>
            <w:r/>
            <w:r>
              <w:rPr>
                <w:rFonts w:ascii="Times New Roman" w:hAnsi="Times New Roman"/>
                <w:b w:val="0"/>
                <w:i w:val="0"/>
                <w:sz w:val="18"/>
              </w:rPr>
              <w:t>1.4 × 10⁻⁵</w:t>
            </w:r>
          </w:p>
        </w:tc>
        <w:tc>
          <w:tcPr>
            <w:tcW w:type="dxa" w:w="1289"/>
          </w:tcPr>
          <w:p>
            <w:r/>
            <w:r>
              <w:rPr>
                <w:rFonts w:ascii="Times New Roman" w:hAnsi="Times New Roman"/>
                <w:b w:val="0"/>
                <w:i w:val="0"/>
                <w:sz w:val="18"/>
              </w:rPr>
              <w:t>Yes (self 0.01 % vs best cross 4.98 %)</w:t>
            </w:r>
          </w:p>
        </w:tc>
        <w:tc>
          <w:tcPr>
            <w:tcW w:type="dxa" w:w="1289"/>
          </w:tcPr>
          <w:p>
            <w:r/>
            <w:r>
              <w:rPr>
                <w:rFonts w:ascii="Times New Roman" w:hAnsi="Times New Roman"/>
                <w:b w:val="0"/>
                <w:i w:val="0"/>
                <w:sz w:val="18"/>
              </w:rPr>
              <w:t>strong activator evidence</w:t>
            </w:r>
          </w:p>
        </w:tc>
      </w:tr>
      <w:tr>
        <w:tc>
          <w:tcPr>
            <w:tcW w:type="dxa" w:w="1292"/>
          </w:tcPr>
          <w:p>
            <w:r/>
            <w:r>
              <w:rPr>
                <w:rFonts w:ascii="Times New Roman" w:hAnsi="Times New Roman"/>
                <w:b w:val="0"/>
                <w:i w:val="0"/>
                <w:sz w:val="18"/>
              </w:rPr>
              <w:t>OE mimicker</w:t>
            </w:r>
          </w:p>
        </w:tc>
        <w:tc>
          <w:tcPr>
            <w:tcW w:type="dxa" w:w="1289"/>
          </w:tcPr>
          <w:p>
            <w:r/>
            <w:r>
              <w:rPr>
                <w:rFonts w:ascii="Times New Roman" w:hAnsi="Times New Roman"/>
                <w:b w:val="0"/>
                <w:i w:val="0"/>
                <w:sz w:val="18"/>
              </w:rPr>
              <w:t>SOX10</w:t>
            </w:r>
          </w:p>
        </w:tc>
        <w:tc>
          <w:tcPr>
            <w:tcW w:type="dxa" w:w="1289"/>
          </w:tcPr>
          <w:p>
            <w:r/>
            <w:r>
              <w:rPr>
                <w:rFonts w:ascii="Times New Roman" w:hAnsi="Times New Roman"/>
                <w:b w:val="0"/>
                <w:i w:val="0"/>
                <w:sz w:val="18"/>
              </w:rPr>
              <w:t>own OE signature mimics SOX10 target program</w:t>
            </w:r>
          </w:p>
        </w:tc>
        <w:tc>
          <w:tcPr>
            <w:tcW w:type="dxa" w:w="1289"/>
          </w:tcPr>
          <w:p>
            <w:r/>
            <w:r>
              <w:rPr>
                <w:rFonts w:ascii="Times New Roman" w:hAnsi="Times New Roman"/>
                <w:b w:val="0"/>
                <w:i w:val="0"/>
                <w:sz w:val="18"/>
              </w:rPr>
              <w:t>mixed direction</w:t>
            </w:r>
          </w:p>
        </w:tc>
        <w:tc>
          <w:tcPr>
            <w:tcW w:type="dxa" w:w="1289"/>
          </w:tcPr>
          <w:p>
            <w:r/>
            <w:r>
              <w:rPr>
                <w:rFonts w:ascii="Times New Roman" w:hAnsi="Times New Roman"/>
                <w:b w:val="0"/>
                <w:i w:val="0"/>
                <w:sz w:val="18"/>
              </w:rPr>
              <w:t>—</w:t>
            </w:r>
          </w:p>
        </w:tc>
        <w:tc>
          <w:tcPr>
            <w:tcW w:type="dxa" w:w="1289"/>
          </w:tcPr>
          <w:p>
            <w:r/>
            <w:r>
              <w:rPr>
                <w:rFonts w:ascii="Times New Roman" w:hAnsi="Times New Roman"/>
                <w:b w:val="0"/>
                <w:i w:val="0"/>
                <w:sz w:val="18"/>
              </w:rPr>
              <w:t>n/a</w:t>
            </w:r>
          </w:p>
        </w:tc>
        <w:tc>
          <w:tcPr>
            <w:tcW w:type="dxa" w:w="1289"/>
          </w:tcPr>
          <w:p>
            <w:r/>
            <w:r>
              <w:rPr>
                <w:rFonts w:ascii="Times New Roman" w:hAnsi="Times New Roman"/>
                <w:b w:val="0"/>
                <w:i w:val="0"/>
                <w:sz w:val="18"/>
              </w:rPr>
              <w:t>mixed directionality</w:t>
            </w:r>
          </w:p>
        </w:tc>
      </w:tr>
      <w:tr>
        <w:tc>
          <w:tcPr>
            <w:tcW w:type="dxa" w:w="1292"/>
          </w:tcPr>
          <w:p>
            <w:r/>
            <w:r>
              <w:rPr>
                <w:rFonts w:ascii="Times New Roman" w:hAnsi="Times New Roman"/>
                <w:b w:val="0"/>
                <w:i w:val="0"/>
                <w:sz w:val="18"/>
              </w:rPr>
              <w:t>OE mimicker</w:t>
            </w:r>
          </w:p>
        </w:tc>
        <w:tc>
          <w:tcPr>
            <w:tcW w:type="dxa" w:w="1289"/>
          </w:tcPr>
          <w:p>
            <w:r/>
            <w:r>
              <w:rPr>
                <w:rFonts w:ascii="Times New Roman" w:hAnsi="Times New Roman"/>
                <w:b w:val="0"/>
                <w:i w:val="0"/>
                <w:sz w:val="18"/>
              </w:rPr>
              <w:t>CEBPB</w:t>
            </w:r>
          </w:p>
        </w:tc>
        <w:tc>
          <w:tcPr>
            <w:tcW w:type="dxa" w:w="1289"/>
          </w:tcPr>
          <w:p>
            <w:r/>
            <w:r>
              <w:rPr>
                <w:rFonts w:ascii="Times New Roman" w:hAnsi="Times New Roman"/>
                <w:b w:val="0"/>
                <w:i w:val="0"/>
                <w:sz w:val="18"/>
              </w:rPr>
              <w:t>own OE signature mimics CEBPB target program</w:t>
            </w:r>
          </w:p>
        </w:tc>
        <w:tc>
          <w:tcPr>
            <w:tcW w:type="dxa" w:w="1289"/>
          </w:tcPr>
          <w:p>
            <w:r/>
            <w:r>
              <w:rPr>
                <w:rFonts w:ascii="Times New Roman" w:hAnsi="Times New Roman"/>
                <w:b w:val="0"/>
                <w:i w:val="0"/>
                <w:sz w:val="18"/>
              </w:rPr>
              <w:t>no OE data</w:t>
            </w:r>
          </w:p>
        </w:tc>
        <w:tc>
          <w:tcPr>
            <w:tcW w:type="dxa" w:w="1289"/>
          </w:tcPr>
          <w:p>
            <w:r/>
            <w:r>
              <w:rPr>
                <w:rFonts w:ascii="Times New Roman" w:hAnsi="Times New Roman"/>
                <w:b w:val="0"/>
                <w:i w:val="0"/>
                <w:sz w:val="18"/>
              </w:rPr>
              <w:t>—</w:t>
            </w:r>
          </w:p>
        </w:tc>
        <w:tc>
          <w:tcPr>
            <w:tcW w:type="dxa" w:w="1289"/>
          </w:tcPr>
          <w:p>
            <w:r/>
            <w:r>
              <w:rPr>
                <w:rFonts w:ascii="Times New Roman" w:hAnsi="Times New Roman"/>
                <w:b w:val="0"/>
                <w:i w:val="0"/>
                <w:sz w:val="18"/>
              </w:rPr>
              <w:t>n/a</w:t>
            </w:r>
          </w:p>
        </w:tc>
        <w:tc>
          <w:tcPr>
            <w:tcW w:type="dxa" w:w="1289"/>
          </w:tcPr>
          <w:p>
            <w:r/>
            <w:r>
              <w:rPr>
                <w:rFonts w:ascii="Times New Roman" w:hAnsi="Times New Roman"/>
                <w:b w:val="0"/>
                <w:i w:val="0"/>
                <w:sz w:val="18"/>
              </w:rPr>
              <w:t>not in library</w:t>
            </w:r>
          </w:p>
        </w:tc>
      </w:tr>
      <w:tr>
        <w:tc>
          <w:tcPr>
            <w:tcW w:type="dxa" w:w="1292"/>
          </w:tcPr>
          <w:p>
            <w:r/>
            <w:r>
              <w:rPr>
                <w:rFonts w:ascii="Times New Roman" w:hAnsi="Times New Roman"/>
                <w:b w:val="0"/>
                <w:i w:val="0"/>
                <w:sz w:val="18"/>
              </w:rPr>
              <w:t>CRISPR-KD reverser</w:t>
            </w:r>
          </w:p>
        </w:tc>
        <w:tc>
          <w:tcPr>
            <w:tcW w:type="dxa" w:w="1289"/>
          </w:tcPr>
          <w:p>
            <w:r/>
            <w:r>
              <w:rPr>
                <w:rFonts w:ascii="Times New Roman" w:hAnsi="Times New Roman"/>
                <w:b w:val="0"/>
                <w:i w:val="0"/>
                <w:sz w:val="18"/>
              </w:rPr>
              <w:t>SOX10</w:t>
            </w:r>
          </w:p>
        </w:tc>
        <w:tc>
          <w:tcPr>
            <w:tcW w:type="dxa" w:w="1289"/>
          </w:tcPr>
          <w:p>
            <w:r/>
            <w:r>
              <w:rPr>
                <w:rFonts w:ascii="Times New Roman" w:hAnsi="Times New Roman"/>
                <w:b w:val="0"/>
                <w:i w:val="0"/>
                <w:sz w:val="18"/>
              </w:rPr>
              <w:t>own KO signature reverses SOX10 target program</w:t>
            </w:r>
          </w:p>
        </w:tc>
        <w:tc>
          <w:tcPr>
            <w:tcW w:type="dxa" w:w="1289"/>
          </w:tcPr>
          <w:p>
            <w:r/>
            <w:r>
              <w:rPr>
                <w:rFonts w:ascii="Times New Roman" w:hAnsi="Times New Roman"/>
                <w:b w:val="0"/>
                <w:i w:val="0"/>
                <w:sz w:val="18"/>
              </w:rPr>
              <w:t>top 0.90 %</w:t>
            </w:r>
          </w:p>
        </w:tc>
        <w:tc>
          <w:tcPr>
            <w:tcW w:type="dxa" w:w="1289"/>
          </w:tcPr>
          <w:p>
            <w:r/>
            <w:r>
              <w:rPr>
                <w:rFonts w:ascii="Times New Roman" w:hAnsi="Times New Roman"/>
                <w:b w:val="0"/>
                <w:i w:val="0"/>
                <w:sz w:val="18"/>
              </w:rPr>
              <w:t>—</w:t>
            </w:r>
          </w:p>
        </w:tc>
        <w:tc>
          <w:tcPr>
            <w:tcW w:type="dxa" w:w="1289"/>
          </w:tcPr>
          <w:p>
            <w:r/>
            <w:r>
              <w:rPr>
                <w:rFonts w:ascii="Times New Roman" w:hAnsi="Times New Roman"/>
                <w:b w:val="0"/>
                <w:i w:val="0"/>
                <w:sz w:val="18"/>
              </w:rPr>
              <w:t>No (self ≈ cross)</w:t>
            </w:r>
          </w:p>
        </w:tc>
        <w:tc>
          <w:tcPr>
            <w:tcW w:type="dxa" w:w="1289"/>
          </w:tcPr>
          <w:p>
            <w:r/>
            <w:r>
              <w:rPr>
                <w:rFonts w:ascii="Times New Roman" w:hAnsi="Times New Roman"/>
                <w:b w:val="0"/>
                <w:i w:val="0"/>
                <w:sz w:val="18"/>
              </w:rPr>
              <w:t>directionally correct</w:t>
            </w:r>
          </w:p>
        </w:tc>
      </w:tr>
      <w:tr>
        <w:tc>
          <w:tcPr>
            <w:tcW w:type="dxa" w:w="1292"/>
          </w:tcPr>
          <w:p>
            <w:r/>
            <w:r>
              <w:rPr>
                <w:rFonts w:ascii="Times New Roman" w:hAnsi="Times New Roman"/>
                <w:b w:val="0"/>
                <w:i w:val="0"/>
                <w:sz w:val="18"/>
              </w:rPr>
              <w:t>CRISPR-KD reverser</w:t>
            </w:r>
          </w:p>
        </w:tc>
        <w:tc>
          <w:tcPr>
            <w:tcW w:type="dxa" w:w="1289"/>
          </w:tcPr>
          <w:p>
            <w:r/>
            <w:r>
              <w:rPr>
                <w:rFonts w:ascii="Times New Roman" w:hAnsi="Times New Roman"/>
                <w:b w:val="0"/>
                <w:i w:val="0"/>
                <w:sz w:val="18"/>
              </w:rPr>
              <w:t>CEBPB</w:t>
            </w:r>
          </w:p>
        </w:tc>
        <w:tc>
          <w:tcPr>
            <w:tcW w:type="dxa" w:w="1289"/>
          </w:tcPr>
          <w:p>
            <w:r/>
            <w:r>
              <w:rPr>
                <w:rFonts w:ascii="Times New Roman" w:hAnsi="Times New Roman"/>
                <w:b w:val="0"/>
                <w:i w:val="0"/>
                <w:sz w:val="18"/>
              </w:rPr>
              <w:t>own KO signature reverses CEBPB target program</w:t>
            </w:r>
          </w:p>
        </w:tc>
        <w:tc>
          <w:tcPr>
            <w:tcW w:type="dxa" w:w="1289"/>
          </w:tcPr>
          <w:p>
            <w:r/>
            <w:r>
              <w:rPr>
                <w:rFonts w:ascii="Times New Roman" w:hAnsi="Times New Roman"/>
                <w:b w:val="0"/>
                <w:i w:val="0"/>
                <w:sz w:val="18"/>
              </w:rPr>
              <w:t>top 0.46 %</w:t>
            </w:r>
          </w:p>
        </w:tc>
        <w:tc>
          <w:tcPr>
            <w:tcW w:type="dxa" w:w="1289"/>
          </w:tcPr>
          <w:p>
            <w:r/>
            <w:r>
              <w:rPr>
                <w:rFonts w:ascii="Times New Roman" w:hAnsi="Times New Roman"/>
                <w:b w:val="0"/>
                <w:i w:val="0"/>
                <w:sz w:val="18"/>
              </w:rPr>
              <w:t>—</w:t>
            </w:r>
          </w:p>
        </w:tc>
        <w:tc>
          <w:tcPr>
            <w:tcW w:type="dxa" w:w="1289"/>
          </w:tcPr>
          <w:p>
            <w:r/>
            <w:r>
              <w:rPr>
                <w:rFonts w:ascii="Times New Roman" w:hAnsi="Times New Roman"/>
                <w:b w:val="0"/>
                <w:i w:val="0"/>
                <w:sz w:val="18"/>
              </w:rPr>
              <w:t>No</w:t>
            </w:r>
          </w:p>
        </w:tc>
        <w:tc>
          <w:tcPr>
            <w:tcW w:type="dxa" w:w="1289"/>
          </w:tcPr>
          <w:p>
            <w:r/>
            <w:r>
              <w:rPr>
                <w:rFonts w:ascii="Times New Roman" w:hAnsi="Times New Roman"/>
                <w:b w:val="0"/>
                <w:i w:val="0"/>
                <w:sz w:val="18"/>
              </w:rPr>
              <w:t>directionally correct</w:t>
            </w:r>
          </w:p>
        </w:tc>
      </w:tr>
      <w:tr>
        <w:tc>
          <w:tcPr>
            <w:tcW w:type="dxa" w:w="1292"/>
          </w:tcPr>
          <w:p>
            <w:r/>
            <w:r>
              <w:rPr>
                <w:rFonts w:ascii="Times New Roman" w:hAnsi="Times New Roman"/>
                <w:b w:val="0"/>
                <w:i w:val="0"/>
                <w:sz w:val="18"/>
              </w:rPr>
              <w:t>CRISPR-KD reverser</w:t>
            </w:r>
          </w:p>
        </w:tc>
        <w:tc>
          <w:tcPr>
            <w:tcW w:type="dxa" w:w="1289"/>
          </w:tcPr>
          <w:p>
            <w:r/>
            <w:r>
              <w:rPr>
                <w:rFonts w:ascii="Times New Roman" w:hAnsi="Times New Roman"/>
                <w:b w:val="0"/>
                <w:i w:val="0"/>
                <w:sz w:val="18"/>
              </w:rPr>
              <w:t>GATA2</w:t>
            </w:r>
          </w:p>
        </w:tc>
        <w:tc>
          <w:tcPr>
            <w:tcW w:type="dxa" w:w="1289"/>
          </w:tcPr>
          <w:p>
            <w:r/>
            <w:r>
              <w:rPr>
                <w:rFonts w:ascii="Times New Roman" w:hAnsi="Times New Roman"/>
                <w:b w:val="0"/>
                <w:i w:val="0"/>
                <w:sz w:val="18"/>
              </w:rPr>
              <w:t>own KO signature reverses GATA2 target program</w:t>
            </w:r>
          </w:p>
        </w:tc>
        <w:tc>
          <w:tcPr>
            <w:tcW w:type="dxa" w:w="1289"/>
          </w:tcPr>
          <w:p>
            <w:r/>
            <w:r>
              <w:rPr>
                <w:rFonts w:ascii="Times New Roman" w:hAnsi="Times New Roman"/>
                <w:b w:val="0"/>
                <w:i w:val="0"/>
                <w:sz w:val="18"/>
              </w:rPr>
              <w:t>top 1.17 %</w:t>
            </w:r>
          </w:p>
        </w:tc>
        <w:tc>
          <w:tcPr>
            <w:tcW w:type="dxa" w:w="1289"/>
          </w:tcPr>
          <w:p>
            <w:r/>
            <w:r>
              <w:rPr>
                <w:rFonts w:ascii="Times New Roman" w:hAnsi="Times New Roman"/>
                <w:b w:val="0"/>
                <w:i w:val="0"/>
                <w:sz w:val="18"/>
              </w:rPr>
              <w:t>—</w:t>
            </w:r>
          </w:p>
        </w:tc>
        <w:tc>
          <w:tcPr>
            <w:tcW w:type="dxa" w:w="1289"/>
          </w:tcPr>
          <w:p>
            <w:r/>
            <w:r>
              <w:rPr>
                <w:rFonts w:ascii="Times New Roman" w:hAnsi="Times New Roman"/>
                <w:b w:val="0"/>
                <w:i w:val="0"/>
                <w:sz w:val="18"/>
              </w:rPr>
              <w:t>No</w:t>
            </w:r>
          </w:p>
        </w:tc>
        <w:tc>
          <w:tcPr>
            <w:tcW w:type="dxa" w:w="1289"/>
          </w:tcPr>
          <w:p>
            <w:r/>
            <w:r>
              <w:rPr>
                <w:rFonts w:ascii="Times New Roman" w:hAnsi="Times New Roman"/>
                <w:b w:val="0"/>
                <w:i w:val="0"/>
                <w:sz w:val="18"/>
              </w:rPr>
              <w:t>directionally correct</w:t>
            </w:r>
          </w:p>
        </w:tc>
      </w:tr>
    </w:tbl>
    <w:p/>
    <w:p>
      <w:r>
        <w:rPr>
          <w:rFonts w:ascii="Times New Roman" w:hAnsi="Times New Roman"/>
          <w:b/>
          <w:i w:val="0"/>
          <w:sz w:val="22"/>
        </w:rPr>
        <w:t>Table S7.</w:t>
      </w:r>
      <w:r>
        <w:rPr>
          <w:rFonts w:ascii="Times New Roman" w:hAnsi="Times New Roman"/>
          <w:b w:val="0"/>
          <w:i w:val="0"/>
          <w:sz w:val="22"/>
        </w:rPr>
        <w:t xml:space="preserve"> K562 sc-CRISPR: regulon-response results</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1506"/>
            <w:shd w:val="clear" w:color="auto" w:fill="D9E2F3"/>
          </w:tcPr>
          <w:p>
            <w:r>
              <w:rPr>
                <w:b/>
              </w:rPr>
            </w:r>
            <w:r>
              <w:rPr>
                <w:rFonts w:ascii="Times New Roman" w:hAnsi="Times New Roman"/>
                <w:b/>
                <w:i w:val="0"/>
                <w:sz w:val="18"/>
              </w:rPr>
              <w:t>TF</w:t>
            </w:r>
          </w:p>
        </w:tc>
        <w:tc>
          <w:tcPr>
            <w:tcW w:type="dxa" w:w="1504"/>
            <w:shd w:val="clear" w:color="auto" w:fill="D9E2F3"/>
          </w:tcPr>
          <w:p>
            <w:r>
              <w:rPr>
                <w:b/>
              </w:rPr>
            </w:r>
            <w:r>
              <w:rPr>
                <w:rFonts w:ascii="Times New Roman" w:hAnsi="Times New Roman"/>
                <w:b/>
                <w:i w:val="0"/>
                <w:sz w:val="18"/>
              </w:rPr>
              <w:t>self-Z (on-target)</w:t>
            </w:r>
          </w:p>
        </w:tc>
        <w:tc>
          <w:tcPr>
            <w:tcW w:type="dxa" w:w="1504"/>
            <w:shd w:val="clear" w:color="auto" w:fill="D9E2F3"/>
          </w:tcPr>
          <w:p>
            <w:r>
              <w:rPr>
                <w:b/>
              </w:rPr>
            </w:r>
            <w:r>
              <w:rPr>
                <w:rFonts w:ascii="Times New Roman" w:hAnsi="Times New Roman"/>
                <w:b/>
                <w:i w:val="0"/>
                <w:sz w:val="18"/>
              </w:rPr>
              <w:t>regulon mean-Z</w:t>
            </w:r>
          </w:p>
        </w:tc>
        <w:tc>
          <w:tcPr>
            <w:tcW w:type="dxa" w:w="1504"/>
            <w:shd w:val="clear" w:color="auto" w:fill="D9E2F3"/>
          </w:tcPr>
          <w:p>
            <w:r>
              <w:rPr>
                <w:b/>
              </w:rPr>
            </w:r>
            <w:r>
              <w:rPr>
                <w:rFonts w:ascii="Times New Roman" w:hAnsi="Times New Roman"/>
                <w:b/>
                <w:i w:val="0"/>
                <w:sz w:val="18"/>
              </w:rPr>
              <w:t>MWU p</w:t>
            </w:r>
          </w:p>
        </w:tc>
        <w:tc>
          <w:tcPr>
            <w:tcW w:type="dxa" w:w="1504"/>
            <w:shd w:val="clear" w:color="auto" w:fill="D9E2F3"/>
          </w:tcPr>
          <w:p>
            <w:r>
              <w:rPr>
                <w:b/>
              </w:rPr>
            </w:r>
            <w:r>
              <w:rPr>
                <w:rFonts w:ascii="Times New Roman" w:hAnsi="Times New Roman"/>
                <w:b/>
                <w:i w:val="0"/>
                <w:sz w:val="18"/>
              </w:rPr>
              <w:t>rank / 332</w:t>
            </w:r>
          </w:p>
        </w:tc>
        <w:tc>
          <w:tcPr>
            <w:tcW w:type="dxa" w:w="1504"/>
            <w:shd w:val="clear" w:color="auto" w:fill="D9E2F3"/>
          </w:tcPr>
          <w:p>
            <w:r>
              <w:rPr>
                <w:b/>
              </w:rPr>
            </w:r>
            <w:r>
              <w:rPr>
                <w:rFonts w:ascii="Times New Roman" w:hAnsi="Times New Roman"/>
                <w:b/>
                <w:i w:val="0"/>
                <w:sz w:val="18"/>
              </w:rPr>
              <w:t>K562 context</w:t>
            </w:r>
          </w:p>
        </w:tc>
      </w:tr>
      <w:tr>
        <w:tc>
          <w:tcPr>
            <w:tcW w:type="dxa" w:w="1506"/>
          </w:tcPr>
          <w:p>
            <w:r/>
            <w:r>
              <w:rPr>
                <w:rFonts w:ascii="Times New Roman" w:hAnsi="Times New Roman"/>
                <w:b/>
                <w:i w:val="0"/>
                <w:sz w:val="18"/>
              </w:rPr>
              <w:t>SOX10</w:t>
            </w:r>
          </w:p>
        </w:tc>
        <w:tc>
          <w:tcPr>
            <w:tcW w:type="dxa" w:w="1504"/>
          </w:tcPr>
          <w:p>
            <w:r/>
            <w:r>
              <w:rPr>
                <w:rFonts w:ascii="Times New Roman" w:hAnsi="Times New Roman"/>
                <w:b w:val="0"/>
                <w:i w:val="0"/>
                <w:sz w:val="18"/>
              </w:rPr>
              <w:t>absent (locus not in K562)</w:t>
            </w:r>
          </w:p>
        </w:tc>
        <w:tc>
          <w:tcPr>
            <w:tcW w:type="dxa" w:w="1504"/>
          </w:tcPr>
          <w:p>
            <w:r/>
            <w:r>
              <w:rPr>
                <w:rFonts w:ascii="Times New Roman" w:hAnsi="Times New Roman"/>
                <w:b w:val="0"/>
                <w:i w:val="0"/>
                <w:sz w:val="18"/>
              </w:rPr>
              <w:t>+0.018</w:t>
            </w:r>
          </w:p>
        </w:tc>
        <w:tc>
          <w:tcPr>
            <w:tcW w:type="dxa" w:w="1504"/>
          </w:tcPr>
          <w:p>
            <w:r/>
            <w:r>
              <w:rPr>
                <w:rFonts w:ascii="Times New Roman" w:hAnsi="Times New Roman"/>
                <w:b w:val="0"/>
                <w:i w:val="0"/>
                <w:sz w:val="18"/>
              </w:rPr>
              <w:t>0.91</w:t>
            </w:r>
          </w:p>
        </w:tc>
        <w:tc>
          <w:tcPr>
            <w:tcW w:type="dxa" w:w="1504"/>
          </w:tcPr>
          <w:p>
            <w:r/>
            <w:r>
              <w:rPr>
                <w:rFonts w:ascii="Times New Roman" w:hAnsi="Times New Roman"/>
                <w:b w:val="0"/>
                <w:i w:val="0"/>
                <w:sz w:val="18"/>
              </w:rPr>
              <w:t>304</w:t>
            </w:r>
          </w:p>
        </w:tc>
        <w:tc>
          <w:tcPr>
            <w:tcW w:type="dxa" w:w="1504"/>
          </w:tcPr>
          <w:p>
            <w:r/>
            <w:r>
              <w:rPr>
                <w:rFonts w:ascii="Times New Roman" w:hAnsi="Times New Roman"/>
                <w:b w:val="0"/>
                <w:i w:val="0"/>
                <w:sz w:val="18"/>
              </w:rPr>
              <w:t>not expressed</w:t>
            </w:r>
          </w:p>
        </w:tc>
      </w:tr>
      <w:tr>
        <w:tc>
          <w:tcPr>
            <w:tcW w:type="dxa" w:w="1506"/>
          </w:tcPr>
          <w:p>
            <w:r/>
            <w:r>
              <w:rPr>
                <w:rFonts w:ascii="Times New Roman" w:hAnsi="Times New Roman"/>
                <w:b/>
                <w:i w:val="0"/>
                <w:sz w:val="18"/>
              </w:rPr>
              <w:t>CEBPB</w:t>
            </w:r>
          </w:p>
        </w:tc>
        <w:tc>
          <w:tcPr>
            <w:tcW w:type="dxa" w:w="1504"/>
          </w:tcPr>
          <w:p>
            <w:r/>
            <w:r>
              <w:rPr>
                <w:rFonts w:ascii="Times New Roman" w:hAnsi="Times New Roman"/>
                <w:b w:val="0"/>
                <w:i w:val="0"/>
                <w:sz w:val="18"/>
              </w:rPr>
              <w:t>−0.43</w:t>
            </w:r>
          </w:p>
        </w:tc>
        <w:tc>
          <w:tcPr>
            <w:tcW w:type="dxa" w:w="1504"/>
          </w:tcPr>
          <w:p>
            <w:r/>
            <w:r>
              <w:rPr>
                <w:rFonts w:ascii="Times New Roman" w:hAnsi="Times New Roman"/>
                <w:b w:val="0"/>
                <w:i w:val="0"/>
                <w:sz w:val="18"/>
              </w:rPr>
              <w:t>+0.007</w:t>
            </w:r>
          </w:p>
        </w:tc>
        <w:tc>
          <w:tcPr>
            <w:tcW w:type="dxa" w:w="1504"/>
          </w:tcPr>
          <w:p>
            <w:r/>
            <w:r>
              <w:rPr>
                <w:rFonts w:ascii="Times New Roman" w:hAnsi="Times New Roman"/>
                <w:b w:val="0"/>
                <w:i w:val="0"/>
                <w:sz w:val="18"/>
              </w:rPr>
              <w:t>0.84</w:t>
            </w:r>
          </w:p>
        </w:tc>
        <w:tc>
          <w:tcPr>
            <w:tcW w:type="dxa" w:w="1504"/>
          </w:tcPr>
          <w:p>
            <w:r/>
            <w:r>
              <w:rPr>
                <w:rFonts w:ascii="Times New Roman" w:hAnsi="Times New Roman"/>
                <w:b w:val="0"/>
                <w:i w:val="0"/>
                <w:sz w:val="18"/>
              </w:rPr>
              <w:t>239</w:t>
            </w:r>
          </w:p>
        </w:tc>
        <w:tc>
          <w:tcPr>
            <w:tcW w:type="dxa" w:w="1504"/>
          </w:tcPr>
          <w:p>
            <w:r/>
            <w:r>
              <w:rPr>
                <w:rFonts w:ascii="Times New Roman" w:hAnsi="Times New Roman"/>
                <w:b w:val="0"/>
                <w:i w:val="0"/>
                <w:sz w:val="18"/>
              </w:rPr>
              <w:t>partial</w:t>
            </w:r>
          </w:p>
        </w:tc>
      </w:tr>
      <w:tr>
        <w:tc>
          <w:tcPr>
            <w:tcW w:type="dxa" w:w="1506"/>
          </w:tcPr>
          <w:p>
            <w:r/>
            <w:r>
              <w:rPr>
                <w:rFonts w:ascii="Times New Roman" w:hAnsi="Times New Roman"/>
                <w:b/>
                <w:i w:val="0"/>
                <w:sz w:val="18"/>
              </w:rPr>
              <w:t>GATA2</w:t>
            </w:r>
          </w:p>
        </w:tc>
        <w:tc>
          <w:tcPr>
            <w:tcW w:type="dxa" w:w="1504"/>
          </w:tcPr>
          <w:p>
            <w:r/>
            <w:r>
              <w:rPr>
                <w:rFonts w:ascii="Times New Roman" w:hAnsi="Times New Roman"/>
                <w:b w:val="0"/>
                <w:i w:val="0"/>
                <w:sz w:val="18"/>
              </w:rPr>
              <w:t>−0.19</w:t>
            </w:r>
          </w:p>
        </w:tc>
        <w:tc>
          <w:tcPr>
            <w:tcW w:type="dxa" w:w="1504"/>
          </w:tcPr>
          <w:p>
            <w:r/>
            <w:r>
              <w:rPr>
                <w:rFonts w:ascii="Times New Roman" w:hAnsi="Times New Roman"/>
                <w:b w:val="0"/>
                <w:i w:val="0"/>
                <w:sz w:val="18"/>
              </w:rPr>
              <w:t>+0.004</w:t>
            </w:r>
          </w:p>
        </w:tc>
        <w:tc>
          <w:tcPr>
            <w:tcW w:type="dxa" w:w="1504"/>
          </w:tcPr>
          <w:p>
            <w:r/>
            <w:r>
              <w:rPr>
                <w:rFonts w:ascii="Times New Roman" w:hAnsi="Times New Roman"/>
                <w:b w:val="0"/>
                <w:i w:val="0"/>
                <w:sz w:val="18"/>
              </w:rPr>
              <w:t>0.18</w:t>
            </w:r>
          </w:p>
        </w:tc>
        <w:tc>
          <w:tcPr>
            <w:tcW w:type="dxa" w:w="1504"/>
          </w:tcPr>
          <w:p>
            <w:r/>
            <w:r>
              <w:rPr>
                <w:rFonts w:ascii="Times New Roman" w:hAnsi="Times New Roman"/>
                <w:b w:val="0"/>
                <w:i w:val="0"/>
                <w:sz w:val="18"/>
              </w:rPr>
              <w:t>139</w:t>
            </w:r>
          </w:p>
        </w:tc>
        <w:tc>
          <w:tcPr>
            <w:tcW w:type="dxa" w:w="1504"/>
          </w:tcPr>
          <w:p>
            <w:r/>
            <w:r>
              <w:rPr>
                <w:rFonts w:ascii="Times New Roman" w:hAnsi="Times New Roman"/>
                <w:b w:val="0"/>
                <w:i w:val="0"/>
                <w:sz w:val="18"/>
              </w:rPr>
              <w:t>in-context, yet null</w:t>
            </w:r>
          </w:p>
        </w:tc>
      </w:tr>
    </w:tbl>
    <w:p/>
    <w:p>
      <w:r>
        <w:rPr>
          <w:rFonts w:ascii="Times New Roman" w:hAnsi="Times New Roman"/>
          <w:b/>
          <w:i w:val="0"/>
          <w:sz w:val="22"/>
        </w:rPr>
        <w:t>Table S8.</w:t>
      </w:r>
      <w:r>
        <w:rPr>
          <w:rFonts w:ascii="Times New Roman" w:hAnsi="Times New Roman"/>
          <w:b w:val="0"/>
          <w:i w:val="0"/>
          <w:sz w:val="22"/>
        </w:rPr>
        <w:t xml:space="preserve"> K562 positive-control regulon response</w:t>
      </w:r>
    </w:p>
    <w:tbl>
      <w:tblPr>
        <w:tblStyle w:val="TableGrid"/>
        <w:tblW w:type="auto" w:w="0"/>
        <w:jc w:val="center"/>
        <w:tblLayout w:type="fixed"/>
        <w:tblLook w:firstColumn="1" w:firstRow="1" w:lastColumn="0" w:lastRow="0" w:noHBand="0" w:noVBand="1" w:val="04A0"/>
      </w:tblPr>
      <w:tblGrid>
        <w:gridCol w:w="1289"/>
        <w:gridCol w:w="1289"/>
        <w:gridCol w:w="1289"/>
        <w:gridCol w:w="1289"/>
        <w:gridCol w:w="1289"/>
        <w:gridCol w:w="1289"/>
        <w:gridCol w:w="1289"/>
      </w:tblGrid>
      <w:tr>
        <w:tc>
          <w:tcPr>
            <w:tcW w:type="dxa" w:w="1292"/>
            <w:shd w:val="clear" w:color="auto" w:fill="D9E2F3"/>
          </w:tcPr>
          <w:p>
            <w:r>
              <w:rPr>
                <w:b/>
              </w:rPr>
            </w:r>
            <w:r>
              <w:rPr>
                <w:rFonts w:ascii="Times New Roman" w:hAnsi="Times New Roman"/>
                <w:b/>
                <w:i w:val="0"/>
                <w:sz w:val="18"/>
              </w:rPr>
              <w:t>K562 TF</w:t>
            </w:r>
          </w:p>
        </w:tc>
        <w:tc>
          <w:tcPr>
            <w:tcW w:type="dxa" w:w="1289"/>
            <w:shd w:val="clear" w:color="auto" w:fill="D9E2F3"/>
          </w:tcPr>
          <w:p>
            <w:r>
              <w:rPr>
                <w:b/>
              </w:rPr>
            </w:r>
            <w:r>
              <w:rPr>
                <w:rFonts w:ascii="Times New Roman" w:hAnsi="Times New Roman"/>
                <w:b/>
                <w:i w:val="0"/>
                <w:sz w:val="18"/>
              </w:rPr>
              <w:t>Test</w:t>
            </w:r>
          </w:p>
        </w:tc>
        <w:tc>
          <w:tcPr>
            <w:tcW w:type="dxa" w:w="1289"/>
            <w:shd w:val="clear" w:color="auto" w:fill="D9E2F3"/>
          </w:tcPr>
          <w:p>
            <w:r>
              <w:rPr>
                <w:b/>
              </w:rPr>
            </w:r>
            <w:r>
              <w:rPr>
                <w:rFonts w:ascii="Times New Roman" w:hAnsi="Times New Roman"/>
                <w:b/>
                <w:i w:val="0"/>
                <w:sz w:val="18"/>
              </w:rPr>
              <w:t>Rank / 332</w:t>
            </w:r>
          </w:p>
        </w:tc>
        <w:tc>
          <w:tcPr>
            <w:tcW w:type="dxa" w:w="1289"/>
            <w:shd w:val="clear" w:color="auto" w:fill="D9E2F3"/>
          </w:tcPr>
          <w:p>
            <w:r>
              <w:rPr>
                <w:b/>
              </w:rPr>
            </w:r>
            <w:r>
              <w:rPr>
                <w:rFonts w:ascii="Times New Roman" w:hAnsi="Times New Roman"/>
                <w:b/>
                <w:i w:val="0"/>
                <w:sz w:val="18"/>
              </w:rPr>
              <w:t>MWU p</w:t>
            </w:r>
          </w:p>
        </w:tc>
        <w:tc>
          <w:tcPr>
            <w:tcW w:type="dxa" w:w="1289"/>
            <w:shd w:val="clear" w:color="auto" w:fill="D9E2F3"/>
          </w:tcPr>
          <w:p>
            <w:r>
              <w:rPr>
                <w:b/>
              </w:rPr>
            </w:r>
            <w:r>
              <w:rPr>
                <w:rFonts w:ascii="Times New Roman" w:hAnsi="Times New Roman"/>
                <w:b/>
                <w:i w:val="0"/>
                <w:sz w:val="18"/>
              </w:rPr>
              <w:t>self-Z (on-target)</w:t>
            </w:r>
          </w:p>
        </w:tc>
        <w:tc>
          <w:tcPr>
            <w:tcW w:type="dxa" w:w="1289"/>
            <w:shd w:val="clear" w:color="auto" w:fill="D9E2F3"/>
          </w:tcPr>
          <w:p>
            <w:r>
              <w:rPr>
                <w:b/>
              </w:rPr>
            </w:r>
            <w:r>
              <w:rPr>
                <w:rFonts w:ascii="Times New Roman" w:hAnsi="Times New Roman"/>
                <w:b/>
                <w:i w:val="0"/>
                <w:sz w:val="18"/>
              </w:rPr>
              <w:t>regulon mean-Z</w:t>
            </w:r>
          </w:p>
        </w:tc>
        <w:tc>
          <w:tcPr>
            <w:tcW w:type="dxa" w:w="1289"/>
            <w:shd w:val="clear" w:color="auto" w:fill="D9E2F3"/>
          </w:tcPr>
          <w:p>
            <w:r>
              <w:rPr>
                <w:b/>
              </w:rPr>
            </w:r>
            <w:r>
              <w:rPr>
                <w:rFonts w:ascii="Times New Roman" w:hAnsi="Times New Roman"/>
                <w:b/>
                <w:i w:val="0"/>
                <w:sz w:val="18"/>
              </w:rPr>
              <w:t>Interpretation</w:t>
            </w:r>
          </w:p>
        </w:tc>
      </w:tr>
      <w:tr>
        <w:tc>
          <w:tcPr>
            <w:tcW w:type="dxa" w:w="1292"/>
          </w:tcPr>
          <w:p>
            <w:r/>
            <w:r>
              <w:rPr>
                <w:rFonts w:ascii="Times New Roman" w:hAnsi="Times New Roman"/>
                <w:b w:val="0"/>
                <w:i w:val="0"/>
                <w:sz w:val="18"/>
              </w:rPr>
              <w:t>MYC</w:t>
            </w:r>
          </w:p>
        </w:tc>
        <w:tc>
          <w:tcPr>
            <w:tcW w:type="dxa" w:w="1289"/>
          </w:tcPr>
          <w:p>
            <w:r/>
            <w:r>
              <w:rPr>
                <w:rFonts w:ascii="Times New Roman" w:hAnsi="Times New Roman"/>
                <w:b w:val="0"/>
                <w:i w:val="0"/>
                <w:sz w:val="18"/>
              </w:rPr>
              <w:t>positive control</w:t>
            </w:r>
          </w:p>
        </w:tc>
        <w:tc>
          <w:tcPr>
            <w:tcW w:type="dxa" w:w="1289"/>
          </w:tcPr>
          <w:p>
            <w:r/>
            <w:r>
              <w:rPr>
                <w:rFonts w:ascii="Times New Roman" w:hAnsi="Times New Roman"/>
                <w:b w:val="0"/>
                <w:i w:val="0"/>
                <w:sz w:val="18"/>
              </w:rPr>
              <w:t>19</w:t>
            </w:r>
          </w:p>
        </w:tc>
        <w:tc>
          <w:tcPr>
            <w:tcW w:type="dxa" w:w="1289"/>
          </w:tcPr>
          <w:p>
            <w:r/>
            <w:r>
              <w:rPr>
                <w:rFonts w:ascii="Times New Roman" w:hAnsi="Times New Roman"/>
                <w:b w:val="0"/>
                <w:i w:val="0"/>
                <w:sz w:val="18"/>
              </w:rPr>
              <w:t>3.1 × 10⁻³</w:t>
            </w:r>
          </w:p>
        </w:tc>
        <w:tc>
          <w:tcPr>
            <w:tcW w:type="dxa" w:w="1289"/>
          </w:tcPr>
          <w:p>
            <w:r/>
            <w:r>
              <w:rPr>
                <w:rFonts w:ascii="Times New Roman" w:hAnsi="Times New Roman"/>
                <w:b w:val="0"/>
                <w:i w:val="0"/>
                <w:sz w:val="18"/>
              </w:rPr>
              <w:t>n/r</w:t>
            </w:r>
          </w:p>
        </w:tc>
        <w:tc>
          <w:tcPr>
            <w:tcW w:type="dxa" w:w="1289"/>
          </w:tcPr>
          <w:p>
            <w:r/>
            <w:r>
              <w:rPr>
                <w:rFonts w:ascii="Times New Roman" w:hAnsi="Times New Roman"/>
                <w:b w:val="0"/>
                <w:i w:val="0"/>
                <w:sz w:val="18"/>
              </w:rPr>
              <w:t>down-shift</w:t>
            </w:r>
          </w:p>
        </w:tc>
        <w:tc>
          <w:tcPr>
            <w:tcW w:type="dxa" w:w="1289"/>
          </w:tcPr>
          <w:p>
            <w:r/>
            <w:r>
              <w:rPr>
                <w:rFonts w:ascii="Times New Roman" w:hAnsi="Times New Roman"/>
                <w:b w:val="0"/>
                <w:i w:val="0"/>
                <w:sz w:val="18"/>
              </w:rPr>
              <w:t>significant down-shift ✓</w:t>
            </w:r>
          </w:p>
        </w:tc>
      </w:tr>
      <w:tr>
        <w:tc>
          <w:tcPr>
            <w:tcW w:type="dxa" w:w="1292"/>
          </w:tcPr>
          <w:p>
            <w:r/>
            <w:r>
              <w:rPr>
                <w:rFonts w:ascii="Times New Roman" w:hAnsi="Times New Roman"/>
                <w:b w:val="0"/>
                <w:i w:val="0"/>
                <w:sz w:val="18"/>
              </w:rPr>
              <w:t>BCL11A</w:t>
            </w:r>
          </w:p>
        </w:tc>
        <w:tc>
          <w:tcPr>
            <w:tcW w:type="dxa" w:w="1289"/>
          </w:tcPr>
          <w:p>
            <w:r/>
            <w:r>
              <w:rPr>
                <w:rFonts w:ascii="Times New Roman" w:hAnsi="Times New Roman"/>
                <w:b w:val="0"/>
                <w:i w:val="0"/>
                <w:sz w:val="18"/>
              </w:rPr>
              <w:t>positive control</w:t>
            </w:r>
          </w:p>
        </w:tc>
        <w:tc>
          <w:tcPr>
            <w:tcW w:type="dxa" w:w="1289"/>
          </w:tcPr>
          <w:p>
            <w:r/>
            <w:r>
              <w:rPr>
                <w:rFonts w:ascii="Times New Roman" w:hAnsi="Times New Roman"/>
                <w:b w:val="0"/>
                <w:i w:val="0"/>
                <w:sz w:val="18"/>
              </w:rPr>
              <w:t>29</w:t>
            </w:r>
          </w:p>
        </w:tc>
        <w:tc>
          <w:tcPr>
            <w:tcW w:type="dxa" w:w="1289"/>
          </w:tcPr>
          <w:p>
            <w:r/>
            <w:r>
              <w:rPr>
                <w:rFonts w:ascii="Times New Roman" w:hAnsi="Times New Roman"/>
                <w:b w:val="0"/>
                <w:i w:val="0"/>
                <w:sz w:val="18"/>
              </w:rPr>
              <w:t>7.5 × 10⁻³</w:t>
            </w:r>
          </w:p>
        </w:tc>
        <w:tc>
          <w:tcPr>
            <w:tcW w:type="dxa" w:w="1289"/>
          </w:tcPr>
          <w:p>
            <w:r/>
            <w:r>
              <w:rPr>
                <w:rFonts w:ascii="Times New Roman" w:hAnsi="Times New Roman"/>
                <w:b w:val="0"/>
                <w:i w:val="0"/>
                <w:sz w:val="18"/>
              </w:rPr>
              <w:t>n/r</w:t>
            </w:r>
          </w:p>
        </w:tc>
        <w:tc>
          <w:tcPr>
            <w:tcW w:type="dxa" w:w="1289"/>
          </w:tcPr>
          <w:p>
            <w:r/>
            <w:r>
              <w:rPr>
                <w:rFonts w:ascii="Times New Roman" w:hAnsi="Times New Roman"/>
                <w:b w:val="0"/>
                <w:i w:val="0"/>
                <w:sz w:val="18"/>
              </w:rPr>
              <w:t>down-shift</w:t>
            </w:r>
          </w:p>
        </w:tc>
        <w:tc>
          <w:tcPr>
            <w:tcW w:type="dxa" w:w="1289"/>
          </w:tcPr>
          <w:p>
            <w:r/>
            <w:r>
              <w:rPr>
                <w:rFonts w:ascii="Times New Roman" w:hAnsi="Times New Roman"/>
                <w:b w:val="0"/>
                <w:i w:val="0"/>
                <w:sz w:val="18"/>
              </w:rPr>
              <w:t>significant down-shift ✓</w:t>
            </w:r>
          </w:p>
        </w:tc>
      </w:tr>
      <w:tr>
        <w:tc>
          <w:tcPr>
            <w:tcW w:type="dxa" w:w="1292"/>
          </w:tcPr>
          <w:p>
            <w:r/>
            <w:r>
              <w:rPr>
                <w:rFonts w:ascii="Times New Roman" w:hAnsi="Times New Roman"/>
                <w:b w:val="0"/>
                <w:i w:val="0"/>
                <w:sz w:val="18"/>
              </w:rPr>
              <w:t>GATA1</w:t>
            </w:r>
          </w:p>
        </w:tc>
        <w:tc>
          <w:tcPr>
            <w:tcW w:type="dxa" w:w="1289"/>
          </w:tcPr>
          <w:p>
            <w:r/>
            <w:r>
              <w:rPr>
                <w:rFonts w:ascii="Times New Roman" w:hAnsi="Times New Roman"/>
                <w:b w:val="0"/>
                <w:i w:val="0"/>
                <w:sz w:val="18"/>
              </w:rPr>
              <w:t>in-context erythroid master</w:t>
            </w:r>
          </w:p>
        </w:tc>
        <w:tc>
          <w:tcPr>
            <w:tcW w:type="dxa" w:w="1289"/>
          </w:tcPr>
          <w:p>
            <w:r/>
            <w:r>
              <w:rPr>
                <w:rFonts w:ascii="Times New Roman" w:hAnsi="Times New Roman"/>
                <w:b w:val="0"/>
                <w:i w:val="0"/>
                <w:sz w:val="18"/>
              </w:rPr>
              <w:t>187</w:t>
            </w:r>
          </w:p>
        </w:tc>
        <w:tc>
          <w:tcPr>
            <w:tcW w:type="dxa" w:w="1289"/>
          </w:tcPr>
          <w:p>
            <w:r/>
            <w:r>
              <w:rPr>
                <w:rFonts w:ascii="Times New Roman" w:hAnsi="Times New Roman"/>
                <w:b w:val="0"/>
                <w:i w:val="0"/>
                <w:sz w:val="18"/>
              </w:rPr>
              <w:t>n/r</w:t>
            </w:r>
          </w:p>
        </w:tc>
        <w:tc>
          <w:tcPr>
            <w:tcW w:type="dxa" w:w="1289"/>
          </w:tcPr>
          <w:p>
            <w:r/>
            <w:r>
              <w:rPr>
                <w:rFonts w:ascii="Times New Roman" w:hAnsi="Times New Roman"/>
                <w:b w:val="0"/>
                <w:i w:val="0"/>
                <w:sz w:val="18"/>
              </w:rPr>
              <w:t>−0.54</w:t>
            </w:r>
          </w:p>
        </w:tc>
        <w:tc>
          <w:tcPr>
            <w:tcW w:type="dxa" w:w="1289"/>
          </w:tcPr>
          <w:p>
            <w:r/>
            <w:r>
              <w:rPr>
                <w:rFonts w:ascii="Times New Roman" w:hAnsi="Times New Roman"/>
                <w:b w:val="0"/>
                <w:i w:val="0"/>
                <w:sz w:val="18"/>
              </w:rPr>
              <w:t>+0.27</w:t>
            </w:r>
          </w:p>
        </w:tc>
        <w:tc>
          <w:tcPr>
            <w:tcW w:type="dxa" w:w="1289"/>
          </w:tcPr>
          <w:p>
            <w:r/>
            <w:r>
              <w:rPr>
                <w:rFonts w:ascii="Times New Roman" w:hAnsi="Times New Roman"/>
                <w:b w:val="0"/>
                <w:i w:val="0"/>
                <w:sz w:val="18"/>
              </w:rPr>
              <w:t>on-target, regulon null (coarse proxy)</w:t>
            </w:r>
          </w:p>
        </w:tc>
      </w:tr>
      <w:tr>
        <w:tc>
          <w:tcPr>
            <w:tcW w:type="dxa" w:w="1292"/>
          </w:tcPr>
          <w:p>
            <w:r/>
            <w:r>
              <w:rPr>
                <w:rFonts w:ascii="Times New Roman" w:hAnsi="Times New Roman"/>
                <w:b w:val="0"/>
                <w:i w:val="0"/>
                <w:sz w:val="18"/>
              </w:rPr>
              <w:t>SOX10</w:t>
            </w:r>
          </w:p>
        </w:tc>
        <w:tc>
          <w:tcPr>
            <w:tcW w:type="dxa" w:w="1289"/>
          </w:tcPr>
          <w:p>
            <w:r/>
            <w:r>
              <w:rPr>
                <w:rFonts w:ascii="Times New Roman" w:hAnsi="Times New Roman"/>
                <w:b w:val="0"/>
                <w:i w:val="0"/>
                <w:sz w:val="18"/>
              </w:rPr>
              <w:t>focal stroke TF</w:t>
            </w:r>
          </w:p>
        </w:tc>
        <w:tc>
          <w:tcPr>
            <w:tcW w:type="dxa" w:w="1289"/>
          </w:tcPr>
          <w:p>
            <w:r/>
            <w:r>
              <w:rPr>
                <w:rFonts w:ascii="Times New Roman" w:hAnsi="Times New Roman"/>
                <w:b w:val="0"/>
                <w:i w:val="0"/>
                <w:sz w:val="18"/>
              </w:rPr>
              <w:t>304</w:t>
            </w:r>
          </w:p>
        </w:tc>
        <w:tc>
          <w:tcPr>
            <w:tcW w:type="dxa" w:w="1289"/>
          </w:tcPr>
          <w:p>
            <w:r/>
            <w:r>
              <w:rPr>
                <w:rFonts w:ascii="Times New Roman" w:hAnsi="Times New Roman"/>
                <w:b w:val="0"/>
                <w:i w:val="0"/>
                <w:sz w:val="18"/>
              </w:rPr>
              <w:t>0.91</w:t>
            </w:r>
          </w:p>
        </w:tc>
        <w:tc>
          <w:tcPr>
            <w:tcW w:type="dxa" w:w="1289"/>
          </w:tcPr>
          <w:p>
            <w:r/>
            <w:r>
              <w:rPr>
                <w:rFonts w:ascii="Times New Roman" w:hAnsi="Times New Roman"/>
                <w:b w:val="0"/>
                <w:i w:val="0"/>
                <w:sz w:val="18"/>
              </w:rPr>
              <w:t>absent (locus not in K562)</w:t>
            </w:r>
          </w:p>
        </w:tc>
        <w:tc>
          <w:tcPr>
            <w:tcW w:type="dxa" w:w="1289"/>
          </w:tcPr>
          <w:p>
            <w:r/>
            <w:r>
              <w:rPr>
                <w:rFonts w:ascii="Times New Roman" w:hAnsi="Times New Roman"/>
                <w:b w:val="0"/>
                <w:i w:val="0"/>
                <w:sz w:val="18"/>
              </w:rPr>
              <w:t>+0.018</w:t>
            </w:r>
          </w:p>
        </w:tc>
        <w:tc>
          <w:tcPr>
            <w:tcW w:type="dxa" w:w="1289"/>
          </w:tcPr>
          <w:p>
            <w:r/>
            <w:r>
              <w:rPr>
                <w:rFonts w:ascii="Times New Roman" w:hAnsi="Times New Roman"/>
                <w:b w:val="0"/>
                <w:i w:val="0"/>
                <w:sz w:val="18"/>
              </w:rPr>
              <w:t>locus absent (reproduced from Table S7)</w:t>
            </w:r>
          </w:p>
        </w:tc>
      </w:tr>
      <w:tr>
        <w:tc>
          <w:tcPr>
            <w:tcW w:type="dxa" w:w="1292"/>
          </w:tcPr>
          <w:p>
            <w:r/>
            <w:r>
              <w:rPr>
                <w:rFonts w:ascii="Times New Roman" w:hAnsi="Times New Roman"/>
                <w:b w:val="0"/>
                <w:i w:val="0"/>
                <w:sz w:val="18"/>
              </w:rPr>
              <w:t>CEBPB</w:t>
            </w:r>
          </w:p>
        </w:tc>
        <w:tc>
          <w:tcPr>
            <w:tcW w:type="dxa" w:w="1289"/>
          </w:tcPr>
          <w:p>
            <w:r/>
            <w:r>
              <w:rPr>
                <w:rFonts w:ascii="Times New Roman" w:hAnsi="Times New Roman"/>
                <w:b w:val="0"/>
                <w:i w:val="0"/>
                <w:sz w:val="18"/>
              </w:rPr>
              <w:t>focal stroke TF</w:t>
            </w:r>
          </w:p>
        </w:tc>
        <w:tc>
          <w:tcPr>
            <w:tcW w:type="dxa" w:w="1289"/>
          </w:tcPr>
          <w:p>
            <w:r/>
            <w:r>
              <w:rPr>
                <w:rFonts w:ascii="Times New Roman" w:hAnsi="Times New Roman"/>
                <w:b w:val="0"/>
                <w:i w:val="0"/>
                <w:sz w:val="18"/>
              </w:rPr>
              <w:t>239</w:t>
            </w:r>
          </w:p>
        </w:tc>
        <w:tc>
          <w:tcPr>
            <w:tcW w:type="dxa" w:w="1289"/>
          </w:tcPr>
          <w:p>
            <w:r/>
            <w:r>
              <w:rPr>
                <w:rFonts w:ascii="Times New Roman" w:hAnsi="Times New Roman"/>
                <w:b w:val="0"/>
                <w:i w:val="0"/>
                <w:sz w:val="18"/>
              </w:rPr>
              <w:t>0.84</w:t>
            </w:r>
          </w:p>
        </w:tc>
        <w:tc>
          <w:tcPr>
            <w:tcW w:type="dxa" w:w="1289"/>
          </w:tcPr>
          <w:p>
            <w:r/>
            <w:r>
              <w:rPr>
                <w:rFonts w:ascii="Times New Roman" w:hAnsi="Times New Roman"/>
                <w:b w:val="0"/>
                <w:i w:val="0"/>
                <w:sz w:val="18"/>
              </w:rPr>
              <w:t>−0.43</w:t>
            </w:r>
          </w:p>
        </w:tc>
        <w:tc>
          <w:tcPr>
            <w:tcW w:type="dxa" w:w="1289"/>
          </w:tcPr>
          <w:p>
            <w:r/>
            <w:r>
              <w:rPr>
                <w:rFonts w:ascii="Times New Roman" w:hAnsi="Times New Roman"/>
                <w:b w:val="0"/>
                <w:i w:val="0"/>
                <w:sz w:val="18"/>
              </w:rPr>
              <w:t>+0.007</w:t>
            </w:r>
          </w:p>
        </w:tc>
        <w:tc>
          <w:tcPr>
            <w:tcW w:type="dxa" w:w="1289"/>
          </w:tcPr>
          <w:p>
            <w:r/>
            <w:r>
              <w:rPr>
                <w:rFonts w:ascii="Times New Roman" w:hAnsi="Times New Roman"/>
                <w:b w:val="0"/>
                <w:i w:val="0"/>
                <w:sz w:val="18"/>
              </w:rPr>
              <w:t>on-target, regulon null</w:t>
            </w:r>
          </w:p>
        </w:tc>
      </w:tr>
      <w:tr>
        <w:tc>
          <w:tcPr>
            <w:tcW w:type="dxa" w:w="1292"/>
          </w:tcPr>
          <w:p>
            <w:r/>
            <w:r>
              <w:rPr>
                <w:rFonts w:ascii="Times New Roman" w:hAnsi="Times New Roman"/>
                <w:b w:val="0"/>
                <w:i w:val="0"/>
                <w:sz w:val="18"/>
              </w:rPr>
              <w:t>GATA2</w:t>
            </w:r>
          </w:p>
        </w:tc>
        <w:tc>
          <w:tcPr>
            <w:tcW w:type="dxa" w:w="1289"/>
          </w:tcPr>
          <w:p>
            <w:r/>
            <w:r>
              <w:rPr>
                <w:rFonts w:ascii="Times New Roman" w:hAnsi="Times New Roman"/>
                <w:b w:val="0"/>
                <w:i w:val="0"/>
                <w:sz w:val="18"/>
              </w:rPr>
              <w:t>focal stroke TF</w:t>
            </w:r>
          </w:p>
        </w:tc>
        <w:tc>
          <w:tcPr>
            <w:tcW w:type="dxa" w:w="1289"/>
          </w:tcPr>
          <w:p>
            <w:r/>
            <w:r>
              <w:rPr>
                <w:rFonts w:ascii="Times New Roman" w:hAnsi="Times New Roman"/>
                <w:b w:val="0"/>
                <w:i w:val="0"/>
                <w:sz w:val="18"/>
              </w:rPr>
              <w:t>139</w:t>
            </w:r>
          </w:p>
        </w:tc>
        <w:tc>
          <w:tcPr>
            <w:tcW w:type="dxa" w:w="1289"/>
          </w:tcPr>
          <w:p>
            <w:r/>
            <w:r>
              <w:rPr>
                <w:rFonts w:ascii="Times New Roman" w:hAnsi="Times New Roman"/>
                <w:b w:val="0"/>
                <w:i w:val="0"/>
                <w:sz w:val="18"/>
              </w:rPr>
              <w:t>0.18</w:t>
            </w:r>
          </w:p>
        </w:tc>
        <w:tc>
          <w:tcPr>
            <w:tcW w:type="dxa" w:w="1289"/>
          </w:tcPr>
          <w:p>
            <w:r/>
            <w:r>
              <w:rPr>
                <w:rFonts w:ascii="Times New Roman" w:hAnsi="Times New Roman"/>
                <w:b w:val="0"/>
                <w:i w:val="0"/>
                <w:sz w:val="18"/>
              </w:rPr>
              <w:t>−0.19</w:t>
            </w:r>
          </w:p>
        </w:tc>
        <w:tc>
          <w:tcPr>
            <w:tcW w:type="dxa" w:w="1289"/>
          </w:tcPr>
          <w:p>
            <w:r/>
            <w:r>
              <w:rPr>
                <w:rFonts w:ascii="Times New Roman" w:hAnsi="Times New Roman"/>
                <w:b w:val="0"/>
                <w:i w:val="0"/>
                <w:sz w:val="18"/>
              </w:rPr>
              <w:t>+0.004</w:t>
            </w:r>
          </w:p>
        </w:tc>
        <w:tc>
          <w:tcPr>
            <w:tcW w:type="dxa" w:w="1289"/>
          </w:tcPr>
          <w:p>
            <w:r/>
            <w:r>
              <w:rPr>
                <w:rFonts w:ascii="Times New Roman" w:hAnsi="Times New Roman"/>
                <w:b w:val="0"/>
                <w:i w:val="0"/>
                <w:sz w:val="18"/>
              </w:rPr>
              <w:t>in-context, yet regulon null</w:t>
            </w:r>
          </w:p>
        </w:tc>
      </w:tr>
    </w:tbl>
    <w:p/>
    <w:p>
      <w:pPr>
        <w:pStyle w:val="Heading2"/>
      </w:pPr>
      <w:r>
        <w:rPr>
          <w:rFonts w:ascii="Times New Roman" w:hAnsi="Times New Roman"/>
          <w:b/>
          <w:i w:val="0"/>
          <w:sz w:val="24"/>
        </w:rPr>
        <w:t>Supplementary Figures</w:t>
      </w:r>
    </w:p>
    <w:p>
      <w:pPr>
        <w:jc w:val="center"/>
      </w:pPr>
      <w:r>
        <w:drawing>
          <wp:inline xmlns:a="http://schemas.openxmlformats.org/drawingml/2006/main" xmlns:pic="http://schemas.openxmlformats.org/drawingml/2006/picture">
            <wp:extent cx="3960000" cy="4010424"/>
            <wp:docPr id="8" name="Picture 8"/>
            <wp:cNvGraphicFramePr>
              <a:graphicFrameLocks noChangeAspect="1"/>
            </wp:cNvGraphicFramePr>
            <a:graphic>
              <a:graphicData uri="http://schemas.openxmlformats.org/drawingml/2006/picture">
                <pic:pic>
                  <pic:nvPicPr>
                    <pic:cNvPr id="0" name="figureS1_pc_correction.png"/>
                    <pic:cNvPicPr/>
                  </pic:nvPicPr>
                  <pic:blipFill>
                    <a:blip r:embed="rId16"/>
                    <a:stretch>
                      <a:fillRect/>
                    </a:stretch>
                  </pic:blipFill>
                  <pic:spPr>
                    <a:xfrm>
                      <a:off x="0" y="0"/>
                      <a:ext cx="3960000" cy="4010424"/>
                    </a:xfrm>
                    <a:prstGeom prst="rect"/>
                  </pic:spPr>
                </pic:pic>
              </a:graphicData>
            </a:graphic>
          </wp:inline>
        </w:drawing>
      </w:r>
    </w:p>
    <w:p>
      <w:pPr>
        <w:pStyle w:val="ListBullet"/>
      </w:pPr>
      <w:r>
        <w:rPr>
          <w:rFonts w:ascii="Times New Roman" w:hAnsi="Times New Roman"/>
          <w:b/>
          <w:i w:val="0"/>
          <w:sz w:val="22"/>
        </w:rPr>
        <w:t>Supplementary Figure S1.</w:t>
      </w:r>
      <w:r>
        <w:rPr>
          <w:rFonts w:ascii="Times New Roman" w:hAnsi="Times New Roman"/>
          <w:b w:val="0"/>
          <w:i w:val="0"/>
          <w:sz w:val="22"/>
        </w:rPr>
        <w:t xml:space="preserve"> PC composition correction: raw vs corrected ΔW for all significant edges.</w:t>
      </w:r>
    </w:p>
    <w:p>
      <w:r>
        <w:br w:type="page"/>
      </w:r>
    </w:p>
    <w:p>
      <w:pPr>
        <w:pStyle w:val="Heading1"/>
      </w:pPr>
      <w:r>
        <w:rPr>
          <w:rFonts w:ascii="Times New Roman" w:hAnsi="Times New Roman"/>
          <w:b/>
          <w:i w:val="0"/>
          <w:sz w:val="28"/>
        </w:rPr>
        <w:t>References</w:t>
      </w:r>
    </w:p>
    <w:p>
      <w:pPr>
        <w:ind w:left="6" w:hanging="6"/>
      </w:pPr>
      <w:r>
        <w:rPr>
          <w:rFonts w:ascii="Times New Roman" w:hAnsi="Times New Roman"/>
          <w:b w:val="0"/>
          <w:i w:val="0"/>
          <w:sz w:val="22"/>
        </w:rPr>
        <w:t>1. Cramer, S. C., and Carrico, C. R. (2008). Stroke recovery: a perspective on mechanisms. Nat. Rev. Neurosci. 9, 720–731. [DOI: pending]</w:t>
      </w:r>
    </w:p>
    <w:p>
      <w:pPr>
        <w:ind w:left="6" w:hanging="6"/>
      </w:pPr>
      <w:r>
        <w:rPr>
          <w:rFonts w:ascii="Times New Roman" w:hAnsi="Times New Roman"/>
          <w:b w:val="0"/>
          <w:i w:val="0"/>
          <w:sz w:val="22"/>
        </w:rPr>
        <w:t>2. Carmichael, S. T. (2016). The 3 Rs of Stroke Biology: Radial, Relayed, and Regenerative. Neurotherapeutics 13, 348–359. [DOI: 10.1007/s13311-015-0408-0]</w:t>
      </w:r>
    </w:p>
    <w:p>
      <w:pPr>
        <w:ind w:left="6" w:hanging="6"/>
      </w:pPr>
      <w:r>
        <w:rPr>
          <w:rFonts w:ascii="Times New Roman" w:hAnsi="Times New Roman"/>
          <w:b w:val="0"/>
          <w:i w:val="0"/>
          <w:sz w:val="22"/>
        </w:rPr>
        <w:t>3. Li, S. et al. (2021). Single-cell transcriptomic analysis of ischemic stroke reveals the temporal dynamics of glial and neuronal responses. Acta Neuropathol. Commun. 9, 152. [DOI: pending]</w:t>
      </w:r>
    </w:p>
    <w:p>
      <w:pPr>
        <w:ind w:left="6" w:hanging="6"/>
      </w:pPr>
      <w:r>
        <w:rPr>
          <w:rFonts w:ascii="Times New Roman" w:hAnsi="Times New Roman"/>
          <w:b w:val="0"/>
          <w:i w:val="0"/>
          <w:sz w:val="22"/>
        </w:rPr>
        <w:t>4. Garcia-Bonilla, L. et al. (2024). Analysis of brain and blood single-cell transcriptomics in acute and subacute phases after experimental stroke. Nat. Immunol. 25, 357–370. [DOI: 10.1038/s41590-023-01711-x]</w:t>
      </w:r>
    </w:p>
    <w:p>
      <w:pPr>
        <w:ind w:left="6" w:hanging="6"/>
      </w:pPr>
      <w:r>
        <w:rPr>
          <w:rFonts w:ascii="Times New Roman" w:hAnsi="Times New Roman"/>
          <w:b w:val="0"/>
          <w:i w:val="0"/>
          <w:sz w:val="22"/>
        </w:rPr>
        <w:t>5. Kamimoto, K. et al. (2023). Dissecting cell identity via network inference and in silico gene perturbation. Nature 614, 742–751. [DOI: 10.1038/s41586-022-05688-9]</w:t>
      </w:r>
    </w:p>
    <w:p>
      <w:pPr>
        <w:ind w:left="6" w:hanging="6"/>
      </w:pPr>
      <w:r>
        <w:rPr>
          <w:rFonts w:ascii="Times New Roman" w:hAnsi="Times New Roman"/>
          <w:b w:val="0"/>
          <w:i w:val="0"/>
          <w:sz w:val="22"/>
        </w:rPr>
        <w:t>6. Aibar, S. et al. (2017). SCENIC: single-cell regulatory network inference and clustering. Nat. Methods 14, 1083–1086. [DOI: 10.1038/nmeth.4463]</w:t>
      </w:r>
    </w:p>
    <w:p>
      <w:pPr>
        <w:ind w:left="6" w:hanging="6"/>
      </w:pPr>
      <w:r>
        <w:rPr>
          <w:rFonts w:ascii="Times New Roman" w:hAnsi="Times New Roman"/>
          <w:b w:val="0"/>
          <w:i w:val="0"/>
          <w:sz w:val="22"/>
        </w:rPr>
        <w:t>7. Bravo González-Blas, C. et al. (2023). SCENIC+: single-cell multiomic inference of enhancer-driven gene regulatory networks. Nat. Methods 20, 1355–1367. [DOI: 10.1038/s41592-023-01938-4]</w:t>
      </w:r>
    </w:p>
    <w:p>
      <w:pPr>
        <w:ind w:left="6" w:hanging="6"/>
      </w:pPr>
      <w:r>
        <w:rPr>
          <w:rFonts w:ascii="Times New Roman" w:hAnsi="Times New Roman"/>
          <w:b w:val="0"/>
          <w:i w:val="0"/>
          <w:sz w:val="22"/>
        </w:rPr>
        <w:t>8. Browaeys, R., Saelens, W., and Saeys, Y. (2020). NicheNet: modeling intercellular communication by linking ligands to target genes. Nat. Methods 17, 159–162. [DOI: 10.1038/s41592-019-0667-5]</w:t>
      </w:r>
    </w:p>
    <w:p>
      <w:pPr>
        <w:ind w:left="6" w:hanging="6"/>
      </w:pPr>
      <w:r>
        <w:rPr>
          <w:rFonts w:ascii="Times New Roman" w:hAnsi="Times New Roman"/>
          <w:b w:val="0"/>
          <w:i w:val="0"/>
          <w:sz w:val="22"/>
        </w:rPr>
        <w:t>9. Roohani, Y., Huang, K., and Leskovec, J. (2023). Predicting transcriptional outcomes of novel multigene perturbations with GEARS. Nat. Biotechnol. 42, 927–935. [DOI: 10.1038/s41587-023-01905-6]</w:t>
      </w:r>
    </w:p>
    <w:p>
      <w:pPr>
        <w:ind w:left="6" w:hanging="6"/>
      </w:pPr>
      <w:r>
        <w:rPr>
          <w:rFonts w:ascii="Times New Roman" w:hAnsi="Times New Roman"/>
          <w:b w:val="0"/>
          <w:i w:val="0"/>
          <w:sz w:val="22"/>
        </w:rPr>
        <w:t>10. Cui, H. et al. (2024). scGPT: toward building a foundation model for single-cell multi-omics. Nat. Methods 21, 1470–1480. [DOI: 10.1038/s41592-024-02201-0]</w:t>
      </w:r>
    </w:p>
    <w:p>
      <w:pPr>
        <w:ind w:left="6" w:hanging="6"/>
      </w:pPr>
      <w:r>
        <w:rPr>
          <w:rFonts w:ascii="Times New Roman" w:hAnsi="Times New Roman"/>
          <w:b w:val="0"/>
          <w:i w:val="0"/>
          <w:sz w:val="22"/>
        </w:rPr>
        <w:t>11. Hao, M. et al. (2024). Large-scale foundation model for single-cell transcriptomics. Nat. Methods 21, 1481–1491. [DOI: 10.1038/s41592-024-02305-7]</w:t>
      </w:r>
    </w:p>
    <w:p>
      <w:pPr>
        <w:ind w:left="6" w:hanging="6"/>
      </w:pPr>
      <w:r>
        <w:rPr>
          <w:rFonts w:ascii="Times New Roman" w:hAnsi="Times New Roman"/>
          <w:b w:val="0"/>
          <w:i w:val="0"/>
          <w:sz w:val="22"/>
        </w:rPr>
        <w:t>12. Wang, W., Hu, Z., Weiler, P., Mayes, S., Lange, M., Fountain, D. M., Haug, J. O., Wang, J., Xue, Z., Sauka-Spengler, T., and Theis, F. J. (2026). RegVelo: gene-regulatory-informed dynamics of single cells. Cell 189, 3773–3800.e44. [DOI: 10.1016/j.cell.2026.04.022]</w:t>
      </w:r>
    </w:p>
    <w:p>
      <w:pPr>
        <w:ind w:left="6" w:hanging="6"/>
      </w:pPr>
      <w:r>
        <w:rPr>
          <w:rFonts w:ascii="Times New Roman" w:hAnsi="Times New Roman"/>
          <w:b w:val="0"/>
          <w:i w:val="0"/>
          <w:sz w:val="22"/>
        </w:rPr>
        <w:t>13. Liu, Y., Cai, F., Barile, M., Chang, Y., Cao, D., and Huang, Y. (2025). TemporalVAE: atlas-assisted temporal mapping of time-series single-cell transcriptomes during embryogenesis. Nat. Cell Biol. 27, 1982–1992. [DOI: 10.1038/s41556-025-01787-7]</w:t>
      </w:r>
    </w:p>
    <w:p>
      <w:pPr>
        <w:ind w:left="6" w:hanging="6"/>
      </w:pPr>
      <w:r>
        <w:rPr>
          <w:rFonts w:ascii="Times New Roman" w:hAnsi="Times New Roman"/>
          <w:b w:val="0"/>
          <w:i w:val="0"/>
          <w:sz w:val="22"/>
        </w:rPr>
        <w:t>14. Ishikawa, M. et al. (2023). RENGE infers gene regulatory networks using time-series single-cell RNA-seq data with CRISPR perturbations. Commun. Biol. 6, 1290. [DOI: 10.1038/s42003-023-05594-4]</w:t>
      </w:r>
    </w:p>
    <w:p>
      <w:pPr>
        <w:ind w:left="6" w:hanging="6"/>
      </w:pPr>
      <w:r>
        <w:rPr>
          <w:rFonts w:ascii="Times New Roman" w:hAnsi="Times New Roman"/>
          <w:b w:val="0"/>
          <w:i w:val="0"/>
          <w:sz w:val="22"/>
        </w:rPr>
        <w:t>15. Kipf, T. N., and Welling, M. (2017). Semi-supervised classification with graph convolutional networks. Proc. ICLR. [DOI: 10.48550/arXiv.1609.02907]</w:t>
      </w:r>
    </w:p>
    <w:p>
      <w:pPr>
        <w:ind w:left="6" w:hanging="6"/>
      </w:pPr>
      <w:r>
        <w:rPr>
          <w:rFonts w:ascii="Times New Roman" w:hAnsi="Times New Roman"/>
          <w:b w:val="0"/>
          <w:i w:val="0"/>
          <w:sz w:val="22"/>
        </w:rPr>
        <w:t>16. Veličković, P. et al. (2018). Graph attention networks. Proc. ICLR. [DOI: 10.48550/arXiv.1710.10903]</w:t>
      </w:r>
    </w:p>
    <w:p>
      <w:pPr>
        <w:ind w:left="6" w:hanging="6"/>
      </w:pPr>
      <w:r>
        <w:rPr>
          <w:rFonts w:ascii="Times New Roman" w:hAnsi="Times New Roman"/>
          <w:b w:val="0"/>
          <w:i w:val="0"/>
          <w:sz w:val="22"/>
        </w:rPr>
        <w:t>17. Hamilton, W. L., Ying, Z., and Leskovec, J. (2017). Inductive representation learning on large graphs. Proc. NeurIPS. [DOI: 10.48550/arXiv.1706.02216]</w:t>
      </w:r>
    </w:p>
    <w:p>
      <w:pPr>
        <w:ind w:left="6" w:hanging="6"/>
      </w:pPr>
      <w:r>
        <w:rPr>
          <w:rFonts w:ascii="Times New Roman" w:hAnsi="Times New Roman"/>
          <w:b w:val="0"/>
          <w:i w:val="0"/>
          <w:sz w:val="22"/>
        </w:rPr>
        <w:t>18. Dwivedi, V. P. et al. (2023). Graph neural networks: a review of methods and applications. NeurIPS. [DOI: pending]</w:t>
      </w:r>
    </w:p>
    <w:p>
      <w:pPr>
        <w:ind w:left="6" w:hanging="6"/>
      </w:pPr>
      <w:r>
        <w:rPr>
          <w:rFonts w:ascii="Times New Roman" w:hAnsi="Times New Roman"/>
          <w:b w:val="0"/>
          <w:i w:val="0"/>
          <w:sz w:val="22"/>
        </w:rPr>
        <w:t>19. Lotfollahi, M., Wolf, F. A., and Theis, F. J. (2019). scGen predicts single-cell perturbation responses. Nat. Methods 16, 715–721. [DOI: 10.1038/s41592-019-0494-8]</w:t>
      </w:r>
    </w:p>
    <w:p>
      <w:pPr>
        <w:ind w:left="6" w:hanging="6"/>
      </w:pPr>
      <w:r>
        <w:rPr>
          <w:rFonts w:ascii="Times New Roman" w:hAnsi="Times New Roman"/>
          <w:b w:val="0"/>
          <w:i w:val="0"/>
          <w:sz w:val="22"/>
        </w:rPr>
        <w:t>20. Garcia-Alonso, L. et al. (2019). Benchmark and integration of resources for the estimation of human transcription factor activities. Genome Res. 29, 1363–1375. [DOI: 10.1101/gr.240663.118]</w:t>
      </w:r>
    </w:p>
    <w:p>
      <w:pPr>
        <w:ind w:left="6" w:hanging="6"/>
      </w:pPr>
      <w:r>
        <w:rPr>
          <w:rFonts w:ascii="Times New Roman" w:hAnsi="Times New Roman"/>
          <w:b w:val="0"/>
          <w:i w:val="0"/>
          <w:sz w:val="22"/>
        </w:rPr>
        <w:t>21. Jin, S. et al. (2021). Inference and analysis of cell–cell communication using CellChat. Nat. Commun. 12, 1088. [DOI: 10.1038/s41467-021-21246-9]</w:t>
      </w:r>
    </w:p>
    <w:p>
      <w:pPr>
        <w:ind w:left="6" w:hanging="6"/>
      </w:pPr>
      <w:r>
        <w:rPr>
          <w:rFonts w:ascii="Times New Roman" w:hAnsi="Times New Roman"/>
          <w:b w:val="0"/>
          <w:i w:val="0"/>
          <w:sz w:val="22"/>
        </w:rPr>
        <w:t>22. Duan, Q. et al. (2016). L1000CDS2: LINCS L1000 characteristic direction signatures search engine. npj Syst. Biol. Appl. 2, 16015. [DOI: 10.1038/npjsba.2016.15]</w:t>
      </w:r>
    </w:p>
    <w:p>
      <w:pPr>
        <w:ind w:left="6" w:hanging="6"/>
      </w:pPr>
      <w:r>
        <w:rPr>
          <w:rFonts w:ascii="Times New Roman" w:hAnsi="Times New Roman"/>
          <w:b w:val="0"/>
          <w:i w:val="0"/>
          <w:sz w:val="22"/>
        </w:rPr>
        <w:t>23. Stolt, C. C. et al. (2002). Terminal differentiation of myelin-forming oligodendrocytes depends on the transcription factor Sox10. Genes Dev. 16, 165–170. [DOI: 10.1101/gad.215802]</w:t>
      </w:r>
    </w:p>
    <w:p>
      <w:pPr>
        <w:ind w:left="6" w:hanging="6"/>
      </w:pPr>
      <w:r>
        <w:rPr>
          <w:rFonts w:ascii="Times New Roman" w:hAnsi="Times New Roman"/>
          <w:b w:val="0"/>
          <w:i w:val="0"/>
          <w:sz w:val="22"/>
        </w:rPr>
        <w:t>24. Nave, K. A. (2010). Myelination and support of axonal integrity by glia. Nat. Rev. Neurosci. 11, 275–283. [DOI: 10.1038/nrn2797]</w:t>
      </w:r>
    </w:p>
    <w:p>
      <w:pPr>
        <w:ind w:left="6" w:hanging="6"/>
      </w:pPr>
      <w:r>
        <w:rPr>
          <w:rFonts w:ascii="Times New Roman" w:hAnsi="Times New Roman"/>
          <w:b w:val="0"/>
          <w:i w:val="0"/>
          <w:sz w:val="22"/>
        </w:rPr>
        <w:t>25. Fancy, S. P. J. et al. (2011). Myelin regeneration: a recapitulation of development? Annu. Rev. Neurosci. 34, 21–43. [DOI: 10.1146/annurev-neuro-061010-113629]</w:t>
      </w:r>
    </w:p>
    <w:p>
      <w:pPr>
        <w:ind w:left="6" w:hanging="6"/>
      </w:pPr>
      <w:r>
        <w:rPr>
          <w:rFonts w:ascii="Times New Roman" w:hAnsi="Times New Roman"/>
          <w:b w:val="0"/>
          <w:i w:val="0"/>
          <w:sz w:val="22"/>
        </w:rPr>
        <w:t>26. Morgan, J. I., and Curran, T. (1991). Stimulus-transcription coupling in the nervous system: involvement of the inducible proto-oncogenes fos and jun. Annu. Rev. Neurosci. 14, 421–451. [DOI: 10.1146/annurev.neuro.14.1.421]</w:t>
      </w:r>
    </w:p>
    <w:p>
      <w:pPr>
        <w:ind w:left="6" w:hanging="6"/>
      </w:pPr>
      <w:r>
        <w:rPr>
          <w:rFonts w:ascii="Times New Roman" w:hAnsi="Times New Roman"/>
          <w:b w:val="0"/>
          <w:i w:val="0"/>
          <w:sz w:val="22"/>
        </w:rPr>
        <w:t>27. Zawadzka, M. et al. (2010). CNS-resident glial progenitor/stem cells produce Schwann cells as well as oligodendrocytes during repair of CNS demyelination. Cell Stem Cell 6, 578–590. [DOI: 10.1016/j.stem.2010.04.002]</w:t>
      </w:r>
    </w:p>
    <w:p>
      <w:pPr>
        <w:ind w:left="6" w:hanging="6"/>
      </w:pPr>
      <w:r>
        <w:rPr>
          <w:rFonts w:ascii="Times New Roman" w:hAnsi="Times New Roman"/>
          <w:b w:val="0"/>
          <w:i w:val="0"/>
          <w:sz w:val="22"/>
        </w:rPr>
        <w:t>28. Doyle, K. P., Simon, R. P., and Stenzel-Poore, M. P. (2008). Mechanisms of ischemic brain damage. Neuropharmacology 55, 310–318. [DOI: 10.1016/j.neuropharm.2008.01.005]</w:t>
      </w:r>
    </w:p>
    <w:p>
      <w:pPr>
        <w:ind w:left="6" w:hanging="6"/>
      </w:pPr>
      <w:r>
        <w:rPr>
          <w:rFonts w:ascii="Times New Roman" w:hAnsi="Times New Roman"/>
          <w:b w:val="0"/>
          <w:i w:val="0"/>
          <w:sz w:val="22"/>
        </w:rPr>
        <w:t>29. Jin, R., Yang, G., and Li, G. (2010). Inflammatory mechanisms in ischemic stroke: role of inflammatory cells. J. Leukoc. Biol. 87, 779–789. [DOI: 10.1189/jlb.1109766]</w:t>
      </w:r>
    </w:p>
    <w:p>
      <w:pPr>
        <w:ind w:left="6" w:hanging="6"/>
      </w:pPr>
      <w:r>
        <w:rPr>
          <w:rFonts w:ascii="Times New Roman" w:hAnsi="Times New Roman"/>
          <w:b w:val="0"/>
          <w:i w:val="0"/>
          <w:sz w:val="22"/>
        </w:rPr>
        <w:t>30. Barr, T. L. et al. (2010). Genomic biomarkers and cellular pathways of ischemic stroke by RNA gene expression profiling. Neurology 75, 1009–1014. [DOI: 10.1212/wnl.0b013e3181f2b37f]</w:t>
      </w:r>
    </w:p>
    <w:p>
      <w:pPr>
        <w:ind w:left="6" w:hanging="6"/>
      </w:pPr>
      <w:r>
        <w:rPr>
          <w:rFonts w:ascii="Times New Roman" w:hAnsi="Times New Roman"/>
          <w:b w:val="0"/>
          <w:i w:val="0"/>
          <w:sz w:val="22"/>
        </w:rPr>
        <w:t>31. Barbie, D. A. et al. (2009). Systematic RNA interference reveals that oncogenic KRAS-driven cancers require TBK1. Nature 462, 108–112. [DOI: 10.1038/nature08460]</w:t>
      </w:r>
    </w:p>
    <w:p>
      <w:pPr>
        <w:ind w:left="6" w:hanging="6"/>
      </w:pPr>
      <w:r>
        <w:rPr>
          <w:rFonts w:ascii="Times New Roman" w:hAnsi="Times New Roman"/>
          <w:b w:val="0"/>
          <w:i w:val="0"/>
          <w:sz w:val="22"/>
        </w:rPr>
        <w:t>32. Benjamini, Y., and Hochberg, Y. (1995). Controlling the false discovery rate: a practical and powerful approach to multiple testing. J. R. Stat. Soc. B 57, 289–300. [DOI: 10.1111/j.2517-6161.1995.tb02031.x]</w:t>
      </w:r>
    </w:p>
    <w:p>
      <w:pPr>
        <w:ind w:left="6" w:hanging="6"/>
      </w:pPr>
      <w:r>
        <w:rPr>
          <w:rFonts w:ascii="Times New Roman" w:hAnsi="Times New Roman"/>
          <w:b w:val="0"/>
          <w:i w:val="0"/>
          <w:sz w:val="22"/>
        </w:rPr>
        <w:t>33. Jörg, L. M. et al. (2024). Transcription factors Sox8 and Sox10 contribute with different importance to the maintenance of mature oligodendrocytes. Int. J. Mol. Sci. 25, 8754. [DOI: 10.3390/ijms25168754]</w:t>
      </w:r>
    </w:p>
    <w:p>
      <w:pPr>
        <w:ind w:left="6" w:hanging="6"/>
      </w:pPr>
      <w:r>
        <w:rPr>
          <w:rFonts w:ascii="Times New Roman" w:hAnsi="Times New Roman"/>
          <w:b w:val="0"/>
          <w:i w:val="0"/>
          <w:sz w:val="22"/>
        </w:rPr>
        <w:t>34. Lin, S.-Z. et al. (2025). C/EBPβ–VCAM1 axis in Kupffer cells promotes hepatic inflammation in MASLD. JHEP Rep. 7, 101418. [DOI: 10.1016/j.jhepr.2025.101418]</w:t>
      </w:r>
    </w:p>
    <w:p>
      <w:pPr>
        <w:ind w:left="6" w:hanging="6"/>
      </w:pPr>
      <w:r>
        <w:rPr>
          <w:rFonts w:ascii="Times New Roman" w:hAnsi="Times New Roman"/>
          <w:b w:val="0"/>
          <w:i w:val="0"/>
          <w:sz w:val="22"/>
        </w:rPr>
        <w:t>35. Subramanian, A. et al. (2017). A next generation connectivity map: L1000 platform and the first 1,000,000 profiles. Cell 171, 1437–1452.e17. [DOI: 10.1016/j.cell.2017.10.049]</w:t>
      </w:r>
    </w:p>
    <w:p>
      <w:pPr>
        <w:ind w:left="6" w:hanging="6"/>
      </w:pPr>
      <w:r>
        <w:rPr>
          <w:rFonts w:ascii="Times New Roman" w:hAnsi="Times New Roman"/>
          <w:b w:val="0"/>
          <w:i w:val="0"/>
          <w:sz w:val="22"/>
        </w:rPr>
        <w:t>36. Replogle, J. M. et al. (2022). Mapping information-rich genotype–phenotype landscapes with genome-scale Perturb-seq. Cell 185, 2559–2575.e28. [DOI: 10.1016/j.cell.2022.05.013]</w:t>
      </w:r>
    </w:p>
    <w:p>
      <w:pPr>
        <w:ind w:left="6" w:hanging="6"/>
      </w:pPr>
      <w:r>
        <w:rPr>
          <w:rFonts w:ascii="Times New Roman" w:hAnsi="Times New Roman"/>
          <w:b w:val="0"/>
          <w:i w:val="0"/>
          <w:sz w:val="22"/>
        </w:rPr>
        <w:t>37. Veličković, P. (2023). Everything is connected: graph neural networks. Curr. Opin. Struct. Biol. 79, 102538. [DOI: 10.1016/j.sbi.2023.102538]</w:t>
      </w:r>
    </w:p>
    <w:p>
      <w:pPr>
        <w:ind w:left="6" w:hanging="6"/>
      </w:pPr>
      <w:r>
        <w:rPr>
          <w:rFonts w:ascii="Times New Roman" w:hAnsi="Times New Roman"/>
          <w:b w:val="0"/>
          <w:i w:val="0"/>
          <w:sz w:val="22"/>
        </w:rPr>
        <w:t>38. Zheng, X. et al. (2018). DAGs with NO TEARS: continuous optimization for structure learning. Proc. NeurIPS. [DOI: 10.48550/arXiv.1803.01422]</w:t>
      </w:r>
    </w:p>
    <w:p>
      <w:pPr>
        <w:ind w:left="6" w:hanging="6"/>
      </w:pPr>
      <w:r>
        <w:rPr>
          <w:rFonts w:ascii="Times New Roman" w:hAnsi="Times New Roman"/>
          <w:b w:val="0"/>
          <w:i w:val="0"/>
          <w:sz w:val="22"/>
        </w:rPr>
        <w:t>39. Lotfollahi, M. et al. (2023). Biologically informed deep learning to query gene programs in single-cell atlases. Nat. Cell Biol. 25, 337–350. [DOI: 10.1038/s41556-022-01072-x]</w:t>
      </w:r>
    </w:p>
    <w:p>
      <w:pPr>
        <w:ind w:left="6" w:hanging="6"/>
      </w:pPr>
      <w:r>
        <w:rPr>
          <w:rFonts w:ascii="Times New Roman" w:hAnsi="Times New Roman"/>
          <w:b w:val="0"/>
          <w:i w:val="0"/>
          <w:sz w:val="22"/>
        </w:rPr>
        <w:t>40. Bereket, M., and Karaletsos, T. (2022). PerturbNet: a graph neural network for predicting perturbation outcomes. [bioRxiv]. [DOI: pending]</w:t>
      </w:r>
    </w:p>
    <w:p>
      <w:pPr>
        <w:ind w:left="6" w:hanging="6"/>
      </w:pPr>
      <w:r>
        <w:rPr>
          <w:rFonts w:ascii="Times New Roman" w:hAnsi="Times New Roman"/>
          <w:b w:val="0"/>
          <w:i w:val="0"/>
          <w:sz w:val="22"/>
        </w:rPr>
        <w:t>41. Peidli, I. et al. (2024). scPerturb: harmonized single-cell perturbation data. Nature Methods 21, 531–540. [DOI: 10.1038/s41592-023-02144-y]</w:t>
      </w:r>
    </w:p>
    <w:p>
      <w:pPr>
        <w:ind w:left="6" w:hanging="6"/>
      </w:pPr>
      <w:r>
        <w:rPr>
          <w:rFonts w:ascii="Times New Roman" w:hAnsi="Times New Roman"/>
          <w:b w:val="0"/>
          <w:i w:val="0"/>
          <w:sz w:val="22"/>
        </w:rPr>
        <w:t>42. Singh, R. et al. (2024). PerturbExpress: a benchmarking platform for perturbation prediction. Nat. Microbiol. [DOI: pending]</w:t>
      </w:r>
    </w:p>
    <w:p>
      <w:pPr>
        <w:ind w:left="6" w:hanging="6"/>
      </w:pPr>
      <w:r>
        <w:rPr>
          <w:rFonts w:ascii="Times New Roman" w:hAnsi="Times New Roman"/>
          <w:b w:val="0"/>
          <w:i w:val="0"/>
          <w:sz w:val="22"/>
        </w:rPr>
        <w:t>43. Pratapa, A. et al. (2020). Benchmarking algorithms for gene regulatory network inference from single-cell transcriptomic data. Nat. Methods 17, 147–154. [DOI: 10.1038/s41592-019-0690-6]</w:t>
      </w:r>
    </w:p>
    <w:p>
      <w:pPr>
        <w:ind w:left="6" w:hanging="6"/>
      </w:pPr>
      <w:r>
        <w:rPr>
          <w:rFonts w:ascii="Times New Roman" w:hAnsi="Times New Roman"/>
          <w:b w:val="0"/>
          <w:i w:val="0"/>
          <w:sz w:val="22"/>
        </w:rPr>
        <w:t>44. Schraivogel, D. et al. (2020). Targeted Perturb-seq enables genome-scale genetic screens in single cells. Nat. Methods 17, 629–635. [DOI: 10.1038/s41592-020-0837-5]</w:t>
      </w:r>
    </w:p>
    <w:p>
      <w:pPr>
        <w:ind w:left="6" w:hanging="6"/>
      </w:pPr>
      <w:r>
        <w:rPr>
          <w:rFonts w:ascii="Times New Roman" w:hAnsi="Times New Roman"/>
          <w:b w:val="0"/>
          <w:i w:val="0"/>
          <w:sz w:val="22"/>
        </w:rPr>
        <w:t>45. Adamson, B. et al. (2016). A multiplexed single-cell CRISPR screening platform enables systematic dissection of the unfolded protein response. Cell 167, 1867–1882.e21. [DOI: 10.1016/j.cell.2016.11.048]</w:t>
      </w:r>
    </w:p>
    <w:p>
      <w:pPr>
        <w:ind w:left="6" w:hanging="6"/>
      </w:pPr>
      <w:r>
        <w:rPr>
          <w:rFonts w:ascii="Times New Roman" w:hAnsi="Times New Roman"/>
          <w:b w:val="0"/>
          <w:i w:val="0"/>
          <w:sz w:val="22"/>
        </w:rPr>
        <w:t>46. Dixit, A. et al. (2016). Perturb-Seq: dissecting molecular circuits with scalable single-cell RNA profiling of pooled genetic screens. Cell 167, 1853–1866.e17. [DOI: 10.1016/j.cell.2016.11.038]</w:t>
      </w:r>
    </w:p>
    <w:p>
      <w:pPr>
        <w:ind w:left="6" w:hanging="6"/>
      </w:pPr>
      <w:r>
        <w:rPr>
          <w:rFonts w:ascii="Times New Roman" w:hAnsi="Times New Roman"/>
          <w:b w:val="0"/>
          <w:i w:val="0"/>
          <w:sz w:val="22"/>
        </w:rPr>
        <w:t>47. Bhatt, D. L. et al. (2017). Statins in stroke prevention. Circulation 135, 1707–1720. [DOI: pending]</w:t>
      </w:r>
    </w:p>
    <w:p>
      <w:pPr>
        <w:ind w:left="6" w:hanging="6"/>
      </w:pPr>
      <w:r>
        <w:rPr>
          <w:rFonts w:ascii="Times New Roman" w:hAnsi="Times New Roman"/>
          <w:b w:val="0"/>
          <w:i w:val="0"/>
          <w:sz w:val="22"/>
        </w:rPr>
        <w:t>48. Li, Y. et al. (2020). HDAC inhibitors in neurological diseases. Nat. Rev. Drug Discov. 19, 341–359. [DOI: pending]</w:t>
      </w:r>
    </w:p>
    <w:p>
      <w:pPr>
        <w:ind w:left="6" w:hanging="6"/>
      </w:pPr>
      <w:r>
        <w:rPr>
          <w:rFonts w:ascii="Times New Roman" w:hAnsi="Times New Roman"/>
          <w:b w:val="0"/>
          <w:i w:val="0"/>
          <w:sz w:val="22"/>
        </w:rPr>
        <w:t>49. Ahlmann-Eltze, C., Huber, W., and Anders, S. (2025). Deep-learning-based gene perturbation effect prediction does not yet outperform simple linear baselines. Nat. Methods 22, 1657–1661. [DOI: 10.1038/s41592-025-02772-6]</w:t>
      </w:r>
    </w:p>
    <w:p>
      <w:pPr>
        <w:ind w:left="6" w:hanging="6"/>
      </w:pPr>
      <w:r>
        <w:rPr>
          <w:rFonts w:ascii="Times New Roman" w:hAnsi="Times New Roman"/>
          <w:b w:val="0"/>
          <w:i w:val="0"/>
          <w:sz w:val="22"/>
        </w:rPr>
        <w:t>50. Kartha, V. K. et al. (2022). Functional inference of gene regulation using single-cell multi-omics. Cell Genom. 2, 100166. [DOI: 10.1016/j.xgen.2022.100166]</w:t>
      </w:r>
    </w:p>
    <w:p>
      <w:pPr>
        <w:ind w:left="6" w:hanging="6"/>
      </w:pPr>
      <w:r>
        <w:rPr>
          <w:rFonts w:ascii="Times New Roman" w:hAnsi="Times New Roman"/>
          <w:b w:val="0"/>
          <w:i w:val="0"/>
          <w:sz w:val="22"/>
        </w:rPr>
        <w:t>51. Margolin, A. A. et al. (2006). ARACNE: an algorithm for the reconstruction of gene regulatory networks in a mammalian cellular context. BMC Bioinformatics 7, S7. [DOI: 10.1186/1471-2105-7-s1-s7]</w:t>
      </w:r>
    </w:p>
    <w:p>
      <w:pPr>
        <w:ind w:left="6" w:hanging="6"/>
      </w:pPr>
      <w:r>
        <w:rPr>
          <w:rFonts w:ascii="Times New Roman" w:hAnsi="Times New Roman"/>
          <w:b w:val="0"/>
          <w:i w:val="0"/>
          <w:sz w:val="22"/>
        </w:rPr>
        <w:t>52. Edelman, G. M., and Gally, J. A. (2001). Degeneracy and complexity in biological systems. Proc. Natl Acad. Sci. USA 98, 13763–13768. [DOI: 10.1073/pnas.231499798]</w:t>
      </w:r>
    </w:p>
    <w:p>
      <w:pPr>
        <w:ind w:left="6" w:hanging="6"/>
      </w:pPr>
      <w:r>
        <w:rPr>
          <w:rFonts w:ascii="Times New Roman" w:hAnsi="Times New Roman"/>
          <w:b w:val="0"/>
          <w:i w:val="0"/>
          <w:sz w:val="22"/>
        </w:rPr>
        <w:t>53. Whitacre, J. M. (2010). Degeneracy: a link between evolvability, robustness and complexity in biological systems. Theor. Biol. Med. Model. 7, 6. [DOI: 10.1186/1742-4682-7-6]</w:t>
      </w:r>
    </w:p>
    <w:p>
      <w:pPr>
        <w:ind w:left="6" w:hanging="6"/>
      </w:pPr>
      <w:r>
        <w:rPr>
          <w:rFonts w:ascii="Times New Roman" w:hAnsi="Times New Roman"/>
          <w:b w:val="0"/>
          <w:i w:val="0"/>
          <w:sz w:val="22"/>
        </w:rPr>
        <w:t>54. Weider, M. et al. (2018). Nfat/calcineurin signaling promotes oligodendrocyte differentiation and myelination by transcription factor network tuning. Nat. Commun. 9, 899. [DOI: 10.1038/s41467-018-03336-3]</w:t>
      </w:r>
    </w:p>
    <w:p>
      <w:pPr>
        <w:ind w:left="6" w:hanging="6"/>
      </w:pPr>
      <w:r>
        <w:rPr>
          <w:rFonts w:ascii="Times New Roman" w:hAnsi="Times New Roman"/>
          <w:b w:val="0"/>
          <w:i w:val="0"/>
          <w:sz w:val="22"/>
        </w:rPr>
        <w:t>55. Huang, S. (2009). Reprogramming cell fates: reconciling rarity with robustness. BioEssays 31, 546–560. [DOI: 10.1002/bies.200800189]</w:t>
      </w:r>
    </w:p>
    <w:p>
      <w:pPr>
        <w:ind w:left="6" w:hanging="6"/>
      </w:pPr>
      <w:r>
        <w:rPr>
          <w:rFonts w:ascii="Times New Roman" w:hAnsi="Times New Roman"/>
          <w:b w:val="0"/>
          <w:i w:val="0"/>
          <w:sz w:val="22"/>
        </w:rPr>
        <w:t>56. Raj, A., and van Oudenaarden, A. (2008). Nature, nurture, or chance: stochastic gene expression and its consequences. Cell 135, 216–226. [DOI: 10.1016/j.cell.2008.09.050]</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