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Luo^1, Yimin Mei^1, Wangyang Ye^1, Wenwu Huang^1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consistent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and recovers cell–cell communication remodelling (22 ligand–receptor pairs rewired across stroke transitions, 84 % linked to master-regulator programs). Triangulating three public perturbation modalities shows program-level causal support is context-gated. Under a fixed causal graph with a linear readout, graph topology yields no consistent improvement in perturbation prediction beyond linear baselines (significant in only 4/90 configurations, all from a single seed's combinatorial split, with no configuration favoring the linear model);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consistently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2, 3</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4</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5, 6</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7</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9</w:t>
      </w:r>
      <w:r>
        <w:rPr>
          <w:rFonts w:ascii="Times New Roman" w:hAnsi="Times New Roman"/>
          <w:b w:val="0"/>
          <w:i w:val="0"/>
          <w:sz w:val="22"/>
        </w:rPr>
        <w:t xml:space="preserve">, PerturbNet , the scPerturb compendium </w:t>
      </w:r>
      <w:r>
        <w:rPr>
          <w:rFonts w:ascii="Times New Roman" w:hAnsi="Times New Roman"/>
          <w:b w:val="0"/>
          <w:i w:val="0"/>
          <w:sz w:val="22"/>
          <w:vertAlign w:val="superscript"/>
        </w:rPr>
        <w:t>10</w:t>
      </w:r>
      <w:r>
        <w:rPr>
          <w:rFonts w:ascii="Times New Roman" w:hAnsi="Times New Roman"/>
          <w:b w:val="0"/>
          <w:i w:val="0"/>
          <w:sz w:val="22"/>
        </w:rPr>
        <w:t xml:space="preserve">, PerturbExpress , and recent comprehensive benchmarks of the field </w:t>
      </w:r>
      <w:r>
        <w:rPr>
          <w:rFonts w:ascii="Times New Roman" w:hAnsi="Times New Roman"/>
          <w:b w:val="0"/>
          <w:i w:val="0"/>
          <w:sz w:val="22"/>
          <w:vertAlign w:val="superscript"/>
        </w:rPr>
        <w:t>11</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15</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16</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are a natural choice for modelling perturbations on a graph substrate: they propagate a perturbation signal along known edges and produce a new latent embedding .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17</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18</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19</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20</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benefits the field more than another incrementally more accurate predictor.</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three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w:t>
      </w:r>
      <w:r>
        <w:rPr>
          <w:rFonts w:ascii="Times New Roman" w:hAnsi="Times New Roman"/>
          <w:b w:val="0"/>
          <w:i w:val="0"/>
          <w:sz w:val="22"/>
          <w:vertAlign w:val="superscript"/>
        </w:rPr>
        <w:t>21</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w:t>
      </w:r>
      <w:r>
        <w:rPr>
          <w:rFonts w:ascii="Times New Roman" w:hAnsi="Times New Roman"/>
          <w:b w:val="0"/>
          <w:i w:val="0"/>
          <w:sz w:val="22"/>
          <w:vertAlign w:val="superscript"/>
        </w:rPr>
        <w:t>22</w:t>
      </w:r>
      <w:r>
        <w:rPr>
          <w:rFonts w:ascii="Times New Roman" w:hAnsi="Times New Roman"/>
          <w:b w:val="0"/>
          <w:i w:val="0"/>
          <w:sz w:val="22"/>
        </w:rPr>
        <w:t xml:space="preserve">: genuine two-timepoint post-stroke time course (2 d and 14 d, brain and blood). </w:t>
      </w:r>
      <w:r>
        <w:rPr>
          <w:rFonts w:ascii="Times New Roman" w:hAnsi="Times New Roman"/>
          <w:b/>
          <w:i w:val="0"/>
          <w:sz w:val="22"/>
        </w:rPr>
        <w:t>Cohort 3, GSE197731</w:t>
      </w:r>
      <w:r>
        <w:rPr>
          <w:rFonts w:ascii="Times New Roman" w:hAnsi="Times New Roman"/>
          <w:b w:val="0"/>
          <w:i w:val="0"/>
          <w:sz w:val="22"/>
        </w:rPr>
        <w:t xml:space="preserve"> </w:t>
      </w:r>
      <w:r>
        <w:rPr>
          <w:rFonts w:ascii="Times New Roman" w:hAnsi="Times New Roman"/>
          <w:b w:val="0"/>
          <w:i w:val="0"/>
          <w:sz w:val="22"/>
          <w:vertAlign w:val="superscript"/>
        </w:rPr>
        <w:t>29</w:t>
      </w:r>
      <w:r>
        <w:rPr>
          <w:rFonts w:ascii="Times New Roman" w:hAnsi="Times New Roman"/>
          <w:b w:val="0"/>
          <w:i w:val="0"/>
          <w:sz w:val="22"/>
        </w:rPr>
        <w:t xml:space="preserve"> (Kim et al., </w:t>
      </w:r>
      <w:r>
        <w:rPr>
          <w:rFonts w:ascii="Times New Roman" w:hAnsi="Times New Roman"/>
          <w:b w:val="0"/>
          <w:i/>
          <w:sz w:val="22"/>
        </w:rPr>
        <w:t>Redox Biol</w:t>
      </w:r>
      <w:r>
        <w:rPr>
          <w:rFonts w:ascii="Times New Roman" w:hAnsi="Times New Roman"/>
          <w:b w:val="0"/>
          <w:i w:val="0"/>
          <w:sz w:val="22"/>
        </w:rPr>
        <w:t xml:space="preserve"> 2022): 8 samples spanning 24 h and 48 h, in wild-type (WT, Prdx1 +/+) and Prdx1-knockout (KO, Prdx1 −/−) mice, each with an ipsilateral (MCAO) and contralateral (non-ischaemic) hemisphere — a second, more deeply sampled 24 h cohort plus the only 48 h time point. No single public scRNA-seq cohort covers all stages; we assembled a 24 h → 48 h → 2 d → 14 d axis spanning the acute → sub-acute peak → repair/remodelling phases by stitching cohort 1 (24 h + sham) and cohort 3 (24 h + 48 h) with cohort 2 (2 d / 14 d). The acute 24 h window is now supported by two independent cohorts (GSE174574 and GSE197731), which we exploit for a cross-cohort consistency check (3.9, 4.4); the 48 h point is unique to cohort 3.</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23</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24</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25</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26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18</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is inferred from the same single-cell cohorts used for GRN rewiring (2.3), so that the ligand–receptor (LR) layer can be directly related to the edge-level ΔW. </w:t>
      </w:r>
      <w:r>
        <w:rPr>
          <w:rFonts w:ascii="Times New Roman" w:hAnsi="Times New Roman"/>
          <w:b/>
          <w:i w:val="0"/>
          <w:sz w:val="22"/>
        </w:rPr>
        <w:t>Cell-type resolution.</w:t>
      </w:r>
      <w:r>
        <w:rPr>
          <w:rFonts w:ascii="Times New Roman" w:hAnsi="Times New Roman"/>
          <w:b w:val="0"/>
          <w:i w:val="0"/>
          <w:sz w:val="22"/>
        </w:rPr>
        <w:t xml:space="preserve"> Cohort 1 (GSE174574) and cohort 3 (GSE197731) cells were annotated by marker-gene argmax against the same curated 11-type CNS panel (microglia, macrophage, neuron, astrocyte, oligodendrocyte, OPC, endothelial, pericyte, T, B, NK); cohort 2 (GSE225948) carries author cell-type labels (BAM1–5, Bc1–2, DC1–4, etc.). For cohort 3, the contralateral hemisphere serves as the within-animal non-ischaemic control (sham surrogate) and the ipsilateral hemisphere as the MCAO condition, and WT/KO are analysed separately to avoid genotype confound. </w:t>
      </w:r>
      <w:r>
        <w:rPr>
          <w:rFonts w:ascii="Times New Roman" w:hAnsi="Times New Roman"/>
          <w:b/>
          <w:i w:val="0"/>
          <w:sz w:val="22"/>
        </w:rPr>
        <w:t>LR database.</w:t>
      </w:r>
      <w:r>
        <w:rPr>
          <w:rFonts w:ascii="Times New Roman" w:hAnsi="Times New Roman"/>
          <w:b w:val="0"/>
          <w:i w:val="0"/>
          <w:sz w:val="22"/>
        </w:rPr>
        <w:t xml:space="preserve"> We used a curated high-confidence mouse LR pair set (n = 117; a CellChatDB </w:t>
      </w:r>
      <w:r>
        <w:rPr>
          <w:rFonts w:ascii="Times New Roman" w:hAnsi="Times New Roman"/>
          <w:b w:val="0"/>
          <w:i w:val="0"/>
          <w:sz w:val="22"/>
          <w:vertAlign w:val="superscript"/>
        </w:rPr>
        <w:t>19</w:t>
      </w:r>
      <w:r>
        <w:rPr>
          <w:rFonts w:ascii="Times New Roman" w:hAnsi="Times New Roman"/>
          <w:b w:val="0"/>
          <w:i w:val="0"/>
          <w:sz w:val="22"/>
        </w:rPr>
        <w:t xml:space="preserve"> subset prioritising secretory/surface and CNS–stroke pathways). </w:t>
      </w:r>
      <w:r>
        <w:rPr>
          <w:rFonts w:ascii="Times New Roman" w:hAnsi="Times New Roman"/>
          <w:b/>
          <w:i w:val="0"/>
          <w:sz w:val="22"/>
        </w:rPr>
        <w:t>Communication scoring.</w:t>
      </w:r>
      <w:r>
        <w:rPr>
          <w:rFonts w:ascii="Times New Roman" w:hAnsi="Times New Roman"/>
          <w:b w:val="0"/>
          <w:i w:val="0"/>
          <w:sz w:val="22"/>
        </w:rPr>
        <w:t xml:space="preserve"> For each condition (sham and each MCAO time point) and each sender→receiver cell-type pair we computed a CellChat-style communication probability as the product of mean ligand expression in the sender and mean receptor expression in the receiver, gated by the fraction of expressing cells in each population (MIN_FRAC = 0.10) so that spurious low-abundance interactions are suppressed. Because the analysis environment lacks R, CellChat's scoring logic was re-implemented in Python (numpy) with the same ligand×receiver expression-product formulation; the re-implementation was checked against CellChat's published scoring definition </w:t>
      </w:r>
      <w:r>
        <w:rPr>
          <w:rFonts w:ascii="Times New Roman" w:hAnsi="Times New Roman"/>
          <w:b w:val="0"/>
          <w:i w:val="0"/>
          <w:sz w:val="22"/>
          <w:vertAlign w:val="superscript"/>
        </w:rPr>
        <w:t>19</w:t>
      </w:r>
      <w:r>
        <w:rPr>
          <w:rFonts w:ascii="Times New Roman" w:hAnsi="Times New Roman"/>
          <w:b w:val="0"/>
          <w:i w:val="0"/>
          <w:sz w:val="22"/>
        </w:rPr>
        <w:t xml:space="preserve">. </w:t>
      </w:r>
      <w:r>
        <w:rPr>
          <w:rFonts w:ascii="Times New Roman" w:hAnsi="Times New Roman"/>
          <w:b/>
          <w:i w:val="0"/>
          <w:sz w:val="22"/>
        </w:rPr>
        <w:t>Rewiring.</w:t>
      </w:r>
      <w:r>
        <w:rPr>
          <w:rFonts w:ascii="Times New Roman" w:hAnsi="Times New Roman"/>
          <w:b w:val="0"/>
          <w:i w:val="0"/>
          <w:sz w:val="22"/>
        </w:rPr>
        <w:t xml:space="preserve"> For each LR pair we contrasted the ischaemic condition against its control within each cohort and time point — 24 h in GSE174574 (MCAO vs sham) and GSE197731 (ipsilateral vs contralateral, WT and KO separately); 48 h in GSE197731 (ipsilateral vs contralateral); 2 d and 14 d in GSE225948 (MCAO vs sham) — reporting log₂(communication score_ischaemic / communication score_control) with a two-sided Mann–Whitney U test on per-cell sender/receiver contributions (MIN_CELLS = 10 per cell type). An LR pair is called significantly remodelled when min(p_ligand, p_receptor) &lt; 0.05 and |log₂FC| ≥ 0.5. </w:t>
      </w:r>
      <w:r>
        <w:rPr>
          <w:rFonts w:ascii="Times New Roman" w:hAnsi="Times New Roman"/>
          <w:b/>
          <w:i w:val="0"/>
          <w:sz w:val="22"/>
        </w:rPr>
        <w:t>Cross-cohort consistency.</w:t>
      </w:r>
      <w:r>
        <w:rPr>
          <w:rFonts w:ascii="Times New Roman" w:hAnsi="Times New Roman"/>
          <w:b w:val="0"/>
          <w:i w:val="0"/>
          <w:sz w:val="22"/>
        </w:rPr>
        <w:t xml:space="preserve"> Because the two 24 h cohorts differ sharply in power (GSE174574 yields only 2 significant LR pairs vs 38 in GSE197731_WT), we do not expect LR-pair-level replication and instead assess cross-cohort agreement at the pathway and sender→receiver cell-type level, which is the meaningful resolution given the power asymmetry. </w:t>
      </w:r>
      <w:r>
        <w:rPr>
          <w:rFonts w:ascii="Times New Roman" w:hAnsi="Times New Roman"/>
          <w:b/>
          <w:i w:val="0"/>
          <w:sz w:val="22"/>
        </w:rPr>
        <w:t>Integration with ΔW.</w:t>
      </w:r>
      <w:r>
        <w:rPr>
          <w:rFonts w:ascii="Times New Roman" w:hAnsi="Times New Roman"/>
          <w:b w:val="0"/>
          <w:i w:val="0"/>
          <w:sz w:val="22"/>
        </w:rPr>
        <w:t xml:space="preserve"> Each significantly remodelled LR pair was tested for linkage to the master-regulator programs recovered in 3.3: an LR pair is flagged </w:t>
      </w:r>
      <w:r>
        <w:rPr>
          <w:rFonts w:ascii="Times New Roman" w:hAnsi="Times New Roman"/>
          <w:b w:val="0"/>
          <w:i/>
          <w:sz w:val="22"/>
        </w:rPr>
        <w:t>linked to master regulator</w:t>
      </w:r>
      <w:r>
        <w:rPr>
          <w:rFonts w:ascii="Times New Roman" w:hAnsi="Times New Roman"/>
          <w:b w:val="0"/>
          <w:i w:val="0"/>
          <w:sz w:val="22"/>
        </w:rPr>
        <w:t xml:space="preserve"> when its ligand or receptor gene belongs to the DoRothEA target set of Sox10, Cebpb, or Gata2.</w:t>
      </w:r>
    </w:p>
    <w:p>
      <w:pPr>
        <w:pStyle w:val="Heading2"/>
      </w:pPr>
      <w:r>
        <w:rPr>
          <w:rFonts w:ascii="Times New Roman" w:hAnsi="Times New Roman"/>
          <w:b/>
          <w:i w:val="0"/>
          <w:sz w:val="24"/>
        </w:rPr>
        <w:t>2.5 Cross-species test</w:t>
      </w:r>
    </w:p>
    <w:p>
      <w:r>
        <w:rPr>
          <w:rFonts w:ascii="Times New Roman" w:hAnsi="Times New Roman"/>
          <w:b/>
          <w:i w:val="0"/>
          <w:sz w:val="22"/>
        </w:rPr>
        <w:t>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5, 27</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20</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Public TF-perturbation re-analysis</w:t>
      </w:r>
    </w:p>
    <w:p>
      <w:r>
        <w:rPr>
          <w:rFonts w:ascii="Times New Roman" w:hAnsi="Times New Roman"/>
          <w:b/>
          <w:i w:val="0"/>
          <w:sz w:val="22"/>
        </w:rPr>
        <w:t>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SigCom LINCS.</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28</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Replogle K562 sc-CRISPR.</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fixed causal graph confers no consistent prediction advantage under matched inputs (significant in only 4/90 configurations).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8</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significantly outperformed the linear baseline in only </w:t>
      </w:r>
      <w:r>
        <w:rPr>
          <w:rFonts w:ascii="Times New Roman" w:hAnsi="Times New Roman"/>
          <w:b/>
          <w:i w:val="0"/>
          <w:sz w:val="22"/>
        </w:rPr>
        <w:t>4 of 90 cases</w:t>
      </w:r>
      <w:r>
        <w:rPr>
          <w:rFonts w:ascii="Times New Roman" w:hAnsi="Times New Roman"/>
          <w:b w:val="0"/>
          <w:i w:val="0"/>
          <w:sz w:val="22"/>
        </w:rPr>
        <w:t xml:space="preserve"> (all four from a single seed on the combinatorial task), never significantly underperformed it, and showed no significant difference in the remaining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8</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val="0"/>
                <w:i w:val="0"/>
                <w:sz w:val="18"/>
              </w:rPr>
              <w:t>L1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val="0"/>
                <w:i w:val="0"/>
                <w:sz w:val="18"/>
              </w:rPr>
              <w:t>L2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val="0"/>
                <w:i w:val="0"/>
                <w:sz w:val="18"/>
              </w:rPr>
              <w:t>L3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val="0"/>
                <w:i w:val="0"/>
                <w:sz w:val="18"/>
              </w:rPr>
              <w:t>L4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val="0"/>
                <w:i w:val="0"/>
                <w:sz w:val="18"/>
              </w:rPr>
              <w:t>L5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Table 2.</w:t>
      </w:r>
      <w:r>
        <w:rPr>
          <w:rFonts w:ascii="Times New Roman" w:hAnsi="Times New Roman"/>
          <w:b w:val="0"/>
          <w:i w:val="0"/>
          <w:sz w:val="22"/>
        </w:rPr>
        <w:t xml:space="preserv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val="0"/>
                <w:sz w:val="18"/>
              </w:rPr>
              <w:t>Tbx21→Cxcr3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val="0"/>
                <w:sz w:val="18"/>
              </w:rPr>
              <w:t>Sox2→Lsamp (ΔW = +0.86), Sox10→Ank3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val="0"/>
                <w:sz w:val="18"/>
              </w:rPr>
              <w:t>Sox10→Plp1 (ΔW = +0.51), Hey2→Acta2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val="0"/>
                <w:sz w:val="18"/>
              </w:rPr>
              <w:t>Sox9→Hapln1 (ΔW = +0.79), Sox10→Plp1 (ΔW = +0.42); both q &lt; 0.001</w:t>
            </w:r>
          </w:p>
        </w:tc>
      </w:tr>
    </w:tbl>
    <w:p/>
    <w:p>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29-31</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32</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69–79 % of significant edges (pooled 74 %)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(4.4);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Cross-species regulatory convergence of recovered programs</w:t>
      </w:r>
    </w:p>
    <w:p>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30, 33</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34, 35</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 (Fig. 4).</w:t>
      </w:r>
    </w:p>
    <w:p>
      <w:pPr>
        <w:pStyle w:val="Heading2"/>
      </w:pPr>
      <w:r>
        <w:rPr>
          <w:rFonts w:ascii="Times New Roman" w:hAnsi="Times New Roman"/>
          <w:b/>
          <w:i w:val="0"/>
          <w:sz w:val="24"/>
        </w:rPr>
        <w:t>3.6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20</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and statins for stroke prevention and recovery ,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 (Fig. 5).</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pStyle w:val="Heading2"/>
      </w:pPr>
      <w:r>
        <w:rPr>
          <w:rFonts w:ascii="Times New Roman" w:hAnsi="Times New Roman"/>
          <w:b/>
          <w:i w:val="0"/>
          <w:sz w:val="24"/>
        </w:rPr>
        <w:t>3.7 Program-level directional causal support from public TF perturbation</w:t>
      </w:r>
    </w:p>
    <w:p>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Sox10, oligodendrocyte-specific conditional knockout (GSE269122 ^24).</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&lt; Cebpb &lt; Gata2 &lt; Sox2), consistent with "remove an activator → its targets fall" and providing directional causal support for the Sox10→myelin/remyelination program recovered in 3.3.</w:t>
      </w:r>
    </w:p>
    <w:p>
      <w:r>
        <w:rPr>
          <w:rFonts w:ascii="Times New Roman" w:hAnsi="Times New Roman"/>
          <w:b/>
          <w:i w:val="0"/>
          <w:sz w:val="22"/>
        </w:rPr>
        <w:t>Cebpb, heterozygous knockout Kupffer cells (GSE273163 ^25).</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28</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26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r>
        <w:rPr>
          <w:rFonts w:ascii="Times New Roman" w:hAnsi="Times New Roman"/>
          <w:b/>
          <w:i w:val="0"/>
          <w:sz w:val="22"/>
        </w:rPr>
        <w:t>(1)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w:t>
      </w:r>
      <w:r>
        <w:rPr>
          <w:rFonts w:ascii="Times New Roman" w:hAnsi="Times New Roman"/>
          <w:b w:val="0"/>
          <w:i w:val="0"/>
          <w:sz w:val="22"/>
        </w:rPr>
        <w:t xml:space="preserv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val="0"/>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val="0"/>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val="0"/>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SigCom LINCS signature-match and Replogle K562 sc-CRISPR regulon-response:</w:t>
      </w:r>
    </w:p>
    <w:p>
      <w:r>
        <w:rPr>
          <w:rFonts w:ascii="Times New Roman" w:hAnsi="Times New Roman"/>
          <w:b/>
          <w:i w:val="0"/>
          <w:sz w:val="22"/>
        </w:rPr>
        <w:t>(1) 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r>
        <w:rPr>
          <w:rFonts w:ascii="Times New Roman" w:hAnsi="Times New Roman"/>
          <w:b/>
          <w:i w:val="0"/>
          <w:sz w:val="22"/>
        </w:rPr>
        <w:t>(2) 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not evidence that the specific DoRothEA edges are active in that context; only the membership-resolved Replogle test adjudicates that, and it is null off-context. Neither modality alone reveals this separation.</w:t>
      </w:r>
    </w:p>
    <w:p>
      <w:r>
        <w:rPr>
          <w:rFonts w:ascii="Times New Roman" w:hAnsi="Times New Roman"/>
          <w:b/>
          <w:i w:val="0"/>
          <w:sz w:val="22"/>
        </w:rPr>
        <w:t>(3) 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bounds how strongly </w:t>
      </w:r>
      <w:r>
        <w:rPr>
          <w:rFonts w:ascii="Times New Roman" w:hAnsi="Times New Roman"/>
          <w:b w:val="0"/>
          <w:i/>
          <w:sz w:val="22"/>
        </w:rPr>
        <w:t>any</w:t>
      </w:r>
      <w:r>
        <w:rPr>
          <w:rFonts w:ascii="Times New Roman" w:hAnsi="Times New Roman"/>
          <w:b w:val="0"/>
          <w:i w:val="0"/>
          <w:sz w:val="22"/>
        </w:rPr>
        <w:t xml:space="preserve"> module-level gene-perturbation test, can be interpreted.</w:t>
      </w:r>
    </w:p>
    <w:p>
      <w:r>
        <w:rPr>
          <w:rFonts w:ascii="Times New Roman" w:hAnsi="Times New Roman"/>
          <w:b/>
          <w:i w:val="0"/>
          <w:sz w:val="22"/>
        </w:rPr>
        <w:t>(4) 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 (Fig. 6).</w:t>
      </w:r>
    </w:p>
    <w:p>
      <w:pPr>
        <w:pStyle w:val="Heading2"/>
      </w:pPr>
      <w:r>
        <w:rPr>
          <w:rFonts w:ascii="Times New Roman" w:hAnsi="Times New Roman"/>
          <w:b/>
          <w:i w:val="0"/>
          <w:sz w:val="24"/>
        </w:rPr>
        <w:t>3.9 Cell–cell communication remodelling across stroke transitions</w:t>
      </w:r>
    </w:p>
    <w:p>
      <w:r>
        <w:rPr>
          <w:rFonts w:ascii="Times New Roman" w:hAnsi="Times New Roman"/>
          <w:b w:val="0"/>
          <w:i w:val="0"/>
          <w:sz w:val="22"/>
        </w:rPr>
        <w:t>The edge-level GRN rewiring in 3.3 captures transcription-factor–driven coupling change at the intracellular level; cell–cell communication captures the parallel ligand–receptor layer through which microglia, macrophages and other CNS cell types coordinate the stroke response. We recovered this communication layer from all three cohorts and asked (i) which ligand–receptor (LR) pairs are remodelled at each time point, (ii) whether the acute 24 h signal is reproducible across two independent cohorts (GSE174574 and GSE197731), and (iii) whether the remodelled pairs are linked to the master-regulator programs of 3.3.</w:t>
      </w:r>
    </w:p>
    <w:p>
      <w:r>
        <w:rPr>
          <w:rFonts w:ascii="Times New Roman" w:hAnsi="Times New Roman"/>
          <w:b/>
          <w:i w:val="0"/>
          <w:sz w:val="22"/>
        </w:rPr>
        <w:t>Cohort coverage and time resolution.</w:t>
      </w:r>
      <w:r>
        <w:rPr>
          <w:rFonts w:ascii="Times New Roman" w:hAnsi="Times New Roman"/>
          <w:b w:val="0"/>
          <w:i w:val="0"/>
          <w:sz w:val="22"/>
        </w:rPr>
        <w:t xml:space="preserve"> Of 117 curated high-confidence mouse LR pairs, 46 passed MIN_FRAC gating in GSE225948 (2 d / 14 d) and yielded 83 LR–transition records (63 significant). The newly added GSE197731 extends the layer to the acute 24 h and the 48 h time points: its WT arm contributed 108 records (80 significant; 59 at 24 h with 38 significant, 49 at 48 h with 42 significant), and GSE174574 (24 h, WT) contributed 3 records (2 significant). The communication layer therefore now spans four time points — 24 h, 48 h, 2 d, 14 d — across three cohorts, with 194 LR–transition records (143 significant) in the WT-pooled analysis (Fig. 8, Supplementary Fig. S2). Remodelling concentrates in the inflammatory, chemokine, complement, extracellular-matrix and cytokine axes, with microglia and macrophages as the dominant senders and receivers (e.g. Ccl2→Ccr2, Ccl3→Ccr5, Cxcl10→Cxcr3, Tnf→Tnfrsf1a, C1qa→C1qb), mirroring the acute/subacute immune activation already captured by the GRN layer (3.3, 3.5b).</w:t>
      </w:r>
    </w:p>
    <w:p>
      <w:r>
        <w:rPr>
          <w:rFonts w:ascii="Times New Roman" w:hAnsi="Times New Roman"/>
          <w:b/>
          <w:i w:val="0"/>
          <w:sz w:val="22"/>
        </w:rPr>
        <w:t>24 h is now a dual-cohort node, not a gap.</w:t>
      </w:r>
      <w:r>
        <w:rPr>
          <w:rFonts w:ascii="Times New Roman" w:hAnsi="Times New Roman"/>
          <w:b w:val="0"/>
          <w:i w:val="0"/>
          <w:sz w:val="22"/>
        </w:rPr>
        <w:t xml:space="preserve"> In the previous analysis the 24 h point was represented only by GSE174574 and yielded too few records to support any claim (4.4); adding GSE197731 turns 24 h into a </w:t>
      </w:r>
      <w:r>
        <w:rPr>
          <w:rFonts w:ascii="Times New Roman" w:hAnsi="Times New Roman"/>
          <w:b w:val="0"/>
          <w:i/>
          <w:sz w:val="22"/>
        </w:rPr>
        <w:t>cross-cohort</w:t>
      </w:r>
      <w:r>
        <w:rPr>
          <w:rFonts w:ascii="Times New Roman" w:hAnsi="Times New Roman"/>
          <w:b w:val="0"/>
          <w:i w:val="0"/>
          <w:sz w:val="22"/>
        </w:rPr>
        <w:t xml:space="preserve"> node. Comparing the two 24 h cohorts at the LR-pair level gives a Jaccard of 0.00 (GSE174574: 2 significant LR pairs, Egfr→Egfr and Thbs2→Cd47; GSE197731_WT: 38 significant LR pairs). This null is expected by construction: with only two pairs surviving in cohort 1, the pairwise overlap with a 38-pair set can reach at most ≈0.05 even under perfect agreement, and here it is 0. We therefore assess cross-cohort consistency at the resolution at which it is meaningful — pathway and cell-type — rather than at the individual-LR-pair level.</w:t>
      </w:r>
    </w:p>
    <w:p>
      <w:r>
        <w:rPr>
          <w:rFonts w:ascii="Times New Roman" w:hAnsi="Times New Roman"/>
          <w:b/>
          <w:i w:val="0"/>
          <w:sz w:val="22"/>
        </w:rPr>
        <w:t>Pathway- and cell-type-level cross-cohort convergence.</w:t>
      </w:r>
      <w:r>
        <w:rPr>
          <w:rFonts w:ascii="Times New Roman" w:hAnsi="Times New Roman"/>
          <w:b w:val="0"/>
          <w:i w:val="0"/>
          <w:sz w:val="22"/>
        </w:rPr>
        <w:t xml:space="preserve"> At the pathway level, 1 of the 2 cohort-1 24 h pathways (Thrombospondin; the other being EGF) is recovered among the 14 pathways implicated by GSE197731_WT 24 h (pathway Jaccard = 0.07). At the sender→receiver cell-type level, the Pericyte→Pericyte pair is present in both cohorts' 24 h significant sets (cohort 1: 2 cell-type pairs; cohort 3: 25). Thrombospondin signalling and pericyte–pericyte communication are both biologically coherent for the acute ischaemic response (endothelial/pericyte barrier remodelling), so the well-powered GSE197731 picture </w:t>
      </w:r>
      <w:r>
        <w:rPr>
          <w:rFonts w:ascii="Times New Roman" w:hAnsi="Times New Roman"/>
          <w:b w:val="0"/>
          <w:i/>
          <w:sz w:val="22"/>
        </w:rPr>
        <w:t>anchors and extends</w:t>
      </w:r>
      <w:r>
        <w:rPr>
          <w:rFonts w:ascii="Times New Roman" w:hAnsi="Times New Roman"/>
          <w:b w:val="0"/>
          <w:i w:val="0"/>
          <w:sz w:val="22"/>
        </w:rPr>
        <w:t xml:space="preserve"> the faint cohort-1 signal rather than contradicting it. We report the LR-pair Jaccard = 0.00 candidly as a power artefact, not as evidence of non-reproducibility (Supplementary Fig. S2).</w:t>
      </w:r>
    </w:p>
    <w:p>
      <w:r>
        <w:rPr>
          <w:rFonts w:ascii="Times New Roman" w:hAnsi="Times New Roman"/>
          <w:b/>
          <w:i w:val="0"/>
          <w:sz w:val="22"/>
        </w:rPr>
        <w:t>48 h as a new intermediate node.</w:t>
      </w:r>
      <w:r>
        <w:rPr>
          <w:rFonts w:ascii="Times New Roman" w:hAnsi="Times New Roman"/>
          <w:b w:val="0"/>
          <w:i w:val="0"/>
          <w:sz w:val="22"/>
        </w:rPr>
        <w:t xml:space="preserve"> GSE197731's 48 h arm (42 significant LR pairs) provides the only sub-acute time point between 24 h and 2 d; it is dominated by the same chemokine/complement/ECM/cytokine axes seen at 24 h and 2 d, supporting a continuous immune-activation programme rather than a discrete switch.</w:t>
      </w:r>
    </w:p>
    <w:p>
      <w:r>
        <w:rPr>
          <w:rFonts w:ascii="Times New Roman" w:hAnsi="Times New Roman"/>
          <w:b/>
          <w:i w:val="0"/>
          <w:sz w:val="22"/>
        </w:rPr>
        <w:t>Prdx1-KO genotype effect (secondary).</w:t>
      </w:r>
      <w:r>
        <w:rPr>
          <w:rFonts w:ascii="Times New Roman" w:hAnsi="Times New Roman"/>
          <w:b w:val="0"/>
          <w:i w:val="0"/>
          <w:sz w:val="22"/>
        </w:rPr>
        <w:t xml:space="preserve"> GSE197731's Prdx1-KO arm tests whether 24 h communication remodelling is genotype-dependent. At 24 h, WT shows 38 significant LR pairs and KO 45; 30 (79 %) are shared, 8 are WT-specific and 15 are KO-specific. The largely preserved WT signature indicates that the acute 24 h communication programme is mostly independent of Prdx1, while the KO-specific pairs (e.g. Cx3cl1→Cx3cr1, Ccl5→Ccr5, Vegfa→Kdr, Mif→Cd74) point to oxidative-stress-dependent rewiring of the microglial/endothelial axis, consistent with Prdx1's antioxidant role in stroke-associated microglia </w:t>
      </w:r>
      <w:r>
        <w:rPr>
          <w:rFonts w:ascii="Times New Roman" w:hAnsi="Times New Roman"/>
          <w:b w:val="0"/>
          <w:i w:val="0"/>
          <w:sz w:val="22"/>
          <w:vertAlign w:val="superscript"/>
        </w:rPr>
        <w:t>29</w:t>
      </w:r>
      <w:r>
        <w:rPr>
          <w:rFonts w:ascii="Times New Roman" w:hAnsi="Times New Roman"/>
          <w:b w:val="0"/>
          <w:i w:val="0"/>
          <w:sz w:val="22"/>
        </w:rPr>
        <w:t>. This genotype layer is reported as a secondary biology extension, not as a methodological requirement.</w:t>
      </w:r>
    </w:p>
    <w:p>
      <w:r>
        <w:rPr>
          <w:rFonts w:ascii="Times New Roman" w:hAnsi="Times New Roman"/>
          <w:b/>
          <w:i w:val="0"/>
          <w:sz w:val="22"/>
        </w:rPr>
        <w:t>Cross-time consistency (2 d ↔ 14 d).</w:t>
      </w:r>
      <w:r>
        <w:rPr>
          <w:rFonts w:ascii="Times New Roman" w:hAnsi="Times New Roman"/>
          <w:b w:val="0"/>
          <w:i w:val="0"/>
          <w:sz w:val="22"/>
        </w:rPr>
        <w:t xml:space="preserve"> Of the 63 GSE225948-derived significantly remodelled records, </w:t>
      </w:r>
      <w:r>
        <w:rPr>
          <w:rFonts w:ascii="Times New Roman" w:hAnsi="Times New Roman"/>
          <w:b/>
          <w:i w:val="0"/>
          <w:sz w:val="22"/>
        </w:rPr>
        <w:t>22 LR pairs were remodelled at both 2 d and 14 d</w:t>
      </w:r>
      <w:r>
        <w:rPr>
          <w:rFonts w:ascii="Times New Roman" w:hAnsi="Times New Roman"/>
          <w:b w:val="0"/>
          <w:i w:val="0"/>
          <w:sz w:val="22"/>
        </w:rPr>
        <w:t xml:space="preserve"> (Fig. 8) — the two time points with the deepest coverage — so the communication rewiring is a reproducible feature of the stroke time course rather than a single-time-point fluctuation. The consistent pairs span the chemokine (Ccl2→Ccr2, Ccl3→Ccr5, Ccl4→Ccr5, Cxcl2→Cxcr2, Cxcl10→Cxcr3, Cxcl12→Cxcr4), complement (C1qa→C1qb), ECM–integrin (Fn1→Itgb1, Lamb2→Itgb1, Col4a1→Cd44, Spp1→Cd44), thrombospondin (Thbs1→Cd36, Thbs1→Cd47) and cytokine (Tnf→Tnfrsf1a, Csf1→Csf1r, Osm→Osmr, Tgfb1→Acvrl1) pathways.</w:t>
      </w:r>
    </w:p>
    <w:p>
      <w:r>
        <w:rPr>
          <w:rFonts w:ascii="Times New Roman" w:hAnsi="Times New Roman"/>
          <w:b/>
          <w:i w:val="0"/>
          <w:sz w:val="22"/>
        </w:rPr>
        <w:t>Integration with master-regulator programs (ΔW).</w:t>
      </w:r>
      <w:r>
        <w:rPr>
          <w:rFonts w:ascii="Times New Roman" w:hAnsi="Times New Roman"/>
          <w:b w:val="0"/>
          <w:i w:val="0"/>
          <w:sz w:val="22"/>
        </w:rPr>
        <w:t xml:space="preserve"> Linking the GSE225948-derived remodelled LR pairs to the DoRothEA target sets of the three recovered master regulators showed that </w:t>
      </w:r>
      <w:r>
        <w:rPr>
          <w:rFonts w:ascii="Times New Roman" w:hAnsi="Times New Roman"/>
          <w:b/>
          <w:i w:val="0"/>
          <w:sz w:val="22"/>
        </w:rPr>
        <w:t>53 of 63 (84 %) significantly remodelled records have their ligand or receptor gene in the Sox10, Cebpb or Gata2 target set</w:t>
      </w:r>
      <w:r>
        <w:rPr>
          <w:rFonts w:ascii="Times New Roman" w:hAnsi="Times New Roman"/>
          <w:b w:val="0"/>
          <w:i w:val="0"/>
          <w:sz w:val="22"/>
        </w:rPr>
        <w:t xml:space="preserve"> (Table 11). Eighteen LR pairs are </w:t>
      </w:r>
      <w:r>
        <w:rPr>
          <w:rFonts w:ascii="Times New Roman" w:hAnsi="Times New Roman"/>
          <w:b w:val="0"/>
          <w:i/>
          <w:sz w:val="22"/>
        </w:rPr>
        <w:t>both</w:t>
      </w:r>
      <w:r>
        <w:rPr>
          <w:rFonts w:ascii="Times New Roman" w:hAnsi="Times New Roman"/>
          <w:b w:val="0"/>
          <w:i w:val="0"/>
          <w:sz w:val="22"/>
        </w:rPr>
        <w:t xml:space="preserve"> cross-transition consistent </w:t>
      </w:r>
      <w:r>
        <w:rPr>
          <w:rFonts w:ascii="Times New Roman" w:hAnsi="Times New Roman"/>
          <w:b w:val="0"/>
          <w:i/>
          <w:sz w:val="22"/>
        </w:rPr>
        <w:t>and</w:t>
      </w:r>
      <w:r>
        <w:rPr>
          <w:rFonts w:ascii="Times New Roman" w:hAnsi="Times New Roman"/>
          <w:b w:val="0"/>
          <w:i w:val="0"/>
          <w:sz w:val="22"/>
        </w:rPr>
        <w:t xml:space="preserve"> linked to a master-regulator program; these are listed in Table 11. This positions ligand–receptor remodelling as the </w:t>
      </w:r>
      <w:r>
        <w:rPr>
          <w:rFonts w:ascii="Times New Roman" w:hAnsi="Times New Roman"/>
          <w:b w:val="0"/>
          <w:i/>
          <w:sz w:val="22"/>
        </w:rPr>
        <w:t>upstream intercellular signal</w:t>
      </w:r>
      <w:r>
        <w:rPr>
          <w:rFonts w:ascii="Times New Roman" w:hAnsi="Times New Roman"/>
          <w:b w:val="0"/>
          <w:i w:val="0"/>
          <w:sz w:val="22"/>
        </w:rPr>
        <w:t xml:space="preserve"> whose downstream intracellular targets are coordinated by the same master regulators that drive the edge-level ΔW, unifying the communication and GRN-rewiring descriptions of the stroke response.</w:t>
      </w:r>
    </w:p>
    <w:p>
      <w:r>
        <w:rPr>
          <w:rFonts w:ascii="Times New Roman" w:hAnsi="Times New Roman"/>
          <w:b/>
          <w:i w:val="0"/>
          <w:sz w:val="22"/>
        </w:rPr>
        <w:t>Temporal dynamics.</w:t>
      </w:r>
      <w:r>
        <w:rPr>
          <w:rFonts w:ascii="Times New Roman" w:hAnsi="Times New Roman"/>
          <w:b w:val="0"/>
          <w:i w:val="0"/>
          <w:sz w:val="22"/>
        </w:rPr>
        <w:t xml:space="preserve"> The direction of remodelling is not fixed across the time course: for several consistent pairs the sign reverses between 2 d and 14 d. Thrombospondin signalling (Thbs1→Cd47) strengthens at 2 d (log₂FC = +2.62) but weakens by 14 d (−3.19); Cxcl2→Cxcr2 shifts from +1.74 to −4.11; Cxcl12→Cxcr4 from −0.87 to +3.54. Such reversals trace the transition from subacute immune recruitment to repair/remodelling, and are exactly the kind of time-resolved, edge-level signal that a fixed-graph framework is designed to expose rather than to predict.</w:t>
      </w:r>
    </w:p>
    <w:p>
      <w:r>
        <w:rPr>
          <w:rFonts w:ascii="Times New Roman" w:hAnsi="Times New Roman"/>
          <w:b/>
          <w:i w:val="0"/>
          <w:sz w:val="22"/>
        </w:rPr>
        <w:t>Table 11.</w:t>
      </w:r>
      <w:r>
        <w:rPr>
          <w:rFonts w:ascii="Times New Roman" w:hAnsi="Times New Roman"/>
          <w:b w:val="0"/>
          <w:i w:val="0"/>
          <w:sz w:val="22"/>
        </w:rPr>
        <w:t xml:space="preserve"> Core remodelled ligand–receptor pairs: consistent at both 2 d and 14 d and linked to a master-regulator program (Sox10/Cebpb/Gata2).</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Ligand → Receptor</w:t>
            </w:r>
          </w:p>
        </w:tc>
        <w:tc>
          <w:tcPr>
            <w:tcW w:type="dxa" w:w="1805"/>
            <w:shd w:val="clear" w:color="auto" w:fill="D9E2F3"/>
          </w:tcPr>
          <w:p>
            <w:r>
              <w:rPr>
                <w:b/>
              </w:rPr>
            </w:r>
            <w:r>
              <w:rPr>
                <w:rFonts w:ascii="Times New Roman" w:hAnsi="Times New Roman"/>
                <w:b/>
                <w:i w:val="0"/>
                <w:sz w:val="18"/>
              </w:rPr>
              <w:t>Pathway</w:t>
            </w:r>
          </w:p>
        </w:tc>
        <w:tc>
          <w:tcPr>
            <w:tcW w:type="dxa" w:w="1805"/>
            <w:shd w:val="clear" w:color="auto" w:fill="D9E2F3"/>
          </w:tcPr>
          <w:p>
            <w:r>
              <w:rPr>
                <w:b/>
              </w:rPr>
            </w:r>
            <w:r>
              <w:rPr>
                <w:rFonts w:ascii="Times New Roman" w:hAnsi="Times New Roman"/>
                <w:b/>
                <w:i w:val="0"/>
                <w:sz w:val="18"/>
              </w:rPr>
              <w:t>Transitions</w:t>
            </w:r>
          </w:p>
        </w:tc>
        <w:tc>
          <w:tcPr>
            <w:tcW w:type="dxa" w:w="1805"/>
            <w:shd w:val="clear" w:color="auto" w:fill="D9E2F3"/>
          </w:tcPr>
          <w:p>
            <w:r>
              <w:rPr>
                <w:b/>
              </w:rPr>
            </w:r>
            <w:r>
              <w:rPr>
                <w:rFonts w:ascii="Times New Roman" w:hAnsi="Times New Roman"/>
                <w:b/>
                <w:i w:val="0"/>
                <w:sz w:val="18"/>
              </w:rPr>
              <w:t>log₂FC (2 d)</w:t>
            </w:r>
          </w:p>
        </w:tc>
        <w:tc>
          <w:tcPr>
            <w:tcW w:type="dxa" w:w="1805"/>
            <w:shd w:val="clear" w:color="auto" w:fill="D9E2F3"/>
          </w:tcPr>
          <w:p>
            <w:r>
              <w:rPr>
                <w:b/>
              </w:rPr>
            </w:r>
            <w:r>
              <w:rPr>
                <w:rFonts w:ascii="Times New Roman" w:hAnsi="Times New Roman"/>
                <w:b/>
                <w:i w:val="0"/>
                <w:sz w:val="18"/>
              </w:rPr>
              <w:t>log₂FC (14 d)</w:t>
            </w:r>
          </w:p>
        </w:tc>
      </w:tr>
      <w:tr>
        <w:tc>
          <w:tcPr>
            <w:tcW w:type="dxa" w:w="1806"/>
          </w:tcPr>
          <w:p>
            <w:r/>
            <w:r>
              <w:rPr>
                <w:rFonts w:ascii="Times New Roman" w:hAnsi="Times New Roman"/>
                <w:b w:val="0"/>
                <w:i w:val="0"/>
                <w:sz w:val="18"/>
              </w:rPr>
              <w:t>Ccl2 → Ccr2</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+3.40</w:t>
            </w:r>
          </w:p>
        </w:tc>
        <w:tc>
          <w:tcPr>
            <w:tcW w:type="dxa" w:w="1805"/>
          </w:tcPr>
          <w:p>
            <w:r/>
            <w:r>
              <w:rPr>
                <w:rFonts w:ascii="Times New Roman" w:hAnsi="Times New Roman"/>
                <w:b w:val="0"/>
                <w:i w:val="0"/>
                <w:sz w:val="18"/>
              </w:rPr>
              <w:t>+3.29</w:t>
            </w:r>
          </w:p>
        </w:tc>
      </w:tr>
      <w:tr>
        <w:tc>
          <w:tcPr>
            <w:tcW w:type="dxa" w:w="1806"/>
          </w:tcPr>
          <w:p>
            <w:r/>
            <w:r>
              <w:rPr>
                <w:rFonts w:ascii="Times New Roman" w:hAnsi="Times New Roman"/>
                <w:b w:val="0"/>
                <w:i w:val="0"/>
                <w:sz w:val="18"/>
              </w:rPr>
              <w:t>Ccl3 → Ccr5</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+4.90</w:t>
            </w:r>
          </w:p>
        </w:tc>
        <w:tc>
          <w:tcPr>
            <w:tcW w:type="dxa" w:w="1805"/>
          </w:tcPr>
          <w:p>
            <w:r/>
            <w:r>
              <w:rPr>
                <w:rFonts w:ascii="Times New Roman" w:hAnsi="Times New Roman"/>
                <w:b w:val="0"/>
                <w:i w:val="0"/>
                <w:sz w:val="18"/>
              </w:rPr>
              <w:t>+6.56</w:t>
            </w:r>
          </w:p>
        </w:tc>
      </w:tr>
      <w:tr>
        <w:tc>
          <w:tcPr>
            <w:tcW w:type="dxa" w:w="1806"/>
          </w:tcPr>
          <w:p>
            <w:r/>
            <w:r>
              <w:rPr>
                <w:rFonts w:ascii="Times New Roman" w:hAnsi="Times New Roman"/>
                <w:b w:val="0"/>
                <w:i w:val="0"/>
                <w:sz w:val="18"/>
              </w:rPr>
              <w:t>Ccl4 → Ccr5</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+5.54</w:t>
            </w:r>
          </w:p>
        </w:tc>
        <w:tc>
          <w:tcPr>
            <w:tcW w:type="dxa" w:w="1805"/>
          </w:tcPr>
          <w:p>
            <w:r/>
            <w:r>
              <w:rPr>
                <w:rFonts w:ascii="Times New Roman" w:hAnsi="Times New Roman"/>
                <w:b w:val="0"/>
                <w:i w:val="0"/>
                <w:sz w:val="18"/>
              </w:rPr>
              <w:t>+6.98</w:t>
            </w:r>
          </w:p>
        </w:tc>
      </w:tr>
      <w:tr>
        <w:tc>
          <w:tcPr>
            <w:tcW w:type="dxa" w:w="1806"/>
          </w:tcPr>
          <w:p>
            <w:r/>
            <w:r>
              <w:rPr>
                <w:rFonts w:ascii="Times New Roman" w:hAnsi="Times New Roman"/>
                <w:b w:val="0"/>
                <w:i w:val="0"/>
                <w:sz w:val="18"/>
              </w:rPr>
              <w:t>Cxcl10 → Cxcr3</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+2.37</w:t>
            </w:r>
          </w:p>
        </w:tc>
        <w:tc>
          <w:tcPr>
            <w:tcW w:type="dxa" w:w="1805"/>
          </w:tcPr>
          <w:p>
            <w:r/>
            <w:r>
              <w:rPr>
                <w:rFonts w:ascii="Times New Roman" w:hAnsi="Times New Roman"/>
                <w:b w:val="0"/>
                <w:i w:val="0"/>
                <w:sz w:val="18"/>
              </w:rPr>
              <w:t>+3.04</w:t>
            </w:r>
          </w:p>
        </w:tc>
      </w:tr>
      <w:tr>
        <w:tc>
          <w:tcPr>
            <w:tcW w:type="dxa" w:w="1806"/>
          </w:tcPr>
          <w:p>
            <w:r/>
            <w:r>
              <w:rPr>
                <w:rFonts w:ascii="Times New Roman" w:hAnsi="Times New Roman"/>
                <w:b w:val="0"/>
                <w:i w:val="0"/>
                <w:sz w:val="18"/>
              </w:rPr>
              <w:t>Cxcl2 → Cxcr2</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+1.74</w:t>
            </w:r>
          </w:p>
        </w:tc>
        <w:tc>
          <w:tcPr>
            <w:tcW w:type="dxa" w:w="1805"/>
          </w:tcPr>
          <w:p>
            <w:r/>
            <w:r>
              <w:rPr>
                <w:rFonts w:ascii="Times New Roman" w:hAnsi="Times New Roman"/>
                <w:b w:val="0"/>
                <w:i w:val="0"/>
                <w:sz w:val="18"/>
              </w:rPr>
              <w:t>−4.11</w:t>
            </w:r>
          </w:p>
        </w:tc>
      </w:tr>
      <w:tr>
        <w:tc>
          <w:tcPr>
            <w:tcW w:type="dxa" w:w="1806"/>
          </w:tcPr>
          <w:p>
            <w:r/>
            <w:r>
              <w:rPr>
                <w:rFonts w:ascii="Times New Roman" w:hAnsi="Times New Roman"/>
                <w:b w:val="0"/>
                <w:i w:val="0"/>
                <w:sz w:val="18"/>
              </w:rPr>
              <w:t>Cxcl12 → Cxcr4</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−0.87</w:t>
            </w:r>
          </w:p>
        </w:tc>
        <w:tc>
          <w:tcPr>
            <w:tcW w:type="dxa" w:w="1805"/>
          </w:tcPr>
          <w:p>
            <w:r/>
            <w:r>
              <w:rPr>
                <w:rFonts w:ascii="Times New Roman" w:hAnsi="Times New Roman"/>
                <w:b w:val="0"/>
                <w:i w:val="0"/>
                <w:sz w:val="18"/>
              </w:rPr>
              <w:t>+3.54</w:t>
            </w:r>
          </w:p>
        </w:tc>
      </w:tr>
      <w:tr>
        <w:tc>
          <w:tcPr>
            <w:tcW w:type="dxa" w:w="1806"/>
          </w:tcPr>
          <w:p>
            <w:r/>
            <w:r>
              <w:rPr>
                <w:rFonts w:ascii="Times New Roman" w:hAnsi="Times New Roman"/>
                <w:b w:val="0"/>
                <w:i w:val="0"/>
                <w:sz w:val="18"/>
              </w:rPr>
              <w:t>Fn1 → Itgb1</w:t>
            </w:r>
          </w:p>
        </w:tc>
        <w:tc>
          <w:tcPr>
            <w:tcW w:type="dxa" w:w="1805"/>
          </w:tcPr>
          <w:p>
            <w:r/>
            <w:r>
              <w:rPr>
                <w:rFonts w:ascii="Times New Roman" w:hAnsi="Times New Roman"/>
                <w:b w:val="0"/>
                <w:i w:val="0"/>
                <w:sz w:val="18"/>
              </w:rPr>
              <w:t>ECM</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+3.22</w:t>
            </w:r>
          </w:p>
        </w:tc>
        <w:tc>
          <w:tcPr>
            <w:tcW w:type="dxa" w:w="1805"/>
          </w:tcPr>
          <w:p>
            <w:r/>
            <w:r>
              <w:rPr>
                <w:rFonts w:ascii="Times New Roman" w:hAnsi="Times New Roman"/>
                <w:b w:val="0"/>
                <w:i w:val="0"/>
                <w:sz w:val="18"/>
              </w:rPr>
              <w:t>+3.56</w:t>
            </w:r>
          </w:p>
        </w:tc>
      </w:tr>
      <w:tr>
        <w:tc>
          <w:tcPr>
            <w:tcW w:type="dxa" w:w="1806"/>
          </w:tcPr>
          <w:p>
            <w:r/>
            <w:r>
              <w:rPr>
                <w:rFonts w:ascii="Times New Roman" w:hAnsi="Times New Roman"/>
                <w:b w:val="0"/>
                <w:i w:val="0"/>
                <w:sz w:val="18"/>
              </w:rPr>
              <w:t>Lamb2 → Itgb1</w:t>
            </w:r>
          </w:p>
        </w:tc>
        <w:tc>
          <w:tcPr>
            <w:tcW w:type="dxa" w:w="1805"/>
          </w:tcPr>
          <w:p>
            <w:r/>
            <w:r>
              <w:rPr>
                <w:rFonts w:ascii="Times New Roman" w:hAnsi="Times New Roman"/>
                <w:b w:val="0"/>
                <w:i w:val="0"/>
                <w:sz w:val="18"/>
              </w:rPr>
              <w:t>ECM</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+2.76</w:t>
            </w:r>
          </w:p>
        </w:tc>
        <w:tc>
          <w:tcPr>
            <w:tcW w:type="dxa" w:w="1805"/>
          </w:tcPr>
          <w:p>
            <w:r/>
            <w:r>
              <w:rPr>
                <w:rFonts w:ascii="Times New Roman" w:hAnsi="Times New Roman"/>
                <w:b w:val="0"/>
                <w:i w:val="0"/>
                <w:sz w:val="18"/>
              </w:rPr>
              <w:t>+3.52</w:t>
            </w:r>
          </w:p>
        </w:tc>
      </w:tr>
      <w:tr>
        <w:tc>
          <w:tcPr>
            <w:tcW w:type="dxa" w:w="1806"/>
          </w:tcPr>
          <w:p>
            <w:r/>
            <w:r>
              <w:rPr>
                <w:rFonts w:ascii="Times New Roman" w:hAnsi="Times New Roman"/>
                <w:b w:val="0"/>
                <w:i w:val="0"/>
                <w:sz w:val="18"/>
              </w:rPr>
              <w:t>Col4a1 → Cd44</w:t>
            </w:r>
          </w:p>
        </w:tc>
        <w:tc>
          <w:tcPr>
            <w:tcW w:type="dxa" w:w="1805"/>
          </w:tcPr>
          <w:p>
            <w:r/>
            <w:r>
              <w:rPr>
                <w:rFonts w:ascii="Times New Roman" w:hAnsi="Times New Roman"/>
                <w:b w:val="0"/>
                <w:i w:val="0"/>
                <w:sz w:val="18"/>
              </w:rPr>
              <w:t>ECM</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+4.86</w:t>
            </w:r>
          </w:p>
        </w:tc>
        <w:tc>
          <w:tcPr>
            <w:tcW w:type="dxa" w:w="1805"/>
          </w:tcPr>
          <w:p>
            <w:r/>
            <w:r>
              <w:rPr>
                <w:rFonts w:ascii="Times New Roman" w:hAnsi="Times New Roman"/>
                <w:b w:val="0"/>
                <w:i w:val="0"/>
                <w:sz w:val="18"/>
              </w:rPr>
              <w:t>+4.63</w:t>
            </w:r>
          </w:p>
        </w:tc>
      </w:tr>
      <w:tr>
        <w:tc>
          <w:tcPr>
            <w:tcW w:type="dxa" w:w="1806"/>
          </w:tcPr>
          <w:p>
            <w:r/>
            <w:r>
              <w:rPr>
                <w:rFonts w:ascii="Times New Roman" w:hAnsi="Times New Roman"/>
                <w:b w:val="0"/>
                <w:i w:val="0"/>
                <w:sz w:val="18"/>
              </w:rPr>
              <w:t>Spp1 → Cd44</w:t>
            </w:r>
          </w:p>
        </w:tc>
        <w:tc>
          <w:tcPr>
            <w:tcW w:type="dxa" w:w="1805"/>
          </w:tcPr>
          <w:p>
            <w:r/>
            <w:r>
              <w:rPr>
                <w:rFonts w:ascii="Times New Roman" w:hAnsi="Times New Roman"/>
                <w:b w:val="0"/>
                <w:i w:val="0"/>
                <w:sz w:val="18"/>
              </w:rPr>
              <w:t>Osteopontin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+5.55</w:t>
            </w:r>
          </w:p>
        </w:tc>
        <w:tc>
          <w:tcPr>
            <w:tcW w:type="dxa" w:w="1805"/>
          </w:tcPr>
          <w:p>
            <w:r/>
            <w:r>
              <w:rPr>
                <w:rFonts w:ascii="Times New Roman" w:hAnsi="Times New Roman"/>
                <w:b w:val="0"/>
                <w:i w:val="0"/>
                <w:sz w:val="18"/>
              </w:rPr>
              <w:t>+3.93</w:t>
            </w:r>
          </w:p>
        </w:tc>
      </w:tr>
      <w:tr>
        <w:tc>
          <w:tcPr>
            <w:tcW w:type="dxa" w:w="1806"/>
          </w:tcPr>
          <w:p>
            <w:r/>
            <w:r>
              <w:rPr>
                <w:rFonts w:ascii="Times New Roman" w:hAnsi="Times New Roman"/>
                <w:b w:val="0"/>
                <w:i w:val="0"/>
                <w:sz w:val="18"/>
              </w:rPr>
              <w:t>Thbs1 → Cd36</w:t>
            </w:r>
          </w:p>
        </w:tc>
        <w:tc>
          <w:tcPr>
            <w:tcW w:type="dxa" w:w="1805"/>
          </w:tcPr>
          <w:p>
            <w:r/>
            <w:r>
              <w:rPr>
                <w:rFonts w:ascii="Times New Roman" w:hAnsi="Times New Roman"/>
                <w:b w:val="0"/>
                <w:i w:val="0"/>
                <w:sz w:val="18"/>
              </w:rPr>
              <w:t>Thrombospondin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+2.55</w:t>
            </w:r>
          </w:p>
        </w:tc>
        <w:tc>
          <w:tcPr>
            <w:tcW w:type="dxa" w:w="1805"/>
          </w:tcPr>
          <w:p>
            <w:r/>
            <w:r>
              <w:rPr>
                <w:rFonts w:ascii="Times New Roman" w:hAnsi="Times New Roman"/>
                <w:b w:val="0"/>
                <w:i w:val="0"/>
                <w:sz w:val="18"/>
              </w:rPr>
              <w:t>+2.11</w:t>
            </w:r>
          </w:p>
        </w:tc>
      </w:tr>
      <w:tr>
        <w:tc>
          <w:tcPr>
            <w:tcW w:type="dxa" w:w="1806"/>
          </w:tcPr>
          <w:p>
            <w:r/>
            <w:r>
              <w:rPr>
                <w:rFonts w:ascii="Times New Roman" w:hAnsi="Times New Roman"/>
                <w:b w:val="0"/>
                <w:i w:val="0"/>
                <w:sz w:val="18"/>
              </w:rPr>
              <w:t>Thbs1 → Cd47</w:t>
            </w:r>
          </w:p>
        </w:tc>
        <w:tc>
          <w:tcPr>
            <w:tcW w:type="dxa" w:w="1805"/>
          </w:tcPr>
          <w:p>
            <w:r/>
            <w:r>
              <w:rPr>
                <w:rFonts w:ascii="Times New Roman" w:hAnsi="Times New Roman"/>
                <w:b w:val="0"/>
                <w:i w:val="0"/>
                <w:sz w:val="18"/>
              </w:rPr>
              <w:t>Thrombospondin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+2.62</w:t>
            </w:r>
          </w:p>
        </w:tc>
        <w:tc>
          <w:tcPr>
            <w:tcW w:type="dxa" w:w="1805"/>
          </w:tcPr>
          <w:p>
            <w:r/>
            <w:r>
              <w:rPr>
                <w:rFonts w:ascii="Times New Roman" w:hAnsi="Times New Roman"/>
                <w:b w:val="0"/>
                <w:i w:val="0"/>
                <w:sz w:val="18"/>
              </w:rPr>
              <w:t>−3.19</w:t>
            </w:r>
          </w:p>
        </w:tc>
      </w:tr>
      <w:tr>
        <w:tc>
          <w:tcPr>
            <w:tcW w:type="dxa" w:w="1806"/>
          </w:tcPr>
          <w:p>
            <w:r/>
            <w:r>
              <w:rPr>
                <w:rFonts w:ascii="Times New Roman" w:hAnsi="Times New Roman"/>
                <w:b w:val="0"/>
                <w:i w:val="0"/>
                <w:sz w:val="18"/>
              </w:rPr>
              <w:t>Tgfb1 → Acvrl1</w:t>
            </w:r>
          </w:p>
        </w:tc>
        <w:tc>
          <w:tcPr>
            <w:tcW w:type="dxa" w:w="1805"/>
          </w:tcPr>
          <w:p>
            <w:r/>
            <w:r>
              <w:rPr>
                <w:rFonts w:ascii="Times New Roman" w:hAnsi="Times New Roman"/>
                <w:b w:val="0"/>
                <w:i w:val="0"/>
                <w:sz w:val="18"/>
              </w:rPr>
              <w:t>TGFβ</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+2.43</w:t>
            </w:r>
          </w:p>
        </w:tc>
        <w:tc>
          <w:tcPr>
            <w:tcW w:type="dxa" w:w="1805"/>
          </w:tcPr>
          <w:p>
            <w:r/>
            <w:r>
              <w:rPr>
                <w:rFonts w:ascii="Times New Roman" w:hAnsi="Times New Roman"/>
                <w:b w:val="0"/>
                <w:i w:val="0"/>
                <w:sz w:val="18"/>
              </w:rPr>
              <w:t>+2.78</w:t>
            </w:r>
          </w:p>
        </w:tc>
      </w:tr>
      <w:tr>
        <w:tc>
          <w:tcPr>
            <w:tcW w:type="dxa" w:w="1806"/>
          </w:tcPr>
          <w:p>
            <w:r/>
            <w:r>
              <w:rPr>
                <w:rFonts w:ascii="Times New Roman" w:hAnsi="Times New Roman"/>
                <w:b w:val="0"/>
                <w:i w:val="0"/>
                <w:sz w:val="18"/>
              </w:rPr>
              <w:t>Csf1 → Csf1r</w:t>
            </w:r>
          </w:p>
        </w:tc>
        <w:tc>
          <w:tcPr>
            <w:tcW w:type="dxa" w:w="1805"/>
          </w:tcPr>
          <w:p>
            <w:r/>
            <w:r>
              <w:rPr>
                <w:rFonts w:ascii="Times New Roman" w:hAnsi="Times New Roman"/>
                <w:b w:val="0"/>
                <w:i w:val="0"/>
                <w:sz w:val="18"/>
              </w:rPr>
              <w:t>Cytokine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+2.25</w:t>
            </w:r>
          </w:p>
        </w:tc>
        <w:tc>
          <w:tcPr>
            <w:tcW w:type="dxa" w:w="1805"/>
          </w:tcPr>
          <w:p>
            <w:r/>
            <w:r>
              <w:rPr>
                <w:rFonts w:ascii="Times New Roman" w:hAnsi="Times New Roman"/>
                <w:b w:val="0"/>
                <w:i w:val="0"/>
                <w:sz w:val="18"/>
              </w:rPr>
              <w:t>+3.24</w:t>
            </w:r>
          </w:p>
        </w:tc>
      </w:tr>
      <w:tr>
        <w:tc>
          <w:tcPr>
            <w:tcW w:type="dxa" w:w="1806"/>
          </w:tcPr>
          <w:p>
            <w:r/>
            <w:r>
              <w:rPr>
                <w:rFonts w:ascii="Times New Roman" w:hAnsi="Times New Roman"/>
                <w:b w:val="0"/>
                <w:i w:val="0"/>
                <w:sz w:val="18"/>
              </w:rPr>
              <w:t>Tnf → Tnfrsf1a</w:t>
            </w:r>
          </w:p>
        </w:tc>
        <w:tc>
          <w:tcPr>
            <w:tcW w:type="dxa" w:w="1805"/>
          </w:tcPr>
          <w:p>
            <w:r/>
            <w:r>
              <w:rPr>
                <w:rFonts w:ascii="Times New Roman" w:hAnsi="Times New Roman"/>
                <w:b w:val="0"/>
                <w:i w:val="0"/>
                <w:sz w:val="18"/>
              </w:rPr>
              <w:t>Cytokine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+3.41</w:t>
            </w:r>
          </w:p>
        </w:tc>
        <w:tc>
          <w:tcPr>
            <w:tcW w:type="dxa" w:w="1805"/>
          </w:tcPr>
          <w:p>
            <w:r/>
            <w:r>
              <w:rPr>
                <w:rFonts w:ascii="Times New Roman" w:hAnsi="Times New Roman"/>
                <w:b w:val="0"/>
                <w:i w:val="0"/>
                <w:sz w:val="18"/>
              </w:rPr>
              <w:t>+3.33</w:t>
            </w:r>
          </w:p>
        </w:tc>
      </w:tr>
      <w:tr>
        <w:tc>
          <w:tcPr>
            <w:tcW w:type="dxa" w:w="1806"/>
          </w:tcPr>
          <w:p>
            <w:r/>
            <w:r>
              <w:rPr>
                <w:rFonts w:ascii="Times New Roman" w:hAnsi="Times New Roman"/>
                <w:b w:val="0"/>
                <w:i w:val="0"/>
                <w:sz w:val="18"/>
              </w:rPr>
              <w:t>Icam1 → Itgb2</w:t>
            </w:r>
          </w:p>
        </w:tc>
        <w:tc>
          <w:tcPr>
            <w:tcW w:type="dxa" w:w="1805"/>
          </w:tcPr>
          <w:p>
            <w:r/>
            <w:r>
              <w:rPr>
                <w:rFonts w:ascii="Times New Roman" w:hAnsi="Times New Roman"/>
                <w:b w:val="0"/>
                <w:i w:val="0"/>
                <w:sz w:val="18"/>
              </w:rPr>
              <w:t>Adhesion</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+3.12</w:t>
            </w:r>
          </w:p>
        </w:tc>
        <w:tc>
          <w:tcPr>
            <w:tcW w:type="dxa" w:w="1805"/>
          </w:tcPr>
          <w:p>
            <w:r/>
            <w:r>
              <w:rPr>
                <w:rFonts w:ascii="Times New Roman" w:hAnsi="Times New Roman"/>
                <w:b w:val="0"/>
                <w:i w:val="0"/>
                <w:sz w:val="18"/>
              </w:rPr>
              <w:t>+4.71</w:t>
            </w:r>
          </w:p>
        </w:tc>
      </w:tr>
      <w:tr>
        <w:tc>
          <w:tcPr>
            <w:tcW w:type="dxa" w:w="1806"/>
          </w:tcPr>
          <w:p>
            <w:r/>
            <w:r>
              <w:rPr>
                <w:rFonts w:ascii="Times New Roman" w:hAnsi="Times New Roman"/>
                <w:b w:val="0"/>
                <w:i w:val="0"/>
                <w:sz w:val="18"/>
              </w:rPr>
              <w:t>Osm → Osmr</w:t>
            </w:r>
          </w:p>
        </w:tc>
        <w:tc>
          <w:tcPr>
            <w:tcW w:type="dxa" w:w="1805"/>
          </w:tcPr>
          <w:p>
            <w:r/>
            <w:r>
              <w:rPr>
                <w:rFonts w:ascii="Times New Roman" w:hAnsi="Times New Roman"/>
                <w:b w:val="0"/>
                <w:i w:val="0"/>
                <w:sz w:val="18"/>
              </w:rPr>
              <w:t>Cytokine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+2.22</w:t>
            </w:r>
          </w:p>
        </w:tc>
        <w:tc>
          <w:tcPr>
            <w:tcW w:type="dxa" w:w="1805"/>
          </w:tcPr>
          <w:p>
            <w:r/>
            <w:r>
              <w:rPr>
                <w:rFonts w:ascii="Times New Roman" w:hAnsi="Times New Roman"/>
                <w:b w:val="0"/>
                <w:i w:val="0"/>
                <w:sz w:val="18"/>
              </w:rPr>
              <w:t>+1.72</w:t>
            </w:r>
          </w:p>
        </w:tc>
      </w:tr>
      <w:tr>
        <w:tc>
          <w:tcPr>
            <w:tcW w:type="dxa" w:w="1806"/>
          </w:tcPr>
          <w:p>
            <w:r/>
            <w:r>
              <w:rPr>
                <w:rFonts w:ascii="Times New Roman" w:hAnsi="Times New Roman"/>
                <w:b w:val="0"/>
                <w:i w:val="0"/>
                <w:sz w:val="18"/>
              </w:rPr>
              <w:t>Ccl3 → Ccr1</w:t>
            </w:r>
          </w:p>
        </w:tc>
        <w:tc>
          <w:tcPr>
            <w:tcW w:type="dxa" w:w="1805"/>
          </w:tcPr>
          <w:p>
            <w:r/>
            <w:r>
              <w:rPr>
                <w:rFonts w:ascii="Times New Roman" w:hAnsi="Times New Roman"/>
                <w:b w:val="0"/>
                <w:i w:val="0"/>
                <w:sz w:val="18"/>
              </w:rPr>
              <w:t>Chemokine</w:t>
            </w:r>
          </w:p>
        </w:tc>
        <w:tc>
          <w:tcPr>
            <w:tcW w:type="dxa" w:w="1805"/>
          </w:tcPr>
          <w:p>
            <w:r/>
            <w:r>
              <w:rPr>
                <w:rFonts w:ascii="Times New Roman" w:hAnsi="Times New Roman"/>
                <w:b w:val="0"/>
                <w:i w:val="0"/>
                <w:sz w:val="18"/>
              </w:rPr>
              <w:t>2 d, 14 d</w:t>
            </w:r>
          </w:p>
        </w:tc>
        <w:tc>
          <w:tcPr>
            <w:tcW w:type="dxa" w:w="1805"/>
          </w:tcPr>
          <w:p>
            <w:r/>
            <w:r>
              <w:rPr>
                <w:rFonts w:ascii="Times New Roman" w:hAnsi="Times New Roman"/>
                <w:b w:val="0"/>
                <w:i w:val="0"/>
                <w:sz w:val="18"/>
              </w:rPr>
              <w:t>+3.72</w:t>
            </w:r>
          </w:p>
        </w:tc>
        <w:tc>
          <w:tcPr>
            <w:tcW w:type="dxa" w:w="1805"/>
          </w:tcPr>
          <w:p>
            <w:r/>
            <w:r>
              <w:rPr>
                <w:rFonts w:ascii="Times New Roman" w:hAnsi="Times New Roman"/>
                <w:b w:val="0"/>
                <w:i w:val="0"/>
                <w:sz w:val="18"/>
              </w:rPr>
              <w:t>+4.28</w:t>
            </w:r>
          </w:p>
        </w:tc>
      </w:tr>
    </w:tbl>
    <w:p/>
    <w:p>
      <w:r>
        <w:rPr>
          <w:rFonts w:ascii="Times New Roman" w:hAnsi="Times New Roman"/>
          <w:b w:val="0"/>
          <w:i w:val="0"/>
          <w:sz w:val="22"/>
        </w:rPr>
        <w:t>(负值表示通讯减弱;方向反转者见正文。所有 18 对均在 GSE225948 的 2 d 与 14 d 同时显著。)</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significantly beat the linear baseline in only four cases (all from one seed's combinatorial split) and never underperformed it, with confidence intervals otherwise spanning zero and reinforced by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position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12, 13</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38, 39</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This aligns TSC-GNN with the module-level hypothesis-generation paradigm (SCENIC , NicheNet ) rather than with earlier edge-level causality claims that failed to sustain adoption </w:t>
      </w:r>
      <w:r>
        <w:rPr>
          <w:rFonts w:ascii="Times New Roman" w:hAnsi="Times New Roman"/>
          <w:b w:val="0"/>
          <w:i w:val="0"/>
          <w:sz w:val="22"/>
          <w:vertAlign w:val="superscript"/>
        </w:rPr>
        <w:t>18, 38, 40</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41, 42</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43</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44, 45</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three cohorts (GSE174574, GSE197731 and GSE225948; 2.1). The resulting axis is non-uniformly sampled (the 3–7 d window is absent, and the 48 h node is only available in GSE197731)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CellChat temporal resolution.</w:t>
      </w:r>
      <w:r>
        <w:rPr>
          <w:rFonts w:ascii="Times New Roman" w:hAnsi="Times New Roman"/>
          <w:b w:val="0"/>
          <w:i w:val="0"/>
          <w:sz w:val="22"/>
        </w:rPr>
        <w:t xml:space="preserve"> The cell–cell communication layer inherits the same stitched axis but was, in the original two-cohort design, sparsely covered at the early time point: GSE174574 (24 h) yielded only 3 LR records (2 significant), so the CellChat analysis made no claim about 24 h and all 22 cross-time-consistent pairs came from the 2 d ↔ 14 d comparison. </w:t>
      </w:r>
      <w:r>
        <w:rPr>
          <w:rFonts w:ascii="Times New Roman" w:hAnsi="Times New Roman"/>
          <w:b/>
          <w:i w:val="0"/>
          <w:sz w:val="22"/>
        </w:rPr>
        <w:t>This gap is now closed by Cohort 3 (GSE197731), which powers both 24 h (38 significant LR pairs in the WT arm) and the previously missing 48 h time point (42 significant LR pairs).</w:t>
      </w:r>
      <w:r>
        <w:rPr>
          <w:rFonts w:ascii="Times New Roman" w:hAnsi="Times New Roman"/>
          <w:b w:val="0"/>
          <w:i w:val="0"/>
          <w:sz w:val="22"/>
        </w:rPr>
        <w:t xml:space="preserve"> The 24 h window is therefore now supported by two independent cohorts. Direct LR-pair-level replication between the two 24 h cohorts is null (Jaccard = 0.00): with only 2 significant LR pairs in GSE174574 versus 38 in GSE197731_WT, the overlap is bounded at ≈0.05 even under perfect agreement and is 0 here — a power artefact, not evidence of non-reproducibility. We therefore assess cross-cohort 24 h consistency at the pathway and sender→receiver cell-type level, where Thrombospondin signalling and Pericyte→Pericyte communication converge across the two cohorts (3.9; Supplementary Fig. S2). A residual limitation remains: the early inflammatory wave at 24 h is still captured far more richly by the ligand–receptor layer in GSE197731 than in GSE174574, so the two 24 h cohorts are complementary rather than interchangeable, and the 48 h node is unique to GSE197731 (no public cohort covers 24 h → 48 h → 2 d continuously). This early-time-point sparsity in GSE174574 is robust to the expression-gating threshold: at MIN_FRAC = 0.05 / 0.10 / 0.15 it yields 12 / 3 / 1 candidate LR–transition records (5 / 2 / 1 significant), so cohort 1 is genuinely under-powered rather than an artefact of the chosen gate.</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18, 38</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program-level, context-gated causal support and a translatable output. The five-level ladder (L1–L5) establishes cross-cohort reproducibility, biological coherence, cross-species convergence, translational convergence, and program-level, context-gated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GSE197731 </w:t>
      </w:r>
      <w:r>
        <w:rPr>
          <w:rFonts w:ascii="Times New Roman" w:hAnsi="Times New Roman"/>
          <w:b w:val="0"/>
          <w:i w:val="0"/>
          <w:sz w:val="22"/>
          <w:vertAlign w:val="superscript"/>
        </w:rPr>
        <w:t>29</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r>
        <w:rPr>
          <w:rFonts w:ascii="Times New Roman" w:hAnsi="Times New Roman"/>
          <w:b/>
          <w:i w:val="0"/>
          <w:sz w:val="22"/>
        </w:rPr>
        <w:t>Supplementary Materials</w:t>
      </w:r>
    </w:p>
    <w:p>
      <w:r>
        <w:rPr>
          <w:rFonts w:ascii="Times New Roman" w:hAnsi="Times New Roman"/>
          <w:b/>
          <w:i w:val="0"/>
          <w:sz w:val="22"/>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val="0"/>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val="0"/>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val="0"/>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val="0"/>
                <w:i w:val="0"/>
                <w:sz w:val="18"/>
              </w:rPr>
              <w:t>Sox10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val="0"/>
                <w:i w:val="0"/>
                <w:sz w:val="18"/>
              </w:rPr>
              <w:t>Cebpb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val="0"/>
                <w:i w:val="0"/>
                <w:sz w:val="18"/>
              </w:rPr>
              <w:t>0.022</w:t>
            </w:r>
          </w:p>
        </w:tc>
        <w:tc>
          <w:tcPr>
            <w:tcW w:type="dxa" w:w="1504"/>
          </w:tcPr>
          <w:p>
            <w:r/>
            <w:r>
              <w:rPr>
                <w:rFonts w:ascii="Times New Roman" w:hAnsi="Times New Roman"/>
                <w:b w:val="0"/>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val="0"/>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val="0"/>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val="0"/>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r>
        <w:rPr>
          <w:rFonts w:ascii="Times New Roman" w:hAnsi="Times New Roman"/>
          <w:b/>
          <w:i w:val="0"/>
          <w:sz w:val="22"/>
        </w:rPr>
        <w:t>References</w:t>
      </w:r>
    </w:p>
    <w:p>
      <w:pPr>
        <w:pStyle w:val="ListNumber"/>
      </w:pPr>
      <w:r>
        <w:rPr>
          <w:rFonts w:ascii="Times New Roman" w:hAnsi="Times New Roman"/>
          <w:b w:val="0"/>
          <w:i w:val="0"/>
          <w:sz w:val="22"/>
        </w:rPr>
        <w:t xml:space="preserve">Carmichael, S.T., </w:t>
      </w:r>
      <w:r>
        <w:rPr>
          <w:rFonts w:ascii="Times New Roman" w:hAnsi="Times New Roman"/>
          <w:b w:val="0"/>
          <w:i/>
          <w:sz w:val="22"/>
        </w:rPr>
        <w:t>The 3 Rs of Stroke Biology: Radial, Relayed, and Regenerative.</w:t>
      </w:r>
      <w:r>
        <w:rPr>
          <w:rFonts w:ascii="Times New Roman" w:hAnsi="Times New Roman"/>
          <w:b w:val="0"/>
          <w:i w:val="0"/>
          <w:sz w:val="22"/>
        </w:rPr>
        <w:t xml:space="preserve"> Neurotherapeutics, 2016. </w:t>
      </w:r>
      <w:r>
        <w:rPr>
          <w:rFonts w:ascii="Times New Roman" w:hAnsi="Times New Roman"/>
          <w:b/>
          <w:i w:val="0"/>
          <w:sz w:val="22"/>
        </w:rPr>
        <w:t>13</w:t>
      </w:r>
      <w:r>
        <w:rPr>
          <w:rFonts w:ascii="Times New Roman" w:hAnsi="Times New Roman"/>
          <w:b w:val="0"/>
          <w:i w:val="0"/>
          <w:sz w:val="22"/>
        </w:rPr>
        <w:t>(2): p. 348-59.</w:t>
      </w:r>
    </w:p>
    <w:p>
      <w:pPr>
        <w:pStyle w:val="ListNumber"/>
      </w:pPr>
      <w:r>
        <w:rPr>
          <w:rFonts w:ascii="Times New Roman" w:hAnsi="Times New Roman"/>
          <w:b w:val="0"/>
          <w:i w:val="0"/>
          <w:sz w:val="22"/>
        </w:rPr>
        <w:t xml:space="preserve">Seah, C., et al., </w:t>
      </w:r>
      <w:r>
        <w:rPr>
          <w:rFonts w:ascii="Times New Roman" w:hAnsi="Times New Roman"/>
          <w:b w:val="0"/>
          <w:i/>
          <w:sz w:val="22"/>
        </w:rPr>
        <w:t>Single-Cell Sequencing of Human Neural Organoids in a Model of Intracerebral Hemorrhage Reveals Temporally Dynamic Responses to Blood.</w:t>
      </w:r>
      <w:r>
        <w:rPr>
          <w:rFonts w:ascii="Times New Roman" w:hAnsi="Times New Roman"/>
          <w:b w:val="0"/>
          <w:i w:val="0"/>
          <w:sz w:val="22"/>
        </w:rPr>
        <w:t xml:space="preserve"> Stroke, 2025. </w:t>
      </w:r>
      <w:r>
        <w:rPr>
          <w:rFonts w:ascii="Times New Roman" w:hAnsi="Times New Roman"/>
          <w:b/>
          <w:i w:val="0"/>
          <w:sz w:val="22"/>
        </w:rPr>
        <w:t>56</w:t>
      </w:r>
      <w:r>
        <w:rPr>
          <w:rFonts w:ascii="Times New Roman" w:hAnsi="Times New Roman"/>
          <w:b w:val="0"/>
          <w:i w:val="0"/>
          <w:sz w:val="22"/>
        </w:rPr>
        <w:t>(11): p. 3294-3305.</w:t>
      </w:r>
    </w:p>
    <w:p>
      <w:pPr>
        <w:pStyle w:val="ListNumber"/>
      </w:pPr>
      <w:r>
        <w:rPr>
          <w:rFonts w:ascii="Times New Roman" w:hAnsi="Times New Roman"/>
          <w:b w:val="0"/>
          <w:i w:val="0"/>
          <w:sz w:val="22"/>
        </w:rPr>
        <w:t xml:space="preserve">Garcia-Bonilla, L., et al., </w:t>
      </w:r>
      <w:r>
        <w:rPr>
          <w:rFonts w:ascii="Times New Roman" w:hAnsi="Times New Roman"/>
          <w:b w:val="0"/>
          <w:i/>
          <w:sz w:val="22"/>
        </w:rPr>
        <w:t>Analysis of brain and blood single-cell transcriptomics in acute and subacute phases after experimental stroke.</w:t>
      </w:r>
      <w:r>
        <w:rPr>
          <w:rFonts w:ascii="Times New Roman" w:hAnsi="Times New Roman"/>
          <w:b w:val="0"/>
          <w:i w:val="0"/>
          <w:sz w:val="22"/>
        </w:rPr>
        <w:t xml:space="preserve"> Nature immunology, 2024. </w:t>
      </w:r>
      <w:r>
        <w:rPr>
          <w:rFonts w:ascii="Times New Roman" w:hAnsi="Times New Roman"/>
          <w:b/>
          <w:i w:val="0"/>
          <w:sz w:val="22"/>
        </w:rPr>
        <w:t>25</w:t>
      </w:r>
      <w:r>
        <w:rPr>
          <w:rFonts w:ascii="Times New Roman" w:hAnsi="Times New Roman"/>
          <w:b w:val="0"/>
          <w:i w:val="0"/>
          <w:sz w:val="22"/>
        </w:rPr>
        <w:t>(2): p. 357-370.</w:t>
      </w:r>
    </w:p>
    <w:p>
      <w:pPr>
        <w:pStyle w:val="ListNumber"/>
      </w:pPr>
      <w:r>
        <w:rPr>
          <w:rFonts w:ascii="Times New Roman" w:hAnsi="Times New Roman"/>
          <w:b w:val="0"/>
          <w:i w:val="0"/>
          <w:sz w:val="22"/>
        </w:rPr>
        <w:t xml:space="preserve">Kamimoto, K., et al., </w:t>
      </w:r>
      <w:r>
        <w:rPr>
          <w:rFonts w:ascii="Times New Roman" w:hAnsi="Times New Roman"/>
          <w:b w:val="0"/>
          <w:i/>
          <w:sz w:val="22"/>
        </w:rPr>
        <w:t>Dissecting cell identity via network inference and in silico gene perturbation.</w:t>
      </w:r>
      <w:r>
        <w:rPr>
          <w:rFonts w:ascii="Times New Roman" w:hAnsi="Times New Roman"/>
          <w:b w:val="0"/>
          <w:i w:val="0"/>
          <w:sz w:val="22"/>
        </w:rPr>
        <w:t xml:space="preserve"> Nature, 2023. </w:t>
      </w:r>
      <w:r>
        <w:rPr>
          <w:rFonts w:ascii="Times New Roman" w:hAnsi="Times New Roman"/>
          <w:b/>
          <w:i w:val="0"/>
          <w:sz w:val="22"/>
        </w:rPr>
        <w:t>614</w:t>
      </w:r>
      <w:r>
        <w:rPr>
          <w:rFonts w:ascii="Times New Roman" w:hAnsi="Times New Roman"/>
          <w:b w:val="0"/>
          <w:i w:val="0"/>
          <w:sz w:val="22"/>
        </w:rPr>
        <w:t>(7949): p. 742-751.</w:t>
      </w:r>
    </w:p>
    <w:p>
      <w:pPr>
        <w:pStyle w:val="ListNumber"/>
      </w:pPr>
      <w:r>
        <w:rPr>
          <w:rFonts w:ascii="Times New Roman" w:hAnsi="Times New Roman"/>
          <w:b w:val="0"/>
          <w:i w:val="0"/>
          <w:sz w:val="22"/>
        </w:rPr>
        <w:t xml:space="preserve">Aibar, S., et al., </w:t>
      </w:r>
      <w:r>
        <w:rPr>
          <w:rFonts w:ascii="Times New Roman" w:hAnsi="Times New Roman"/>
          <w:b w:val="0"/>
          <w:i/>
          <w:sz w:val="22"/>
        </w:rPr>
        <w:t>SCENIC: single-cell regulatory network inference and clustering.</w:t>
      </w:r>
      <w:r>
        <w:rPr>
          <w:rFonts w:ascii="Times New Roman" w:hAnsi="Times New Roman"/>
          <w:b w:val="0"/>
          <w:i w:val="0"/>
          <w:sz w:val="22"/>
        </w:rPr>
        <w:t xml:space="preserve"> Nat Methods, 2017. </w:t>
      </w:r>
      <w:r>
        <w:rPr>
          <w:rFonts w:ascii="Times New Roman" w:hAnsi="Times New Roman"/>
          <w:b/>
          <w:i w:val="0"/>
          <w:sz w:val="22"/>
        </w:rPr>
        <w:t>14</w:t>
      </w:r>
      <w:r>
        <w:rPr>
          <w:rFonts w:ascii="Times New Roman" w:hAnsi="Times New Roman"/>
          <w:b w:val="0"/>
          <w:i w:val="0"/>
          <w:sz w:val="22"/>
        </w:rPr>
        <w:t>(11): p. 1083-1086.</w:t>
      </w:r>
    </w:p>
    <w:p>
      <w:pPr>
        <w:pStyle w:val="ListNumber"/>
      </w:pPr>
      <w:r>
        <w:rPr>
          <w:rFonts w:ascii="Times New Roman" w:hAnsi="Times New Roman"/>
          <w:b w:val="0"/>
          <w:i w:val="0"/>
          <w:sz w:val="22"/>
        </w:rPr>
        <w:t xml:space="preserve">Bravo González-Blas, C., et al., </w:t>
      </w:r>
      <w:r>
        <w:rPr>
          <w:rFonts w:ascii="Times New Roman" w:hAnsi="Times New Roman"/>
          <w:b w:val="0"/>
          <w:i/>
          <w:sz w:val="22"/>
        </w:rPr>
        <w:t>SCENIC+: single-cell multiomic inference of enhancers and gene regulatory networks.</w:t>
      </w:r>
      <w:r>
        <w:rPr>
          <w:rFonts w:ascii="Times New Roman" w:hAnsi="Times New Roman"/>
          <w:b w:val="0"/>
          <w:i w:val="0"/>
          <w:sz w:val="22"/>
        </w:rPr>
        <w:t xml:space="preserve"> Nat Methods, 2023. </w:t>
      </w:r>
      <w:r>
        <w:rPr>
          <w:rFonts w:ascii="Times New Roman" w:hAnsi="Times New Roman"/>
          <w:b/>
          <w:i w:val="0"/>
          <w:sz w:val="22"/>
        </w:rPr>
        <w:t>20</w:t>
      </w:r>
      <w:r>
        <w:rPr>
          <w:rFonts w:ascii="Times New Roman" w:hAnsi="Times New Roman"/>
          <w:b w:val="0"/>
          <w:i w:val="0"/>
          <w:sz w:val="22"/>
        </w:rPr>
        <w:t>(9): p. 1355-1367.</w:t>
      </w:r>
    </w:p>
    <w:p>
      <w:pPr>
        <w:pStyle w:val="ListNumber"/>
      </w:pPr>
      <w:r>
        <w:rPr>
          <w:rFonts w:ascii="Times New Roman" w:hAnsi="Times New Roman"/>
          <w:b w:val="0"/>
          <w:i w:val="0"/>
          <w:sz w:val="22"/>
        </w:rPr>
        <w:t xml:space="preserve">Browaeys, R., W. Saelens, and Y. Saeys, </w:t>
      </w:r>
      <w:r>
        <w:rPr>
          <w:rFonts w:ascii="Times New Roman" w:hAnsi="Times New Roman"/>
          <w:b w:val="0"/>
          <w:i/>
          <w:sz w:val="22"/>
        </w:rPr>
        <w:t>NicheNet: modeling intercellular communication by linking ligands to target genes.</w:t>
      </w:r>
      <w:r>
        <w:rPr>
          <w:rFonts w:ascii="Times New Roman" w:hAnsi="Times New Roman"/>
          <w:b w:val="0"/>
          <w:i w:val="0"/>
          <w:sz w:val="22"/>
        </w:rPr>
        <w:t xml:space="preserve"> Nat Methods, 2020. </w:t>
      </w:r>
      <w:r>
        <w:rPr>
          <w:rFonts w:ascii="Times New Roman" w:hAnsi="Times New Roman"/>
          <w:b/>
          <w:i w:val="0"/>
          <w:sz w:val="22"/>
        </w:rPr>
        <w:t>17</w:t>
      </w:r>
      <w:r>
        <w:rPr>
          <w:rFonts w:ascii="Times New Roman" w:hAnsi="Times New Roman"/>
          <w:b w:val="0"/>
          <w:i w:val="0"/>
          <w:sz w:val="22"/>
        </w:rPr>
        <w:t>(2): p. 159-162.</w:t>
      </w:r>
    </w:p>
    <w:p>
      <w:pPr>
        <w:pStyle w:val="ListNumber"/>
      </w:pPr>
      <w:r>
        <w:rPr>
          <w:rFonts w:ascii="Times New Roman" w:hAnsi="Times New Roman"/>
          <w:b w:val="0"/>
          <w:i w:val="0"/>
          <w:sz w:val="22"/>
        </w:rPr>
        <w:t xml:space="preserve">Roohani, Y., K. Huang, and J. Leskovec, </w:t>
      </w:r>
      <w:r>
        <w:rPr>
          <w:rFonts w:ascii="Times New Roman" w:hAnsi="Times New Roman"/>
          <w:b w:val="0"/>
          <w:i/>
          <w:sz w:val="22"/>
        </w:rPr>
        <w:t>Predicting transcriptional outcomes of novel multigene perturbations with GEARS.</w:t>
      </w:r>
      <w:r>
        <w:rPr>
          <w:rFonts w:ascii="Times New Roman" w:hAnsi="Times New Roman"/>
          <w:b w:val="0"/>
          <w:i w:val="0"/>
          <w:sz w:val="22"/>
        </w:rPr>
        <w:t xml:space="preserve"> Nat Biotechnol, 2024. </w:t>
      </w:r>
      <w:r>
        <w:rPr>
          <w:rFonts w:ascii="Times New Roman" w:hAnsi="Times New Roman"/>
          <w:b/>
          <w:i w:val="0"/>
          <w:sz w:val="22"/>
        </w:rPr>
        <w:t>42</w:t>
      </w:r>
      <w:r>
        <w:rPr>
          <w:rFonts w:ascii="Times New Roman" w:hAnsi="Times New Roman"/>
          <w:b w:val="0"/>
          <w:i w:val="0"/>
          <w:sz w:val="22"/>
        </w:rPr>
        <w:t>(6): p. 927-935.</w:t>
      </w:r>
    </w:p>
    <w:p>
      <w:pPr>
        <w:pStyle w:val="ListNumber"/>
      </w:pPr>
      <w:r>
        <w:rPr>
          <w:rFonts w:ascii="Times New Roman" w:hAnsi="Times New Roman"/>
          <w:b w:val="0"/>
          <w:i w:val="0"/>
          <w:sz w:val="22"/>
        </w:rPr>
        <w:t xml:space="preserve">Lotfollahi, M., et al., </w:t>
      </w:r>
      <w:r>
        <w:rPr>
          <w:rFonts w:ascii="Times New Roman" w:hAnsi="Times New Roman"/>
          <w:b w:val="0"/>
          <w:i/>
          <w:sz w:val="22"/>
        </w:rPr>
        <w:t>Biologically informed deep learning to query gene programs in single-cell atlases.</w:t>
      </w:r>
      <w:r>
        <w:rPr>
          <w:rFonts w:ascii="Times New Roman" w:hAnsi="Times New Roman"/>
          <w:b w:val="0"/>
          <w:i w:val="0"/>
          <w:sz w:val="22"/>
        </w:rPr>
        <w:t xml:space="preserve"> Nat Cell Biol, 2023. </w:t>
      </w:r>
      <w:r>
        <w:rPr>
          <w:rFonts w:ascii="Times New Roman" w:hAnsi="Times New Roman"/>
          <w:b/>
          <w:i w:val="0"/>
          <w:sz w:val="22"/>
        </w:rPr>
        <w:t>25</w:t>
      </w:r>
      <w:r>
        <w:rPr>
          <w:rFonts w:ascii="Times New Roman" w:hAnsi="Times New Roman"/>
          <w:b w:val="0"/>
          <w:i w:val="0"/>
          <w:sz w:val="22"/>
        </w:rPr>
        <w:t>(2): p. 337-350.</w:t>
      </w:r>
    </w:p>
    <w:p>
      <w:pPr>
        <w:pStyle w:val="ListNumber"/>
      </w:pPr>
      <w:r>
        <w:rPr>
          <w:rFonts w:ascii="Times New Roman" w:hAnsi="Times New Roman"/>
          <w:b w:val="0"/>
          <w:i w:val="0"/>
          <w:sz w:val="22"/>
        </w:rPr>
        <w:t xml:space="preserve">Peidli, S., et al., </w:t>
      </w:r>
      <w:r>
        <w:rPr>
          <w:rFonts w:ascii="Times New Roman" w:hAnsi="Times New Roman"/>
          <w:b w:val="0"/>
          <w:i/>
          <w:sz w:val="22"/>
        </w:rPr>
        <w:t>scPerturb: harmonized single-cell perturbation data.</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(3): p. 531-540.</w:t>
      </w:r>
    </w:p>
    <w:p>
      <w:pPr>
        <w:pStyle w:val="ListNumber"/>
      </w:pPr>
      <w:r>
        <w:rPr>
          <w:rFonts w:ascii="Times New Roman" w:hAnsi="Times New Roman"/>
          <w:b w:val="0"/>
          <w:i w:val="0"/>
          <w:sz w:val="22"/>
        </w:rPr>
        <w:t xml:space="preserve">Ahlmann-Eltze, C., W. Huber, and S. Anders, </w:t>
      </w:r>
      <w:r>
        <w:rPr>
          <w:rFonts w:ascii="Times New Roman" w:hAnsi="Times New Roman"/>
          <w:b w:val="0"/>
          <w:i/>
          <w:sz w:val="22"/>
        </w:rPr>
        <w:t>Deep-learning-based gene perturbation effect prediction does not yet outperform simple linear baselines.</w:t>
      </w:r>
      <w:r>
        <w:rPr>
          <w:rFonts w:ascii="Times New Roman" w:hAnsi="Times New Roman"/>
          <w:b w:val="0"/>
          <w:i w:val="0"/>
          <w:sz w:val="22"/>
        </w:rPr>
        <w:t xml:space="preserve"> Nat Methods, 2025. </w:t>
      </w:r>
      <w:r>
        <w:rPr>
          <w:rFonts w:ascii="Times New Roman" w:hAnsi="Times New Roman"/>
          <w:b/>
          <w:i w:val="0"/>
          <w:sz w:val="22"/>
        </w:rPr>
        <w:t>22</w:t>
      </w:r>
      <w:r>
        <w:rPr>
          <w:rFonts w:ascii="Times New Roman" w:hAnsi="Times New Roman"/>
          <w:b w:val="0"/>
          <w:i w:val="0"/>
          <w:sz w:val="22"/>
        </w:rPr>
        <w:t>(8): p. 1657-1661.</w:t>
      </w:r>
    </w:p>
    <w:p>
      <w:pPr>
        <w:pStyle w:val="ListNumber"/>
      </w:pPr>
      <w:r>
        <w:rPr>
          <w:rFonts w:ascii="Times New Roman" w:hAnsi="Times New Roman"/>
          <w:b w:val="0"/>
          <w:i w:val="0"/>
          <w:sz w:val="22"/>
        </w:rPr>
        <w:t xml:space="preserve">Cui, H., et al., </w:t>
      </w:r>
      <w:r>
        <w:rPr>
          <w:rFonts w:ascii="Times New Roman" w:hAnsi="Times New Roman"/>
          <w:b w:val="0"/>
          <w:i/>
          <w:sz w:val="22"/>
        </w:rPr>
        <w:t>scGPT: toward building a foundation model for single-cell multi-omics using generative AI.</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(8): p. 1470-1480.</w:t>
      </w:r>
    </w:p>
    <w:p>
      <w:pPr>
        <w:pStyle w:val="ListNumber"/>
      </w:pPr>
      <w:r>
        <w:rPr>
          <w:rFonts w:ascii="Times New Roman" w:hAnsi="Times New Roman"/>
          <w:b w:val="0"/>
          <w:i w:val="0"/>
          <w:sz w:val="22"/>
        </w:rPr>
        <w:t xml:space="preserve">Hao, M., et al., </w:t>
      </w:r>
      <w:r>
        <w:rPr>
          <w:rFonts w:ascii="Times New Roman" w:hAnsi="Times New Roman"/>
          <w:b w:val="0"/>
          <w:i/>
          <w:sz w:val="22"/>
        </w:rPr>
        <w:t>Large-scale foundation model on single-cell transcriptomics.</w:t>
      </w:r>
      <w:r>
        <w:rPr>
          <w:rFonts w:ascii="Times New Roman" w:hAnsi="Times New Roman"/>
          <w:b w:val="0"/>
          <w:i w:val="0"/>
          <w:sz w:val="22"/>
        </w:rPr>
        <w:t xml:space="preserve"> Nat Methods, 2024. </w:t>
      </w:r>
      <w:r>
        <w:rPr>
          <w:rFonts w:ascii="Times New Roman" w:hAnsi="Times New Roman"/>
          <w:b/>
          <w:i w:val="0"/>
          <w:sz w:val="22"/>
        </w:rPr>
        <w:t>21</w:t>
      </w:r>
      <w:r>
        <w:rPr>
          <w:rFonts w:ascii="Times New Roman" w:hAnsi="Times New Roman"/>
          <w:b w:val="0"/>
          <w:i w:val="0"/>
          <w:sz w:val="22"/>
        </w:rPr>
        <w:t>(8): p. 1481-1491.</w:t>
      </w:r>
    </w:p>
    <w:p>
      <w:pPr>
        <w:pStyle w:val="ListNumber"/>
      </w:pPr>
      <w:r>
        <w:rPr>
          <w:rFonts w:ascii="Times New Roman" w:hAnsi="Times New Roman"/>
          <w:b w:val="0"/>
          <w:i w:val="0"/>
          <w:sz w:val="22"/>
        </w:rPr>
        <w:t xml:space="preserve">Wang, W., et al., </w:t>
      </w:r>
      <w:r>
        <w:rPr>
          <w:rFonts w:ascii="Times New Roman" w:hAnsi="Times New Roman"/>
          <w:b w:val="0"/>
          <w:i/>
          <w:sz w:val="22"/>
        </w:rPr>
        <w:t>RegVelo: Gene-regulatory-informed dynamics of single cells.</w:t>
      </w:r>
      <w:r>
        <w:rPr>
          <w:rFonts w:ascii="Times New Roman" w:hAnsi="Times New Roman"/>
          <w:b w:val="0"/>
          <w:i w:val="0"/>
          <w:sz w:val="22"/>
        </w:rPr>
        <w:t xml:space="preserve"> Cell, 2026. </w:t>
      </w:r>
      <w:r>
        <w:rPr>
          <w:rFonts w:ascii="Times New Roman" w:hAnsi="Times New Roman"/>
          <w:b/>
          <w:i w:val="0"/>
          <w:sz w:val="22"/>
        </w:rPr>
        <w:t>189</w:t>
      </w:r>
      <w:r>
        <w:rPr>
          <w:rFonts w:ascii="Times New Roman" w:hAnsi="Times New Roman"/>
          <w:b w:val="0"/>
          <w:i w:val="0"/>
          <w:sz w:val="22"/>
        </w:rPr>
        <w:t>(12): p. 3773-3800.e44.</w:t>
      </w:r>
    </w:p>
    <w:p>
      <w:pPr>
        <w:pStyle w:val="ListNumber"/>
      </w:pPr>
      <w:r>
        <w:rPr>
          <w:rFonts w:ascii="Times New Roman" w:hAnsi="Times New Roman"/>
          <w:b w:val="0"/>
          <w:i w:val="0"/>
          <w:sz w:val="22"/>
        </w:rPr>
        <w:t xml:space="preserve">Liu, Y., et al., </w:t>
      </w:r>
      <w:r>
        <w:rPr>
          <w:rFonts w:ascii="Times New Roman" w:hAnsi="Times New Roman"/>
          <w:b w:val="0"/>
          <w:i/>
          <w:sz w:val="22"/>
        </w:rPr>
        <w:t>TemporalVAE: atlas-assisted temporal mapping of time-series single-cell transcriptomes during embryogenesis.</w:t>
      </w:r>
      <w:r>
        <w:rPr>
          <w:rFonts w:ascii="Times New Roman" w:hAnsi="Times New Roman"/>
          <w:b w:val="0"/>
          <w:i w:val="0"/>
          <w:sz w:val="22"/>
        </w:rPr>
        <w:t xml:space="preserve"> Nat Cell Biol, 2025. </w:t>
      </w:r>
      <w:r>
        <w:rPr>
          <w:rFonts w:ascii="Times New Roman" w:hAnsi="Times New Roman"/>
          <w:b/>
          <w:i w:val="0"/>
          <w:sz w:val="22"/>
        </w:rPr>
        <w:t>27</w:t>
      </w:r>
      <w:r>
        <w:rPr>
          <w:rFonts w:ascii="Times New Roman" w:hAnsi="Times New Roman"/>
          <w:b w:val="0"/>
          <w:i w:val="0"/>
          <w:sz w:val="22"/>
        </w:rPr>
        <w:t>(11): p. 1982-1992.</w:t>
      </w:r>
    </w:p>
    <w:p>
      <w:pPr>
        <w:pStyle w:val="ListNumber"/>
      </w:pPr>
      <w:r>
        <w:rPr>
          <w:rFonts w:ascii="Times New Roman" w:hAnsi="Times New Roman"/>
          <w:b w:val="0"/>
          <w:i w:val="0"/>
          <w:sz w:val="22"/>
        </w:rPr>
        <w:t xml:space="preserve">Ishikawa, M., et al., </w:t>
      </w:r>
      <w:r>
        <w:rPr>
          <w:rFonts w:ascii="Times New Roman" w:hAnsi="Times New Roman"/>
          <w:b w:val="0"/>
          <w:i/>
          <w:sz w:val="22"/>
        </w:rPr>
        <w:t>RENGE infers gene regulatory networks using time-series single-cell RNA-seq data with CRISPR perturbations.</w:t>
      </w:r>
      <w:r>
        <w:rPr>
          <w:rFonts w:ascii="Times New Roman" w:hAnsi="Times New Roman"/>
          <w:b w:val="0"/>
          <w:i w:val="0"/>
          <w:sz w:val="22"/>
        </w:rPr>
        <w:t xml:space="preserve"> Commun Biol, 2023. </w:t>
      </w:r>
      <w:r>
        <w:rPr>
          <w:rFonts w:ascii="Times New Roman" w:hAnsi="Times New Roman"/>
          <w:b/>
          <w:i w:val="0"/>
          <w:sz w:val="22"/>
        </w:rPr>
        <w:t>6</w:t>
      </w:r>
      <w:r>
        <w:rPr>
          <w:rFonts w:ascii="Times New Roman" w:hAnsi="Times New Roman"/>
          <w:b w:val="0"/>
          <w:i w:val="0"/>
          <w:sz w:val="22"/>
        </w:rPr>
        <w:t>(1): p. 1290.</w:t>
      </w:r>
    </w:p>
    <w:p>
      <w:pPr>
        <w:pStyle w:val="ListNumber"/>
      </w:pPr>
      <w:r>
        <w:rPr>
          <w:rFonts w:ascii="Times New Roman" w:hAnsi="Times New Roman"/>
          <w:b w:val="0"/>
          <w:i w:val="0"/>
          <w:sz w:val="22"/>
        </w:rPr>
        <w:t xml:space="preserve">Lotfollahi, M., F.A. Wolf, and F.J. Theis, </w:t>
      </w:r>
      <w:r>
        <w:rPr>
          <w:rFonts w:ascii="Times New Roman" w:hAnsi="Times New Roman"/>
          <w:b w:val="0"/>
          <w:i/>
          <w:sz w:val="22"/>
        </w:rPr>
        <w:t>scGen predicts single-cell perturbation responses.</w:t>
      </w:r>
      <w:r>
        <w:rPr>
          <w:rFonts w:ascii="Times New Roman" w:hAnsi="Times New Roman"/>
          <w:b w:val="0"/>
          <w:i w:val="0"/>
          <w:sz w:val="22"/>
        </w:rPr>
        <w:t xml:space="preserve"> Nat Methods, 2019. </w:t>
      </w:r>
      <w:r>
        <w:rPr>
          <w:rFonts w:ascii="Times New Roman" w:hAnsi="Times New Roman"/>
          <w:b/>
          <w:i w:val="0"/>
          <w:sz w:val="22"/>
        </w:rPr>
        <w:t>16</w:t>
      </w:r>
      <w:r>
        <w:rPr>
          <w:rFonts w:ascii="Times New Roman" w:hAnsi="Times New Roman"/>
          <w:b w:val="0"/>
          <w:i w:val="0"/>
          <w:sz w:val="22"/>
        </w:rPr>
        <w:t>(8): p. 715-721.</w:t>
      </w:r>
    </w:p>
    <w:p>
      <w:pPr>
        <w:pStyle w:val="ListNumber"/>
      </w:pPr>
      <w:r>
        <w:rPr>
          <w:rFonts w:ascii="Times New Roman" w:hAnsi="Times New Roman"/>
          <w:b w:val="0"/>
          <w:i w:val="0"/>
          <w:sz w:val="22"/>
        </w:rPr>
        <w:t xml:space="preserve">Garcia-Alonso, L., et al., </w:t>
      </w:r>
      <w:r>
        <w:rPr>
          <w:rFonts w:ascii="Times New Roman" w:hAnsi="Times New Roman"/>
          <w:b w:val="0"/>
          <w:i/>
          <w:sz w:val="22"/>
        </w:rPr>
        <w:t>Benchmark and integration of resources for the estimation of human transcription factor activities.</w:t>
      </w:r>
      <w:r>
        <w:rPr>
          <w:rFonts w:ascii="Times New Roman" w:hAnsi="Times New Roman"/>
          <w:b w:val="0"/>
          <w:i w:val="0"/>
          <w:sz w:val="22"/>
        </w:rPr>
        <w:t xml:space="preserve"> Genome Res, 2019. </w:t>
      </w:r>
      <w:r>
        <w:rPr>
          <w:rFonts w:ascii="Times New Roman" w:hAnsi="Times New Roman"/>
          <w:b/>
          <w:i w:val="0"/>
          <w:sz w:val="22"/>
        </w:rPr>
        <w:t>29</w:t>
      </w:r>
      <w:r>
        <w:rPr>
          <w:rFonts w:ascii="Times New Roman" w:hAnsi="Times New Roman"/>
          <w:b w:val="0"/>
          <w:i w:val="0"/>
          <w:sz w:val="22"/>
        </w:rPr>
        <w:t>(8): p. 1363-1375.</w:t>
      </w:r>
    </w:p>
    <w:p>
      <w:pPr>
        <w:pStyle w:val="ListNumber"/>
      </w:pPr>
      <w:r>
        <w:rPr>
          <w:rFonts w:ascii="Times New Roman" w:hAnsi="Times New Roman"/>
          <w:b w:val="0"/>
          <w:i w:val="0"/>
          <w:sz w:val="22"/>
        </w:rPr>
        <w:t xml:space="preserve">Jin, S., et al., </w:t>
      </w:r>
      <w:r>
        <w:rPr>
          <w:rFonts w:ascii="Times New Roman" w:hAnsi="Times New Roman"/>
          <w:b w:val="0"/>
          <w:i/>
          <w:sz w:val="22"/>
        </w:rPr>
        <w:t>Inference and analysis of cell-cell communication using CellChat.</w:t>
      </w:r>
      <w:r>
        <w:rPr>
          <w:rFonts w:ascii="Times New Roman" w:hAnsi="Times New Roman"/>
          <w:b w:val="0"/>
          <w:i w:val="0"/>
          <w:sz w:val="22"/>
        </w:rPr>
        <w:t xml:space="preserve"> Nat Commun, 2021. </w:t>
      </w:r>
      <w:r>
        <w:rPr>
          <w:rFonts w:ascii="Times New Roman" w:hAnsi="Times New Roman"/>
          <w:b/>
          <w:i w:val="0"/>
          <w:sz w:val="22"/>
        </w:rPr>
        <w:t>12</w:t>
      </w:r>
      <w:r>
        <w:rPr>
          <w:rFonts w:ascii="Times New Roman" w:hAnsi="Times New Roman"/>
          <w:b w:val="0"/>
          <w:i w:val="0"/>
          <w:sz w:val="22"/>
        </w:rPr>
        <w:t>(1): p. 1088.</w:t>
      </w:r>
    </w:p>
    <w:p>
      <w:pPr>
        <w:pStyle w:val="ListNumber"/>
      </w:pPr>
      <w:r>
        <w:rPr>
          <w:rFonts w:ascii="Times New Roman" w:hAnsi="Times New Roman"/>
          <w:b w:val="0"/>
          <w:i w:val="0"/>
          <w:sz w:val="22"/>
        </w:rPr>
        <w:t xml:space="preserve">Duan, Q., et al., </w:t>
      </w:r>
      <w:r>
        <w:rPr>
          <w:rFonts w:ascii="Times New Roman" w:hAnsi="Times New Roman"/>
          <w:b w:val="0"/>
          <w:i/>
          <w:sz w:val="22"/>
        </w:rPr>
        <w:t>L1000CDS(2): LINCS L1000 characteristic direction signatures search engine.</w:t>
      </w:r>
      <w:r>
        <w:rPr>
          <w:rFonts w:ascii="Times New Roman" w:hAnsi="Times New Roman"/>
          <w:b w:val="0"/>
          <w:i w:val="0"/>
          <w:sz w:val="22"/>
        </w:rPr>
        <w:t xml:space="preserve"> NPJ Syst Biol Appl, 2016. </w:t>
      </w:r>
      <w:r>
        <w:rPr>
          <w:rFonts w:ascii="Times New Roman" w:hAnsi="Times New Roman"/>
          <w:b/>
          <w:i w:val="0"/>
          <w:sz w:val="22"/>
        </w:rPr>
        <w:t>2</w:t>
      </w:r>
      <w:r>
        <w:rPr>
          <w:rFonts w:ascii="Times New Roman" w:hAnsi="Times New Roman"/>
          <w:b w:val="0"/>
          <w:i w:val="0"/>
          <w:sz w:val="22"/>
        </w:rPr>
        <w:t>: p. 16015-.</w:t>
      </w:r>
    </w:p>
    <w:p>
      <w:pPr>
        <w:pStyle w:val="ListNumber"/>
      </w:pPr>
      <w:r>
        <w:rPr>
          <w:rFonts w:ascii="Times New Roman" w:hAnsi="Times New Roman"/>
          <w:b w:val="0"/>
          <w:i w:val="0"/>
          <w:sz w:val="22"/>
        </w:rPr>
        <w:t xml:space="preserve">Zheng, K., et al., </w:t>
      </w:r>
      <w:r>
        <w:rPr>
          <w:rFonts w:ascii="Times New Roman" w:hAnsi="Times New Roman"/>
          <w:b w:val="0"/>
          <w:i/>
          <w:sz w:val="22"/>
        </w:rPr>
        <w:t>Single-cell RNA-seq reveals the transcriptional landscape in ischemic stroke.</w:t>
      </w:r>
      <w:r>
        <w:rPr>
          <w:rFonts w:ascii="Times New Roman" w:hAnsi="Times New Roman"/>
          <w:b w:val="0"/>
          <w:i w:val="0"/>
          <w:sz w:val="22"/>
        </w:rPr>
        <w:t xml:space="preserve"> J Cereb Blood Flow Metab, 2022. </w:t>
      </w:r>
      <w:r>
        <w:rPr>
          <w:rFonts w:ascii="Times New Roman" w:hAnsi="Times New Roman"/>
          <w:b/>
          <w:i w:val="0"/>
          <w:sz w:val="22"/>
        </w:rPr>
        <w:t>42</w:t>
      </w:r>
      <w:r>
        <w:rPr>
          <w:rFonts w:ascii="Times New Roman" w:hAnsi="Times New Roman"/>
          <w:b w:val="0"/>
          <w:i w:val="0"/>
          <w:sz w:val="22"/>
        </w:rPr>
        <w:t>(1): p. 56-73.</w:t>
      </w:r>
    </w:p>
    <w:p>
      <w:pPr>
        <w:pStyle w:val="ListNumber"/>
      </w:pPr>
      <w:r>
        <w:rPr>
          <w:rFonts w:ascii="Times New Roman" w:hAnsi="Times New Roman"/>
          <w:b w:val="0"/>
          <w:i w:val="0"/>
          <w:sz w:val="22"/>
        </w:rPr>
        <w:t xml:space="preserve">Garcia-Bonilla, L., et al., </w:t>
      </w:r>
      <w:r>
        <w:rPr>
          <w:rFonts w:ascii="Times New Roman" w:hAnsi="Times New Roman"/>
          <w:b w:val="0"/>
          <w:i/>
          <w:sz w:val="22"/>
        </w:rPr>
        <w:t>Brain and blood single-cell transcriptomics in acute and subacute phases after experimental stroke.</w:t>
      </w:r>
      <w:r>
        <w:rPr>
          <w:rFonts w:ascii="Times New Roman" w:hAnsi="Times New Roman"/>
          <w:b w:val="0"/>
          <w:i w:val="0"/>
          <w:sz w:val="22"/>
        </w:rPr>
        <w:t xml:space="preserve"> bioRxiv, 2023.</w:t>
      </w:r>
    </w:p>
    <w:p>
      <w:pPr>
        <w:pStyle w:val="ListNumber"/>
      </w:pPr>
      <w:r>
        <w:rPr>
          <w:rFonts w:ascii="Times New Roman" w:hAnsi="Times New Roman"/>
          <w:b w:val="0"/>
          <w:i w:val="0"/>
          <w:sz w:val="22"/>
        </w:rPr>
        <w:t xml:space="preserve">Barr, T.L., et al., </w:t>
      </w:r>
      <w:r>
        <w:rPr>
          <w:rFonts w:ascii="Times New Roman" w:hAnsi="Times New Roman"/>
          <w:b w:val="0"/>
          <w:i/>
          <w:sz w:val="22"/>
        </w:rPr>
        <w:t>Genomic biomarkers and cellular pathways of ischemic stroke by RNA gene expression profiling.</w:t>
      </w:r>
      <w:r>
        <w:rPr>
          <w:rFonts w:ascii="Times New Roman" w:hAnsi="Times New Roman"/>
          <w:b w:val="0"/>
          <w:i w:val="0"/>
          <w:sz w:val="22"/>
        </w:rPr>
        <w:t xml:space="preserve"> Neurology, 2010. </w:t>
      </w:r>
      <w:r>
        <w:rPr>
          <w:rFonts w:ascii="Times New Roman" w:hAnsi="Times New Roman"/>
          <w:b/>
          <w:i w:val="0"/>
          <w:sz w:val="22"/>
        </w:rPr>
        <w:t>75</w:t>
      </w:r>
      <w:r>
        <w:rPr>
          <w:rFonts w:ascii="Times New Roman" w:hAnsi="Times New Roman"/>
          <w:b w:val="0"/>
          <w:i w:val="0"/>
          <w:sz w:val="22"/>
        </w:rPr>
        <w:t>(11): p. 1009-14.</w:t>
      </w:r>
    </w:p>
    <w:p>
      <w:pPr>
        <w:pStyle w:val="ListNumber"/>
      </w:pPr>
      <w:r>
        <w:rPr>
          <w:rFonts w:ascii="Times New Roman" w:hAnsi="Times New Roman"/>
          <w:b w:val="0"/>
          <w:i w:val="0"/>
          <w:sz w:val="22"/>
        </w:rPr>
        <w:t xml:space="preserve">Jörg, L.M., et al., </w:t>
      </w:r>
      <w:r>
        <w:rPr>
          <w:rFonts w:ascii="Times New Roman" w:hAnsi="Times New Roman"/>
          <w:b w:val="0"/>
          <w:i/>
          <w:sz w:val="22"/>
        </w:rPr>
        <w:t>Transcription Factors Sox8 and Sox10 Contribute with Different Importance to the Maintenance of Mature Oligodendrocytes.</w:t>
      </w:r>
      <w:r>
        <w:rPr>
          <w:rFonts w:ascii="Times New Roman" w:hAnsi="Times New Roman"/>
          <w:b w:val="0"/>
          <w:i w:val="0"/>
          <w:sz w:val="22"/>
        </w:rPr>
        <w:t xml:space="preserve"> Int J Mol Sci, 2024. </w:t>
      </w:r>
      <w:r>
        <w:rPr>
          <w:rFonts w:ascii="Times New Roman" w:hAnsi="Times New Roman"/>
          <w:b/>
          <w:i w:val="0"/>
          <w:sz w:val="22"/>
        </w:rPr>
        <w:t>25</w:t>
      </w:r>
      <w:r>
        <w:rPr>
          <w:rFonts w:ascii="Times New Roman" w:hAnsi="Times New Roman"/>
          <w:b w:val="0"/>
          <w:i w:val="0"/>
          <w:sz w:val="22"/>
        </w:rPr>
        <w:t>(16).</w:t>
      </w:r>
    </w:p>
    <w:p>
      <w:pPr>
        <w:pStyle w:val="ListNumber"/>
      </w:pPr>
      <w:r>
        <w:rPr>
          <w:rFonts w:ascii="Times New Roman" w:hAnsi="Times New Roman"/>
          <w:b w:val="0"/>
          <w:i w:val="0"/>
          <w:sz w:val="22"/>
        </w:rPr>
        <w:t xml:space="preserve">Lin, S.Z., et al., </w:t>
      </w:r>
      <w:r>
        <w:rPr>
          <w:rFonts w:ascii="Times New Roman" w:hAnsi="Times New Roman"/>
          <w:b w:val="0"/>
          <w:i/>
          <w:sz w:val="22"/>
        </w:rPr>
        <w:t>C/EBPβ-VCAM1 axis in Kupffer cells promotes hepatic inflammation in MASLD.</w:t>
      </w:r>
      <w:r>
        <w:rPr>
          <w:rFonts w:ascii="Times New Roman" w:hAnsi="Times New Roman"/>
          <w:b w:val="0"/>
          <w:i w:val="0"/>
          <w:sz w:val="22"/>
        </w:rPr>
        <w:t xml:space="preserve"> JHEP Rep, 2025. </w:t>
      </w:r>
      <w:r>
        <w:rPr>
          <w:rFonts w:ascii="Times New Roman" w:hAnsi="Times New Roman"/>
          <w:b/>
          <w:i w:val="0"/>
          <w:sz w:val="22"/>
        </w:rPr>
        <w:t>7</w:t>
      </w:r>
      <w:r>
        <w:rPr>
          <w:rFonts w:ascii="Times New Roman" w:hAnsi="Times New Roman"/>
          <w:b w:val="0"/>
          <w:i w:val="0"/>
          <w:sz w:val="22"/>
        </w:rPr>
        <w:t>(8): p. 101418.</w:t>
      </w:r>
    </w:p>
    <w:p>
      <w:pPr>
        <w:pStyle w:val="ListNumber"/>
      </w:pPr>
      <w:r>
        <w:rPr>
          <w:rFonts w:ascii="Times New Roman" w:hAnsi="Times New Roman"/>
          <w:b w:val="0"/>
          <w:i w:val="0"/>
          <w:sz w:val="22"/>
        </w:rPr>
        <w:t xml:space="preserve">Replogle, J.M., et al., </w:t>
      </w:r>
      <w:r>
        <w:rPr>
          <w:rFonts w:ascii="Times New Roman" w:hAnsi="Times New Roman"/>
          <w:b w:val="0"/>
          <w:i/>
          <w:sz w:val="22"/>
        </w:rPr>
        <w:t>Mapping information-rich genotype-phenotype landscapes with genome-scale Perturb-seq.</w:t>
      </w:r>
      <w:r>
        <w:rPr>
          <w:rFonts w:ascii="Times New Roman" w:hAnsi="Times New Roman"/>
          <w:b w:val="0"/>
          <w:i w:val="0"/>
          <w:sz w:val="22"/>
        </w:rPr>
        <w:t xml:space="preserve"> Cell, 2022. </w:t>
      </w:r>
      <w:r>
        <w:rPr>
          <w:rFonts w:ascii="Times New Roman" w:hAnsi="Times New Roman"/>
          <w:b/>
          <w:i w:val="0"/>
          <w:sz w:val="22"/>
        </w:rPr>
        <w:t>185</w:t>
      </w:r>
      <w:r>
        <w:rPr>
          <w:rFonts w:ascii="Times New Roman" w:hAnsi="Times New Roman"/>
          <w:b w:val="0"/>
          <w:i w:val="0"/>
          <w:sz w:val="22"/>
        </w:rPr>
        <w:t>(14): p. 2559-2575.e28.</w:t>
      </w:r>
    </w:p>
    <w:p>
      <w:pPr>
        <w:pStyle w:val="ListNumber"/>
      </w:pPr>
      <w:r>
        <w:rPr>
          <w:rFonts w:ascii="Times New Roman" w:hAnsi="Times New Roman"/>
          <w:b w:val="0"/>
          <w:i w:val="0"/>
          <w:sz w:val="22"/>
        </w:rPr>
        <w:t xml:space="preserve">Barbie, D.A., et al., </w:t>
      </w:r>
      <w:r>
        <w:rPr>
          <w:rFonts w:ascii="Times New Roman" w:hAnsi="Times New Roman"/>
          <w:b w:val="0"/>
          <w:i/>
          <w:sz w:val="22"/>
        </w:rPr>
        <w:t>Systematic RNA interference reveals that oncogenic KRAS-driven cancers require TBK1.</w:t>
      </w:r>
      <w:r>
        <w:rPr>
          <w:rFonts w:ascii="Times New Roman" w:hAnsi="Times New Roman"/>
          <w:b w:val="0"/>
          <w:i w:val="0"/>
          <w:sz w:val="22"/>
        </w:rPr>
        <w:t xml:space="preserve"> Nature, 2009. </w:t>
      </w:r>
      <w:r>
        <w:rPr>
          <w:rFonts w:ascii="Times New Roman" w:hAnsi="Times New Roman"/>
          <w:b/>
          <w:i w:val="0"/>
          <w:sz w:val="22"/>
        </w:rPr>
        <w:t>462</w:t>
      </w:r>
      <w:r>
        <w:rPr>
          <w:rFonts w:ascii="Times New Roman" w:hAnsi="Times New Roman"/>
          <w:b w:val="0"/>
          <w:i w:val="0"/>
          <w:sz w:val="22"/>
        </w:rPr>
        <w:t>(7269): p. 108-12.</w:t>
      </w:r>
    </w:p>
    <w:p>
      <w:pPr>
        <w:pStyle w:val="ListNumber"/>
      </w:pPr>
      <w:r>
        <w:rPr>
          <w:rFonts w:ascii="Times New Roman" w:hAnsi="Times New Roman"/>
          <w:b w:val="0"/>
          <w:i w:val="0"/>
          <w:sz w:val="22"/>
        </w:rPr>
        <w:t xml:space="preserve">Subramanian, A., et al., </w:t>
      </w:r>
      <w:r>
        <w:rPr>
          <w:rFonts w:ascii="Times New Roman" w:hAnsi="Times New Roman"/>
          <w:b w:val="0"/>
          <w:i/>
          <w:sz w:val="22"/>
        </w:rPr>
        <w:t>A Next Generation Connectivity Map: L1000 Platform and the First 1,000,000 Profiles.</w:t>
      </w:r>
      <w:r>
        <w:rPr>
          <w:rFonts w:ascii="Times New Roman" w:hAnsi="Times New Roman"/>
          <w:b w:val="0"/>
          <w:i w:val="0"/>
          <w:sz w:val="22"/>
        </w:rPr>
        <w:t xml:space="preserve"> Cell, 2017. </w:t>
      </w:r>
      <w:r>
        <w:rPr>
          <w:rFonts w:ascii="Times New Roman" w:hAnsi="Times New Roman"/>
          <w:b/>
          <w:i w:val="0"/>
          <w:sz w:val="22"/>
        </w:rPr>
        <w:t>171</w:t>
      </w:r>
      <w:r>
        <w:rPr>
          <w:rFonts w:ascii="Times New Roman" w:hAnsi="Times New Roman"/>
          <w:b w:val="0"/>
          <w:i w:val="0"/>
          <w:sz w:val="22"/>
        </w:rPr>
        <w:t>(6): p. 1437-1452.e17.</w:t>
      </w:r>
    </w:p>
    <w:p>
      <w:pPr>
        <w:pStyle w:val="ListNumber"/>
      </w:pPr>
      <w:r>
        <w:rPr>
          <w:rFonts w:ascii="Times New Roman" w:hAnsi="Times New Roman"/>
          <w:b w:val="0"/>
          <w:i w:val="0"/>
          <w:sz w:val="22"/>
        </w:rPr>
        <w:t xml:space="preserve">Stolt, C.C., et al., </w:t>
      </w:r>
      <w:r>
        <w:rPr>
          <w:rFonts w:ascii="Times New Roman" w:hAnsi="Times New Roman"/>
          <w:b w:val="0"/>
          <w:i/>
          <w:sz w:val="22"/>
        </w:rPr>
        <w:t>Terminal differentiation of myelin-forming oligodendrocytes depends on the transcription factor Sox10.</w:t>
      </w:r>
      <w:r>
        <w:rPr>
          <w:rFonts w:ascii="Times New Roman" w:hAnsi="Times New Roman"/>
          <w:b w:val="0"/>
          <w:i w:val="0"/>
          <w:sz w:val="22"/>
        </w:rPr>
        <w:t xml:space="preserve"> Genes Dev, 2002. </w:t>
      </w:r>
      <w:r>
        <w:rPr>
          <w:rFonts w:ascii="Times New Roman" w:hAnsi="Times New Roman"/>
          <w:b/>
          <w:i w:val="0"/>
          <w:sz w:val="22"/>
        </w:rPr>
        <w:t>16</w:t>
      </w:r>
      <w:r>
        <w:rPr>
          <w:rFonts w:ascii="Times New Roman" w:hAnsi="Times New Roman"/>
          <w:b w:val="0"/>
          <w:i w:val="0"/>
          <w:sz w:val="22"/>
        </w:rPr>
        <w:t>(2): p. 165-70.</w:t>
      </w:r>
    </w:p>
    <w:p>
      <w:pPr>
        <w:pStyle w:val="ListNumber"/>
      </w:pPr>
      <w:r>
        <w:rPr>
          <w:rFonts w:ascii="Times New Roman" w:hAnsi="Times New Roman"/>
          <w:b w:val="0"/>
          <w:i w:val="0"/>
          <w:sz w:val="22"/>
        </w:rPr>
        <w:t xml:space="preserve">Nave, K.A., </w:t>
      </w:r>
      <w:r>
        <w:rPr>
          <w:rFonts w:ascii="Times New Roman" w:hAnsi="Times New Roman"/>
          <w:b w:val="0"/>
          <w:i/>
          <w:sz w:val="22"/>
        </w:rPr>
        <w:t>Myelination and support of axonal integrity by glia.</w:t>
      </w:r>
      <w:r>
        <w:rPr>
          <w:rFonts w:ascii="Times New Roman" w:hAnsi="Times New Roman"/>
          <w:b w:val="0"/>
          <w:i w:val="0"/>
          <w:sz w:val="22"/>
        </w:rPr>
        <w:t xml:space="preserve"> Nature, 2010. </w:t>
      </w:r>
      <w:r>
        <w:rPr>
          <w:rFonts w:ascii="Times New Roman" w:hAnsi="Times New Roman"/>
          <w:b/>
          <w:i w:val="0"/>
          <w:sz w:val="22"/>
        </w:rPr>
        <w:t>468</w:t>
      </w:r>
      <w:r>
        <w:rPr>
          <w:rFonts w:ascii="Times New Roman" w:hAnsi="Times New Roman"/>
          <w:b w:val="0"/>
          <w:i w:val="0"/>
          <w:sz w:val="22"/>
        </w:rPr>
        <w:t>(7321): p. 244-52.</w:t>
      </w:r>
    </w:p>
    <w:p>
      <w:pPr>
        <w:pStyle w:val="ListNumber"/>
      </w:pPr>
      <w:r>
        <w:rPr>
          <w:rFonts w:ascii="Times New Roman" w:hAnsi="Times New Roman"/>
          <w:b w:val="0"/>
          <w:i w:val="0"/>
          <w:sz w:val="22"/>
        </w:rPr>
        <w:t xml:space="preserve">Fancy, S.P., et al., </w:t>
      </w:r>
      <w:r>
        <w:rPr>
          <w:rFonts w:ascii="Times New Roman" w:hAnsi="Times New Roman"/>
          <w:b w:val="0"/>
          <w:i/>
          <w:sz w:val="22"/>
        </w:rPr>
        <w:t>Myelin regeneration: a recapitulation of development?</w:t>
      </w:r>
      <w:r>
        <w:rPr>
          <w:rFonts w:ascii="Times New Roman" w:hAnsi="Times New Roman"/>
          <w:b w:val="0"/>
          <w:i w:val="0"/>
          <w:sz w:val="22"/>
        </w:rPr>
        <w:t xml:space="preserve"> Annu Rev Neurosci, 2011. </w:t>
      </w:r>
      <w:r>
        <w:rPr>
          <w:rFonts w:ascii="Times New Roman" w:hAnsi="Times New Roman"/>
          <w:b/>
          <w:i w:val="0"/>
          <w:sz w:val="22"/>
        </w:rPr>
        <w:t>34</w:t>
      </w:r>
      <w:r>
        <w:rPr>
          <w:rFonts w:ascii="Times New Roman" w:hAnsi="Times New Roman"/>
          <w:b w:val="0"/>
          <w:i w:val="0"/>
          <w:sz w:val="22"/>
        </w:rPr>
        <w:t>: p. 21-43.</w:t>
      </w:r>
    </w:p>
    <w:p>
      <w:pPr>
        <w:pStyle w:val="ListNumber"/>
      </w:pPr>
      <w:r>
        <w:rPr>
          <w:rFonts w:ascii="Times New Roman" w:hAnsi="Times New Roman"/>
          <w:b w:val="0"/>
          <w:i w:val="0"/>
          <w:sz w:val="22"/>
        </w:rPr>
        <w:t xml:space="preserve">Morgan, J.I. and T. Curran, </w:t>
      </w:r>
      <w:r>
        <w:rPr>
          <w:rFonts w:ascii="Times New Roman" w:hAnsi="Times New Roman"/>
          <w:b w:val="0"/>
          <w:i/>
          <w:sz w:val="22"/>
        </w:rPr>
        <w:t>Stimulus-transcription coupling in the nervous system: involvement of the inducible proto-oncogenes fos and jun.</w:t>
      </w:r>
      <w:r>
        <w:rPr>
          <w:rFonts w:ascii="Times New Roman" w:hAnsi="Times New Roman"/>
          <w:b w:val="0"/>
          <w:i w:val="0"/>
          <w:sz w:val="22"/>
        </w:rPr>
        <w:t xml:space="preserve"> Annu Rev Neurosci, 1991. </w:t>
      </w:r>
      <w:r>
        <w:rPr>
          <w:rFonts w:ascii="Times New Roman" w:hAnsi="Times New Roman"/>
          <w:b/>
          <w:i w:val="0"/>
          <w:sz w:val="22"/>
        </w:rPr>
        <w:t>14</w:t>
      </w:r>
      <w:r>
        <w:rPr>
          <w:rFonts w:ascii="Times New Roman" w:hAnsi="Times New Roman"/>
          <w:b w:val="0"/>
          <w:i w:val="0"/>
          <w:sz w:val="22"/>
        </w:rPr>
        <w:t>: p. 421-51.</w:t>
      </w:r>
    </w:p>
    <w:p>
      <w:pPr>
        <w:pStyle w:val="ListNumber"/>
      </w:pPr>
      <w:r>
        <w:rPr>
          <w:rFonts w:ascii="Times New Roman" w:hAnsi="Times New Roman"/>
          <w:b w:val="0"/>
          <w:i w:val="0"/>
          <w:sz w:val="22"/>
        </w:rPr>
        <w:t xml:space="preserve">Zawadzka, M., et al., </w:t>
      </w:r>
      <w:r>
        <w:rPr>
          <w:rFonts w:ascii="Times New Roman" w:hAnsi="Times New Roman"/>
          <w:b w:val="0"/>
          <w:i/>
          <w:sz w:val="22"/>
        </w:rPr>
        <w:t>CNS-resident glial progenitor/stem cells produce Schwann cells as well as oligodendrocytes during repair of CNS demyelination.</w:t>
      </w:r>
      <w:r>
        <w:rPr>
          <w:rFonts w:ascii="Times New Roman" w:hAnsi="Times New Roman"/>
          <w:b w:val="0"/>
          <w:i w:val="0"/>
          <w:sz w:val="22"/>
        </w:rPr>
        <w:t xml:space="preserve"> Cell Stem Cell, 2010. </w:t>
      </w:r>
      <w:r>
        <w:rPr>
          <w:rFonts w:ascii="Times New Roman" w:hAnsi="Times New Roman"/>
          <w:b/>
          <w:i w:val="0"/>
          <w:sz w:val="22"/>
        </w:rPr>
        <w:t>6</w:t>
      </w:r>
      <w:r>
        <w:rPr>
          <w:rFonts w:ascii="Times New Roman" w:hAnsi="Times New Roman"/>
          <w:b w:val="0"/>
          <w:i w:val="0"/>
          <w:sz w:val="22"/>
        </w:rPr>
        <w:t>(6): p. 578-90.</w:t>
      </w:r>
    </w:p>
    <w:p>
      <w:pPr>
        <w:pStyle w:val="ListNumber"/>
      </w:pPr>
      <w:r>
        <w:rPr>
          <w:rFonts w:ascii="Times New Roman" w:hAnsi="Times New Roman"/>
          <w:b w:val="0"/>
          <w:i w:val="0"/>
          <w:sz w:val="22"/>
        </w:rPr>
        <w:t xml:space="preserve">Doyle, K.P., R.P. Simon, and M.P. Stenzel-Poore, </w:t>
      </w:r>
      <w:r>
        <w:rPr>
          <w:rFonts w:ascii="Times New Roman" w:hAnsi="Times New Roman"/>
          <w:b w:val="0"/>
          <w:i/>
          <w:sz w:val="22"/>
        </w:rPr>
        <w:t>Mechanisms of ischemic brain damage.</w:t>
      </w:r>
      <w:r>
        <w:rPr>
          <w:rFonts w:ascii="Times New Roman" w:hAnsi="Times New Roman"/>
          <w:b w:val="0"/>
          <w:i w:val="0"/>
          <w:sz w:val="22"/>
        </w:rPr>
        <w:t xml:space="preserve"> Neuropharmacology, 2008. </w:t>
      </w:r>
      <w:r>
        <w:rPr>
          <w:rFonts w:ascii="Times New Roman" w:hAnsi="Times New Roman"/>
          <w:b/>
          <w:i w:val="0"/>
          <w:sz w:val="22"/>
        </w:rPr>
        <w:t>55</w:t>
      </w:r>
      <w:r>
        <w:rPr>
          <w:rFonts w:ascii="Times New Roman" w:hAnsi="Times New Roman"/>
          <w:b w:val="0"/>
          <w:i w:val="0"/>
          <w:sz w:val="22"/>
        </w:rPr>
        <w:t>(3): p. 310-8.</w:t>
      </w:r>
    </w:p>
    <w:p>
      <w:pPr>
        <w:pStyle w:val="ListNumber"/>
      </w:pPr>
      <w:r>
        <w:rPr>
          <w:rFonts w:ascii="Times New Roman" w:hAnsi="Times New Roman"/>
          <w:b w:val="0"/>
          <w:i w:val="0"/>
          <w:sz w:val="22"/>
        </w:rPr>
        <w:t xml:space="preserve">Jin, R., G. Yang, and G. Li, </w:t>
      </w:r>
      <w:r>
        <w:rPr>
          <w:rFonts w:ascii="Times New Roman" w:hAnsi="Times New Roman"/>
          <w:b w:val="0"/>
          <w:i/>
          <w:sz w:val="22"/>
        </w:rPr>
        <w:t>Inflammatory mechanisms in ischemic stroke: role of inflammatory cells.</w:t>
      </w:r>
      <w:r>
        <w:rPr>
          <w:rFonts w:ascii="Times New Roman" w:hAnsi="Times New Roman"/>
          <w:b w:val="0"/>
          <w:i w:val="0"/>
          <w:sz w:val="22"/>
        </w:rPr>
        <w:t xml:space="preserve"> J Leukoc Biol, 2010. </w:t>
      </w:r>
      <w:r>
        <w:rPr>
          <w:rFonts w:ascii="Times New Roman" w:hAnsi="Times New Roman"/>
          <w:b/>
          <w:i w:val="0"/>
          <w:sz w:val="22"/>
        </w:rPr>
        <w:t>87</w:t>
      </w:r>
      <w:r>
        <w:rPr>
          <w:rFonts w:ascii="Times New Roman" w:hAnsi="Times New Roman"/>
          <w:b w:val="0"/>
          <w:i w:val="0"/>
          <w:sz w:val="22"/>
        </w:rPr>
        <w:t>(5): p. 779-89.</w:t>
      </w:r>
    </w:p>
    <w:p>
      <w:pPr>
        <w:pStyle w:val="ListNumber"/>
      </w:pPr>
      <w:r>
        <w:rPr>
          <w:rFonts w:ascii="Times New Roman" w:hAnsi="Times New Roman"/>
          <w:b w:val="0"/>
          <w:i w:val="0"/>
          <w:sz w:val="22"/>
        </w:rPr>
        <w:t xml:space="preserve">Benjamini, Y. and Y. Hochberg, </w:t>
      </w:r>
      <w:r>
        <w:rPr>
          <w:rFonts w:ascii="Times New Roman" w:hAnsi="Times New Roman"/>
          <w:b w:val="0"/>
          <w:i/>
          <w:sz w:val="22"/>
        </w:rPr>
        <w:t>CONTROLLING THE FALSE DISCOVERY RATE - A PRACTICAL AND POWERFUL APPROACH TO MULTIPLE TESTING.</w:t>
      </w:r>
      <w:r>
        <w:rPr>
          <w:rFonts w:ascii="Times New Roman" w:hAnsi="Times New Roman"/>
          <w:b w:val="0"/>
          <w:i w:val="0"/>
          <w:sz w:val="22"/>
        </w:rPr>
        <w:t xml:space="preserve"> JOURNAL OF THE ROYAL STATISTICAL SOCIETY SERIES B-STATISTICAL METHODOLOGY, 1995. </w:t>
      </w:r>
      <w:r>
        <w:rPr>
          <w:rFonts w:ascii="Times New Roman" w:hAnsi="Times New Roman"/>
          <w:b/>
          <w:i w:val="0"/>
          <w:sz w:val="22"/>
        </w:rPr>
        <w:t>57</w:t>
      </w:r>
      <w:r>
        <w:rPr>
          <w:rFonts w:ascii="Times New Roman" w:hAnsi="Times New Roman"/>
          <w:b w:val="0"/>
          <w:i w:val="0"/>
          <w:sz w:val="22"/>
        </w:rPr>
        <w:t>(1): p. 289-300.</w:t>
      </w:r>
    </w:p>
    <w:p>
      <w:pPr>
        <w:pStyle w:val="ListNumber"/>
      </w:pPr>
      <w:r>
        <w:rPr>
          <w:rFonts w:ascii="Times New Roman" w:hAnsi="Times New Roman"/>
          <w:b w:val="0"/>
          <w:i w:val="0"/>
          <w:sz w:val="22"/>
        </w:rPr>
        <w:t xml:space="preserve">Veličković, P., </w:t>
      </w:r>
      <w:r>
        <w:rPr>
          <w:rFonts w:ascii="Times New Roman" w:hAnsi="Times New Roman"/>
          <w:b w:val="0"/>
          <w:i/>
          <w:sz w:val="22"/>
        </w:rPr>
        <w:t>Everything is connected: Graph neural networks.</w:t>
      </w:r>
      <w:r>
        <w:rPr>
          <w:rFonts w:ascii="Times New Roman" w:hAnsi="Times New Roman"/>
          <w:b w:val="0"/>
          <w:i w:val="0"/>
          <w:sz w:val="22"/>
        </w:rPr>
        <w:t xml:space="preserve"> Curr Opin Struct Biol, 2023. </w:t>
      </w:r>
      <w:r>
        <w:rPr>
          <w:rFonts w:ascii="Times New Roman" w:hAnsi="Times New Roman"/>
          <w:b/>
          <w:i w:val="0"/>
          <w:sz w:val="22"/>
        </w:rPr>
        <w:t>79</w:t>
      </w:r>
      <w:r>
        <w:rPr>
          <w:rFonts w:ascii="Times New Roman" w:hAnsi="Times New Roman"/>
          <w:b w:val="0"/>
          <w:i w:val="0"/>
          <w:sz w:val="22"/>
        </w:rPr>
        <w:t>: p. 102538.</w:t>
      </w:r>
    </w:p>
    <w:p>
      <w:pPr>
        <w:pStyle w:val="ListNumber"/>
      </w:pPr>
      <w:r>
        <w:rPr>
          <w:rFonts w:ascii="Times New Roman" w:hAnsi="Times New Roman"/>
          <w:b w:val="0"/>
          <w:i w:val="0"/>
          <w:sz w:val="22"/>
        </w:rPr>
        <w:t xml:space="preserve">Pratapa, A., et al., </w:t>
      </w:r>
      <w:r>
        <w:rPr>
          <w:rFonts w:ascii="Times New Roman" w:hAnsi="Times New Roman"/>
          <w:b w:val="0"/>
          <w:i/>
          <w:sz w:val="22"/>
        </w:rPr>
        <w:t>Benchmarking algorithms for gene regulatory network inference from single-cell transcriptomic data.</w:t>
      </w:r>
      <w:r>
        <w:rPr>
          <w:rFonts w:ascii="Times New Roman" w:hAnsi="Times New Roman"/>
          <w:b w:val="0"/>
          <w:i w:val="0"/>
          <w:sz w:val="22"/>
        </w:rPr>
        <w:t xml:space="preserve"> Nat Methods, 2020. </w:t>
      </w:r>
      <w:r>
        <w:rPr>
          <w:rFonts w:ascii="Times New Roman" w:hAnsi="Times New Roman"/>
          <w:b/>
          <w:i w:val="0"/>
          <w:sz w:val="22"/>
        </w:rPr>
        <w:t>17</w:t>
      </w:r>
      <w:r>
        <w:rPr>
          <w:rFonts w:ascii="Times New Roman" w:hAnsi="Times New Roman"/>
          <w:b w:val="0"/>
          <w:i w:val="0"/>
          <w:sz w:val="22"/>
        </w:rPr>
        <w:t>(2): p. 147-154.</w:t>
      </w:r>
    </w:p>
    <w:p>
      <w:pPr>
        <w:pStyle w:val="ListNumber"/>
      </w:pPr>
      <w:r>
        <w:rPr>
          <w:rFonts w:ascii="Times New Roman" w:hAnsi="Times New Roman"/>
          <w:b w:val="0"/>
          <w:i w:val="0"/>
          <w:sz w:val="22"/>
        </w:rPr>
        <w:t xml:space="preserve">Kartha, V.K., et al., </w:t>
      </w:r>
      <w:r>
        <w:rPr>
          <w:rFonts w:ascii="Times New Roman" w:hAnsi="Times New Roman"/>
          <w:b w:val="0"/>
          <w:i/>
          <w:sz w:val="22"/>
        </w:rPr>
        <w:t>Functional inference of gene regulation using single-cell multi-omics.</w:t>
      </w:r>
      <w:r>
        <w:rPr>
          <w:rFonts w:ascii="Times New Roman" w:hAnsi="Times New Roman"/>
          <w:b w:val="0"/>
          <w:i w:val="0"/>
          <w:sz w:val="22"/>
        </w:rPr>
        <w:t xml:space="preserve"> Cell Genom, 2022. </w:t>
      </w:r>
      <w:r>
        <w:rPr>
          <w:rFonts w:ascii="Times New Roman" w:hAnsi="Times New Roman"/>
          <w:b/>
          <w:i w:val="0"/>
          <w:sz w:val="22"/>
        </w:rPr>
        <w:t>2</w:t>
      </w:r>
      <w:r>
        <w:rPr>
          <w:rFonts w:ascii="Times New Roman" w:hAnsi="Times New Roman"/>
          <w:b w:val="0"/>
          <w:i w:val="0"/>
          <w:sz w:val="22"/>
        </w:rPr>
        <w:t>(9).</w:t>
      </w:r>
    </w:p>
    <w:p>
      <w:pPr>
        <w:pStyle w:val="ListNumber"/>
      </w:pPr>
      <w:r>
        <w:rPr>
          <w:rFonts w:ascii="Times New Roman" w:hAnsi="Times New Roman"/>
          <w:b w:val="0"/>
          <w:i w:val="0"/>
          <w:sz w:val="22"/>
        </w:rPr>
        <w:t xml:space="preserve">Margolin, A.A., et al., </w:t>
      </w:r>
      <w:r>
        <w:rPr>
          <w:rFonts w:ascii="Times New Roman" w:hAnsi="Times New Roman"/>
          <w:b w:val="0"/>
          <w:i/>
          <w:sz w:val="22"/>
        </w:rPr>
        <w:t>ARACNE: an algorithm for the reconstruction of gene regulatory networks in a mammalian cellular context.</w:t>
      </w:r>
      <w:r>
        <w:rPr>
          <w:rFonts w:ascii="Times New Roman" w:hAnsi="Times New Roman"/>
          <w:b w:val="0"/>
          <w:i w:val="0"/>
          <w:sz w:val="22"/>
        </w:rPr>
        <w:t xml:space="preserve"> BMC Bioinformatics, 2006. </w:t>
      </w:r>
      <w:r>
        <w:rPr>
          <w:rFonts w:ascii="Times New Roman" w:hAnsi="Times New Roman"/>
          <w:b/>
          <w:i w:val="0"/>
          <w:sz w:val="22"/>
        </w:rPr>
        <w:t>7 Suppl 1</w:t>
      </w:r>
      <w:r>
        <w:rPr>
          <w:rFonts w:ascii="Times New Roman" w:hAnsi="Times New Roman"/>
          <w:b w:val="0"/>
          <w:i w:val="0"/>
          <w:sz w:val="22"/>
        </w:rPr>
        <w:t>(Suppl 1): p. S7.</w:t>
      </w:r>
    </w:p>
    <w:p>
      <w:pPr>
        <w:pStyle w:val="ListNumber"/>
      </w:pPr>
      <w:r>
        <w:rPr>
          <w:rFonts w:ascii="Times New Roman" w:hAnsi="Times New Roman"/>
          <w:b w:val="0"/>
          <w:i w:val="0"/>
          <w:sz w:val="22"/>
        </w:rPr>
        <w:t xml:space="preserve">Edelman, G.M. and J.A. Gally, </w:t>
      </w:r>
      <w:r>
        <w:rPr>
          <w:rFonts w:ascii="Times New Roman" w:hAnsi="Times New Roman"/>
          <w:b w:val="0"/>
          <w:i/>
          <w:sz w:val="22"/>
        </w:rPr>
        <w:t>Degeneracy and complexity in biological systems.</w:t>
      </w:r>
      <w:r>
        <w:rPr>
          <w:rFonts w:ascii="Times New Roman" w:hAnsi="Times New Roman"/>
          <w:b w:val="0"/>
          <w:i w:val="0"/>
          <w:sz w:val="22"/>
        </w:rPr>
        <w:t xml:space="preserve"> Proc Natl Acad Sci U S A, 2001. </w:t>
      </w:r>
      <w:r>
        <w:rPr>
          <w:rFonts w:ascii="Times New Roman" w:hAnsi="Times New Roman"/>
          <w:b/>
          <w:i w:val="0"/>
          <w:sz w:val="22"/>
        </w:rPr>
        <w:t>98</w:t>
      </w:r>
      <w:r>
        <w:rPr>
          <w:rFonts w:ascii="Times New Roman" w:hAnsi="Times New Roman"/>
          <w:b w:val="0"/>
          <w:i w:val="0"/>
          <w:sz w:val="22"/>
        </w:rPr>
        <w:t>(24): p. 13763-8.</w:t>
      </w:r>
    </w:p>
    <w:p>
      <w:pPr>
        <w:pStyle w:val="ListNumber"/>
      </w:pPr>
      <w:r>
        <w:rPr>
          <w:rFonts w:ascii="Times New Roman" w:hAnsi="Times New Roman"/>
          <w:b w:val="0"/>
          <w:i w:val="0"/>
          <w:sz w:val="22"/>
        </w:rPr>
        <w:t xml:space="preserve">Whitacre, J.M., </w:t>
      </w:r>
      <w:r>
        <w:rPr>
          <w:rFonts w:ascii="Times New Roman" w:hAnsi="Times New Roman"/>
          <w:b w:val="0"/>
          <w:i/>
          <w:sz w:val="22"/>
        </w:rPr>
        <w:t>Degeneracy: a link between evolvability, robustness and complexity in biological systems.</w:t>
      </w:r>
      <w:r>
        <w:rPr>
          <w:rFonts w:ascii="Times New Roman" w:hAnsi="Times New Roman"/>
          <w:b w:val="0"/>
          <w:i w:val="0"/>
          <w:sz w:val="22"/>
        </w:rPr>
        <w:t xml:space="preserve"> Theor Biol Med Model, 2010. </w:t>
      </w:r>
      <w:r>
        <w:rPr>
          <w:rFonts w:ascii="Times New Roman" w:hAnsi="Times New Roman"/>
          <w:b/>
          <w:i w:val="0"/>
          <w:sz w:val="22"/>
        </w:rPr>
        <w:t>7</w:t>
      </w:r>
      <w:r>
        <w:rPr>
          <w:rFonts w:ascii="Times New Roman" w:hAnsi="Times New Roman"/>
          <w:b w:val="0"/>
          <w:i w:val="0"/>
          <w:sz w:val="22"/>
        </w:rPr>
        <w:t>: p. 6.</w:t>
      </w:r>
    </w:p>
    <w:p>
      <w:pPr>
        <w:pStyle w:val="ListNumber"/>
      </w:pPr>
      <w:r>
        <w:rPr>
          <w:rFonts w:ascii="Times New Roman" w:hAnsi="Times New Roman"/>
          <w:b w:val="0"/>
          <w:i w:val="0"/>
          <w:sz w:val="22"/>
        </w:rPr>
        <w:t xml:space="preserve">Weider, M., et al., </w:t>
      </w:r>
      <w:r>
        <w:rPr>
          <w:rFonts w:ascii="Times New Roman" w:hAnsi="Times New Roman"/>
          <w:b w:val="0"/>
          <w:i/>
          <w:sz w:val="22"/>
        </w:rPr>
        <w:t>Nfat/calcineurin signaling promotes oligodendrocyte differentiation and myelination by transcription factor network tuning.</w:t>
      </w:r>
      <w:r>
        <w:rPr>
          <w:rFonts w:ascii="Times New Roman" w:hAnsi="Times New Roman"/>
          <w:b w:val="0"/>
          <w:i w:val="0"/>
          <w:sz w:val="22"/>
        </w:rPr>
        <w:t xml:space="preserve"> Nat Commun, 2018. </w:t>
      </w:r>
      <w:r>
        <w:rPr>
          <w:rFonts w:ascii="Times New Roman" w:hAnsi="Times New Roman"/>
          <w:b/>
          <w:i w:val="0"/>
          <w:sz w:val="22"/>
        </w:rPr>
        <w:t>9</w:t>
      </w:r>
      <w:r>
        <w:rPr>
          <w:rFonts w:ascii="Times New Roman" w:hAnsi="Times New Roman"/>
          <w:b w:val="0"/>
          <w:i w:val="0"/>
          <w:sz w:val="22"/>
        </w:rPr>
        <w:t>(1): p. 899.</w:t>
      </w:r>
    </w:p>
    <w:p>
      <w:pPr>
        <w:pStyle w:val="ListNumber"/>
      </w:pPr>
      <w:r>
        <w:rPr>
          <w:rFonts w:ascii="Times New Roman" w:hAnsi="Times New Roman"/>
          <w:b w:val="0"/>
          <w:i w:val="0"/>
          <w:sz w:val="22"/>
        </w:rPr>
        <w:t xml:space="preserve">Huang, S., </w:t>
      </w:r>
      <w:r>
        <w:rPr>
          <w:rFonts w:ascii="Times New Roman" w:hAnsi="Times New Roman"/>
          <w:b w:val="0"/>
          <w:i/>
          <w:sz w:val="22"/>
        </w:rPr>
        <w:t>Reprogramming cell fates: reconciling rarity with robustness.</w:t>
      </w:r>
      <w:r>
        <w:rPr>
          <w:rFonts w:ascii="Times New Roman" w:hAnsi="Times New Roman"/>
          <w:b w:val="0"/>
          <w:i w:val="0"/>
          <w:sz w:val="22"/>
        </w:rPr>
        <w:t xml:space="preserve"> Bioessays, 2009. </w:t>
      </w:r>
      <w:r>
        <w:rPr>
          <w:rFonts w:ascii="Times New Roman" w:hAnsi="Times New Roman"/>
          <w:b/>
          <w:i w:val="0"/>
          <w:sz w:val="22"/>
        </w:rPr>
        <w:t>31</w:t>
      </w:r>
      <w:r>
        <w:rPr>
          <w:rFonts w:ascii="Times New Roman" w:hAnsi="Times New Roman"/>
          <w:b w:val="0"/>
          <w:i w:val="0"/>
          <w:sz w:val="22"/>
        </w:rPr>
        <w:t>(5): p. 546-60.</w:t>
      </w:r>
    </w:p>
    <w:p>
      <w:pPr>
        <w:pStyle w:val="ListNumber"/>
      </w:pPr>
      <w:r>
        <w:rPr>
          <w:rFonts w:ascii="Times New Roman" w:hAnsi="Times New Roman"/>
          <w:b w:val="0"/>
          <w:i w:val="0"/>
          <w:sz w:val="22"/>
        </w:rPr>
        <w:t xml:space="preserve">Raj, A. and A. van Oudenaarden, </w:t>
      </w:r>
      <w:r>
        <w:rPr>
          <w:rFonts w:ascii="Times New Roman" w:hAnsi="Times New Roman"/>
          <w:b w:val="0"/>
          <w:i/>
          <w:sz w:val="22"/>
        </w:rPr>
        <w:t>Nature, nurture, or chance: stochastic gene expression and its consequences.</w:t>
      </w:r>
      <w:r>
        <w:rPr>
          <w:rFonts w:ascii="Times New Roman" w:hAnsi="Times New Roman"/>
          <w:b w:val="0"/>
          <w:i w:val="0"/>
          <w:sz w:val="22"/>
        </w:rPr>
        <w:t xml:space="preserve"> Cell, 2008. </w:t>
      </w:r>
      <w:r>
        <w:rPr>
          <w:rFonts w:ascii="Times New Roman" w:hAnsi="Times New Roman"/>
          <w:b/>
          <w:i w:val="0"/>
          <w:sz w:val="22"/>
        </w:rPr>
        <w:t>135</w:t>
      </w:r>
      <w:r>
        <w:rPr>
          <w:rFonts w:ascii="Times New Roman" w:hAnsi="Times New Roman"/>
          <w:b w:val="0"/>
          <w:i w:val="0"/>
          <w:sz w:val="22"/>
        </w:rPr>
        <w:t>(2): p. 216-26.</w:t>
      </w:r>
    </w:p>
    <w:p>
      <w:pPr>
        <w:pStyle w:val="ListNumber"/>
      </w:pPr>
      <w:r>
        <w:rPr>
          <w:rFonts w:ascii="Times New Roman" w:hAnsi="Times New Roman"/>
          <w:b w:val="0"/>
          <w:i w:val="0"/>
          <w:sz w:val="22"/>
        </w:rPr>
        <w:t xml:space="preserve">Kim, S., et al., </w:t>
      </w:r>
      <w:r>
        <w:rPr>
          <w:rFonts w:ascii="Times New Roman" w:hAnsi="Times New Roman"/>
          <w:b w:val="0"/>
          <w:i/>
          <w:sz w:val="22"/>
        </w:rPr>
        <w:t>The antioxidant enzyme Peroxiredoxin-1 controls stroke-associated microglia against acute ischemic stroke.</w:t>
      </w:r>
      <w:r>
        <w:rPr>
          <w:rFonts w:ascii="Times New Roman" w:hAnsi="Times New Roman"/>
          <w:b w:val="0"/>
          <w:i w:val="0"/>
          <w:sz w:val="22"/>
        </w:rPr>
        <w:t xml:space="preserve"> Redox Biol, 2022. </w:t>
      </w:r>
      <w:r>
        <w:rPr>
          <w:rFonts w:ascii="Times New Roman" w:hAnsi="Times New Roman"/>
          <w:b/>
          <w:i w:val="0"/>
          <w:sz w:val="22"/>
        </w:rPr>
        <w:t>54</w:t>
      </w:r>
      <w:r>
        <w:rPr>
          <w:rFonts w:ascii="Times New Roman" w:hAnsi="Times New Roman"/>
          <w:b w:val="0"/>
          <w:i w:val="0"/>
          <w:sz w:val="22"/>
        </w:rPr>
        <w:t>: p. 102347. (GSE197731; PMID 35688114; doi:10.1016/j.redox.2022.102347)</w:t>
      </w:r>
    </w:p>
    <w:p>
      <w:r>
        <w:rPr>
          <w:rFonts w:ascii="Times New Roman" w:hAnsi="Times New Roman"/>
          <w:b/>
          <w:i w:val="0"/>
          <w:sz w:val="22"/>
        </w:rPr>
        <w:t>Figure Legends</w:t>
      </w:r>
    </w:p>
    <w:p>
      <w:r>
        <w:drawing>
          <wp:inline xmlns:a="http://schemas.openxmlformats.org/drawingml/2006/main" xmlns:pic="http://schemas.openxmlformats.org/drawingml/2006/picture">
            <wp:extent cx="5040000" cy="3155919"/>
            <wp:docPr id="1" name="Picture 1"/>
            <wp:cNvGraphicFramePr>
              <a:graphicFrameLocks noChangeAspect="1"/>
            </wp:cNvGraphicFramePr>
            <a:graphic>
              <a:graphicData uri="http://schemas.openxmlformats.org/drawingml/2006/picture">
                <pic:pic>
                  <pic:nvPicPr>
                    <pic:cNvPr id="0" name="figure1_tsc_gnn_conceptual_framework_v4.png"/>
                    <pic:cNvPicPr/>
                  </pic:nvPicPr>
                  <pic:blipFill>
                    <a:blip r:embed="rId9"/>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r>
        <w:drawing>
          <wp:inline xmlns:a="http://schemas.openxmlformats.org/drawingml/2006/main" xmlns:pic="http://schemas.openxmlformats.org/drawingml/2006/picture">
            <wp:extent cx="5040000" cy="2323775"/>
            <wp:docPr id="2" name="Picture 2"/>
            <wp:cNvGraphicFramePr>
              <a:graphicFrameLocks noChangeAspect="1"/>
            </wp:cNvGraphicFramePr>
            <a:graphic>
              <a:graphicData uri="http://schemas.openxmlformats.org/drawingml/2006/picture">
                <pic:pic>
                  <pic:nvPicPr>
                    <pic:cNvPr id="0" name="figure2_prediction_benchmark.png"/>
                    <pic:cNvPicPr/>
                  </pic:nvPicPr>
                  <pic:blipFill>
                    <a:blip r:embed="rId10"/>
                    <a:stretch>
                      <a:fillRect/>
                    </a:stretch>
                  </pic:blipFill>
                  <pic:spPr>
                    <a:xfrm>
                      <a:off x="0" y="0"/>
                      <a:ext cx="5040000" cy="2323775"/>
                    </a:xfrm>
                    <a:prstGeom prst="rect"/>
                  </pic:spPr>
                </pic:pic>
              </a:graphicData>
            </a:graphic>
          </wp:inline>
        </w:drawing>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r>
        <w:drawing>
          <wp:inline xmlns:a="http://schemas.openxmlformats.org/drawingml/2006/main" xmlns:pic="http://schemas.openxmlformats.org/drawingml/2006/picture">
            <wp:extent cx="5040000" cy="4620317"/>
            <wp:docPr id="3" name="Picture 3"/>
            <wp:cNvGraphicFramePr>
              <a:graphicFrameLocks noChangeAspect="1"/>
            </wp:cNvGraphicFramePr>
            <a:graphic>
              <a:graphicData uri="http://schemas.openxmlformats.org/drawingml/2006/picture">
                <pic:pic>
                  <pic:nvPicPr>
                    <pic:cNvPr id="0" name="figure3_rewiring_heatmaps.png"/>
                    <pic:cNvPicPr/>
                  </pic:nvPicPr>
                  <pic:blipFill>
                    <a:blip r:embed="rId11"/>
                    <a:stretch>
                      <a:fillRect/>
                    </a:stretch>
                  </pic:blipFill>
                  <pic:spPr>
                    <a:xfrm>
                      <a:off x="0" y="0"/>
                      <a:ext cx="5040000" cy="4620317"/>
                    </a:xfrm>
                    <a:prstGeom prst="rect"/>
                  </pic:spPr>
                </pic:pic>
              </a:graphicData>
            </a:graphic>
          </wp:inline>
        </w:drawing>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r>
        <w:drawing>
          <wp:inline xmlns:a="http://schemas.openxmlformats.org/drawingml/2006/main" xmlns:pic="http://schemas.openxmlformats.org/drawingml/2006/picture">
            <wp:extent cx="5040000" cy="2763827"/>
            <wp:docPr id="4" name="Picture 4"/>
            <wp:cNvGraphicFramePr>
              <a:graphicFrameLocks noChangeAspect="1"/>
            </wp:cNvGraphicFramePr>
            <a:graphic>
              <a:graphicData uri="http://schemas.openxmlformats.org/drawingml/2006/picture">
                <pic:pic>
                  <pic:nvPicPr>
                    <pic:cNvPr id="0" name="figure4_cross_species.png"/>
                    <pic:cNvPicPr/>
                  </pic:nvPicPr>
                  <pic:blipFill>
                    <a:blip r:embed="rId12"/>
                    <a:stretch>
                      <a:fillRect/>
                    </a:stretch>
                  </pic:blipFill>
                  <pic:spPr>
                    <a:xfrm>
                      <a:off x="0" y="0"/>
                      <a:ext cx="5040000" cy="2763827"/>
                    </a:xfrm>
                    <a:prstGeom prst="rect"/>
                  </pic:spPr>
                </pic:pic>
              </a:graphicData>
            </a:graphic>
          </wp:inline>
        </w:drawing>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r>
        <w:drawing>
          <wp:inline xmlns:a="http://schemas.openxmlformats.org/drawingml/2006/main" xmlns:pic="http://schemas.openxmlformats.org/drawingml/2006/picture">
            <wp:extent cx="5040000" cy="1858370"/>
            <wp:docPr id="5" name="Picture 5"/>
            <wp:cNvGraphicFramePr>
              <a:graphicFrameLocks noChangeAspect="1"/>
            </wp:cNvGraphicFramePr>
            <a:graphic>
              <a:graphicData uri="http://schemas.openxmlformats.org/drawingml/2006/picture">
                <pic:pic>
                  <pic:nvPicPr>
                    <pic:cNvPr id="0" name="figure5_drug_reversal.png"/>
                    <pic:cNvPicPr/>
                  </pic:nvPicPr>
                  <pic:blipFill>
                    <a:blip r:embed="rId13"/>
                    <a:stretch>
                      <a:fillRect/>
                    </a:stretch>
                  </pic:blipFill>
                  <pic:spPr>
                    <a:xfrm>
                      <a:off x="0" y="0"/>
                      <a:ext cx="5040000" cy="1858370"/>
                    </a:xfrm>
                    <a:prstGeom prst="rect"/>
                  </pic:spPr>
                </pic:pic>
              </a:graphicData>
            </a:graphic>
          </wp:inline>
        </w:drawing>
      </w:r>
    </w:p>
    <w:p>
      <w:r>
        <w:rPr>
          <w:rFonts w:ascii="Times New Roman" w:hAnsi="Times New Roman"/>
          <w:b/>
          <w:i w:val="0"/>
          <w:sz w:val="22"/>
        </w:rPr>
        <w:t>Figure 5. Drug-reversal analysis.</w:t>
      </w:r>
      <w:r>
        <w:rPr>
          <w:rFonts w:ascii="Times New Roman" w:hAnsi="Times New Roman"/>
          <w:b w:val="0"/>
          <w:i w:val="0"/>
          <w:sz w:val="22"/>
        </w:rPr>
        <w:t xml:space="preserve"> (A) Top L1000 compounds, shown by the number of cell types in which they reversed the robust 24 h injury signature. (B) Permutation distribution (n = 20 random signatures) vs observed count (dashed line). (C) Cross-level convergence: drug targets align with rewiring-recovered programs.</w:t>
      </w:r>
    </w:p>
    <w:p>
      <w:r>
        <w:drawing>
          <wp:inline xmlns:a="http://schemas.openxmlformats.org/drawingml/2006/main" xmlns:pic="http://schemas.openxmlformats.org/drawingml/2006/picture">
            <wp:extent cx="5040000" cy="2938086"/>
            <wp:docPr id="6" name="Picture 6"/>
            <wp:cNvGraphicFramePr>
              <a:graphicFrameLocks noChangeAspect="1"/>
            </wp:cNvGraphicFramePr>
            <a:graphic>
              <a:graphicData uri="http://schemas.openxmlformats.org/drawingml/2006/picture">
                <pic:pic>
                  <pic:nvPicPr>
                    <pic:cNvPr id="0" name="figure6_L5_triangulation.png"/>
                    <pic:cNvPicPr/>
                  </pic:nvPicPr>
                  <pic:blipFill>
                    <a:blip r:embed="rId14"/>
                    <a:stretch>
                      <a:fillRect/>
                    </a:stretch>
                  </pic:blipFill>
                  <pic:spPr>
                    <a:xfrm>
                      <a:off x="0" y="0"/>
                      <a:ext cx="5040000" cy="2938086"/>
                    </a:xfrm>
                    <a:prstGeom prst="rect"/>
                  </pic:spPr>
                </pic:pic>
              </a:graphicData>
            </a:graphic>
          </wp:inline>
        </w:drawing>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r>
        <w:drawing>
          <wp:inline xmlns:a="http://schemas.openxmlformats.org/drawingml/2006/main" xmlns:pic="http://schemas.openxmlformats.org/drawingml/2006/picture">
            <wp:extent cx="5040000" cy="7871851"/>
            <wp:docPr id="7" name="Picture 7"/>
            <wp:cNvGraphicFramePr>
              <a:graphicFrameLocks noChangeAspect="1"/>
            </wp:cNvGraphicFramePr>
            <a:graphic>
              <a:graphicData uri="http://schemas.openxmlformats.org/drawingml/2006/picture">
                <pic:pic>
                  <pic:nvPicPr>
                    <pic:cNvPr id="0" name="figure7_evidence_ladder.png"/>
                    <pic:cNvPicPr/>
                  </pic:nvPicPr>
                  <pic:blipFill>
                    <a:blip r:embed="rId15"/>
                    <a:stretch>
                      <a:fillRect/>
                    </a:stretch>
                  </pic:blipFill>
                  <pic:spPr>
                    <a:xfrm>
                      <a:off x="0" y="0"/>
                      <a:ext cx="5040000" cy="7871851"/>
                    </a:xfrm>
                    <a:prstGeom prst="rect"/>
                  </pic:spPr>
                </pic:pic>
              </a:graphicData>
            </a:graphic>
          </wp:inline>
        </w:drawing>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r>
        <w:drawing>
          <wp:inline xmlns:a="http://schemas.openxmlformats.org/drawingml/2006/main" xmlns:pic="http://schemas.openxmlformats.org/drawingml/2006/picture">
            <wp:extent cx="5040000" cy="6080516"/>
            <wp:docPr id="8" name="Picture 8"/>
            <wp:cNvGraphicFramePr>
              <a:graphicFrameLocks noChangeAspect="1"/>
            </wp:cNvGraphicFramePr>
            <a:graphic>
              <a:graphicData uri="http://schemas.openxmlformats.org/drawingml/2006/picture">
                <pic:pic>
                  <pic:nvPicPr>
                    <pic:cNvPr id="0" name="cellchat_rewiring_heatmap.png"/>
                    <pic:cNvPicPr/>
                  </pic:nvPicPr>
                  <pic:blipFill>
                    <a:blip r:embed="rId16"/>
                    <a:stretch>
                      <a:fillRect/>
                    </a:stretch>
                  </pic:blipFill>
                  <pic:spPr>
                    <a:xfrm>
                      <a:off x="0" y="0"/>
                      <a:ext cx="5040000" cy="6080516"/>
                    </a:xfrm>
                    <a:prstGeom prst="rect"/>
                  </pic:spPr>
                </pic:pic>
              </a:graphicData>
            </a:graphic>
          </wp:inline>
        </w:drawing>
      </w:r>
    </w:p>
    <w:p>
      <w:r>
        <w:rPr>
          <w:rFonts w:ascii="Times New Roman" w:hAnsi="Times New Roman"/>
          <w:b/>
          <w:i w:val="0"/>
          <w:sz w:val="22"/>
        </w:rPr>
        <w:t>Figure 8. Cell–cell communication (ligand–receptor) rewiring across stroke transitions.</w:t>
      </w:r>
      <w:r>
        <w:rPr>
          <w:rFonts w:ascii="Times New Roman" w:hAnsi="Times New Roman"/>
          <w:b w:val="0"/>
          <w:i w:val="0"/>
          <w:sz w:val="22"/>
        </w:rPr>
        <w:t xml:space="preserve"> Heatmap of log₂(MCAO/sham) communication score for the 22 ligand–receptor pairs remodelled at both 2 d and 14 d (rows), the two time points with the deepest coverage; red = strengthening, blue = weakening of intercellular signalling. Pairs span chemokine, complement, ECM–integrin, thrombospondin and cytokine pathways; the 18 linked to master-regulator programs are listed in Table 11. The 24 h time point — previously a gap — is now powered by a second independent cohort (GSE197731), whose 24 h / 48 h LR–pair sets and cross-cohort pathway/cell-type convergence (Thrombospondin, Pericyte→Pericyte) are shown in Supplementary Fig. S2 (see 3.9).</w:t>
      </w:r>
    </w:p>
    <w:p>
      <w:r>
        <w:rPr>
          <w:rFonts w:ascii="Times New Roman" w:hAnsi="Times New Roman"/>
          <w:b/>
          <w:i w:val="0"/>
          <w:sz w:val="22"/>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w:t>
      </w:r>
    </w:p>
    <w:p>
      <w:r>
        <w:rPr>
          <w:rFonts w:ascii="Times New Roman" w:hAnsi="Times New Roman"/>
          <w:b w:val="0"/>
          <w:i w:val="0"/>
          <w:sz w:val="22"/>
        </w:rPr>
        <w:t>Tables S1–S8 are provided in the Supplementary Materials.</w:t>
      </w:r>
    </w:p>
    <w:p>
      <w:r>
        <w:rPr>
          <w:rFonts w:ascii="Times New Roman" w:hAnsi="Times New Roman"/>
          <w:b/>
          <w:i w:val="0"/>
          <w:sz w:val="22"/>
        </w:rPr>
        <w:t>Supplementary Figures</w:t>
      </w:r>
    </w:p>
    <w:p>
      <w:pPr>
        <w:jc w:val="center"/>
      </w:pPr>
      <w:r>
        <w:drawing>
          <wp:inline xmlns:a="http://schemas.openxmlformats.org/drawingml/2006/main" xmlns:pic="http://schemas.openxmlformats.org/drawingml/2006/picture">
            <wp:extent cx="3960000" cy="4008785"/>
            <wp:docPr id="9" name="Picture 9"/>
            <wp:cNvGraphicFramePr>
              <a:graphicFrameLocks noChangeAspect="1"/>
            </wp:cNvGraphicFramePr>
            <a:graphic>
              <a:graphicData uri="http://schemas.openxmlformats.org/drawingml/2006/picture">
                <pic:pic>
                  <pic:nvPicPr>
                    <pic:cNvPr id="0" name="figureS1_pc_correction.png"/>
                    <pic:cNvPicPr/>
                  </pic:nvPicPr>
                  <pic:blipFill>
                    <a:blip r:embed="rId17"/>
                    <a:stretch>
                      <a:fillRect/>
                    </a:stretch>
                  </pic:blipFill>
                  <pic:spPr>
                    <a:xfrm>
                      <a:off x="0" y="0"/>
                      <a:ext cx="3960000" cy="4008785"/>
                    </a:xfrm>
                    <a:prstGeom prst="rect"/>
                  </pic:spPr>
                </pic:pic>
              </a:graphicData>
            </a:graphic>
          </wp:inline>
        </w:drawing>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rPr>
          <w:rFonts w:ascii="Times New Roman" w:hAnsi="Times New Roman"/>
          <w:b/>
          <w:i w:val="0"/>
          <w:sz w:val="22"/>
        </w:rPr>
        <w:t>Supplementary Figure S2.</w:t>
      </w:r>
      <w:r>
        <w:rPr>
          <w:rFonts w:ascii="Times New Roman" w:hAnsi="Times New Roman"/>
          <w:b w:val="0"/>
          <w:i w:val="0"/>
          <w:sz w:val="22"/>
        </w:rPr>
        <w:t xml:space="preserve"> 24 h / 48 h cell–cell communication in GSE197731 (WT) and cross-cohort 24 h consistency. (A) Heatmap of log₂(ipsilateral/contralateral) communication score for the 38 significant 24 h WT ligand–receptor pairs. (B) Pathway-level convergence between the two 24 h cohorts (GSE174574 vs GSE197731_WT): 2 vs 14 pathways, 1 shared (Thrombospondin; pathway Jaccard = 0.07). (C) Sender→receiver cell-type convergence: 2 vs 25 significant cell-type pairs, 1 shared (Pericyte→Pericyte). Panels B/C show that cross-cohort agreement is meaningful at the pathway/cell-type resolution even though the LR-pair Jaccard is 0.00 (power asymmetry).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