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ind w:left="8"/>
      </w:pPr>
      <w:r>
        <w:rPr>
          <w:rFonts w:ascii="Times New Roman" w:hAnsi="Times New Roman"/>
          <w:b/>
          <w:i w:val="0"/>
          <w:sz w:val="22"/>
        </w:rPr>
        <w:t>Target journal:</w:t>
      </w:r>
      <w:r>
        <w:rPr>
          <w:rFonts w:ascii="Times New Roman" w:hAnsi="Times New Roman"/>
          <w:b w:val="0"/>
          <w:i w:val="0"/>
          <w:sz w:val="22"/>
        </w:rPr>
        <w:t xml:space="preserve"> Patterns (Cell Press) </w:t>
      </w:r>
      <w:r>
        <w:rPr>
          <w:rFonts w:ascii="Times New Roman" w:hAnsi="Times New Roman"/>
          <w:b/>
          <w:i w:val="0"/>
          <w:sz w:val="22"/>
        </w:rPr>
        <w:t>Manuscript type:</w:t>
      </w:r>
      <w:r>
        <w:rPr>
          <w:rFonts w:ascii="Times New Roman" w:hAnsi="Times New Roman"/>
          <w:b w:val="0"/>
          <w:i w:val="0"/>
          <w:sz w:val="22"/>
        </w:rPr>
        <w:t xml:space="preserve"> Methods article with validation </w:t>
      </w:r>
      <w:r>
        <w:rPr>
          <w:rFonts w:ascii="Times New Roman" w:hAnsi="Times New Roman"/>
          <w:b/>
          <w:i w:val="0"/>
          <w:sz w:val="22"/>
        </w:rPr>
        <w:t>Version:</w:t>
      </w:r>
      <w:r>
        <w:rPr>
          <w:rFonts w:ascii="Times New Roman" w:hAnsi="Times New Roman"/>
          <w:b w:val="0"/>
          <w:i w:val="0"/>
          <w:sz w:val="22"/>
        </w:rPr>
        <w:t xml:space="preserve"> v6, 2026-07-10 (formatted for Patterns / Cell Press)</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does not improve perturbation prediction beyond linear baselines (0/90);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p>
      <w:pPr>
        <w:ind w:left="8"/>
      </w:pPr>
      <w:r>
        <w:rPr>
          <w:rFonts w:ascii="Times New Roman" w:hAnsi="Times New Roman"/>
          <w:b/>
          <w:i w:val="0"/>
          <w:sz w:val="22"/>
        </w:rPr>
        <w:t>Note to the reader:</w:t>
      </w:r>
      <w:r>
        <w:rPr>
          <w:rFonts w:ascii="Times New Roman" w:hAnsi="Times New Roman"/>
          <w:b w:val="0"/>
          <w:i w:val="0"/>
          <w:sz w:val="22"/>
        </w:rPr>
        <w:t xml:space="preserve"> This paper uses several specialized abbreviations. The Terminology Ledger below defines them at first use. The main text minimises clustering: no sentence contains more than two unfamiliar acronyms. Section labels (e.g., 3.5) are kept minimal.</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A+C mode</w:t>
            </w:r>
          </w:p>
        </w:tc>
        <w:tc>
          <w:tcPr>
            <w:tcW w:type="dxa" w:w="3008"/>
          </w:tcPr>
          <w:p>
            <w:r/>
            <w:r>
              <w:rPr>
                <w:rFonts w:ascii="Times New Roman" w:hAnsi="Times New Roman"/>
                <w:b w:val="0"/>
                <w:i w:val="0"/>
                <w:sz w:val="18"/>
              </w:rPr>
              <w:t>cross-modality analysis: A=SigCom LINCS signature-match, C=Replogle K562 sc-CRISPR regulon-response</w:t>
            </w:r>
          </w:p>
        </w:tc>
        <w:tc>
          <w:tcPr>
            <w:tcW w:type="dxa" w:w="3008"/>
          </w:tcPr>
          <w:p>
            <w:r/>
            <w:r>
              <w:rPr>
                <w:rFonts w:ascii="Times New Roman" w:hAnsi="Times New Roman"/>
                <w:b w:val="0"/>
                <w:i w:val="0"/>
                <w:sz w:val="18"/>
              </w:rPr>
              <w:t>define in 3.8</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1, 2</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3, 4</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5</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6, 7</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9</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39</w:t>
      </w:r>
      <w:r>
        <w:rPr>
          <w:rFonts w:ascii="Times New Roman" w:hAnsi="Times New Roman"/>
          <w:b w:val="0"/>
          <w:i w:val="0"/>
          <w:sz w:val="22"/>
        </w:rPr>
        <w:t xml:space="preserve">, PerturbNet </w:t>
      </w:r>
      <w:r>
        <w:rPr>
          <w:rFonts w:ascii="Times New Roman" w:hAnsi="Times New Roman"/>
          <w:b w:val="0"/>
          <w:i w:val="0"/>
          <w:sz w:val="22"/>
          <w:vertAlign w:val="superscript"/>
        </w:rPr>
        <w:t>40</w:t>
      </w:r>
      <w:r>
        <w:rPr>
          <w:rFonts w:ascii="Times New Roman" w:hAnsi="Times New Roman"/>
          <w:b w:val="0"/>
          <w:i w:val="0"/>
          <w:sz w:val="22"/>
        </w:rPr>
        <w:t xml:space="preserve">, the scPerturb compendium </w:t>
      </w:r>
      <w:r>
        <w:rPr>
          <w:rFonts w:ascii="Times New Roman" w:hAnsi="Times New Roman"/>
          <w:b w:val="0"/>
          <w:i w:val="0"/>
          <w:sz w:val="22"/>
          <w:vertAlign w:val="superscript"/>
        </w:rPr>
        <w:t>41</w:t>
      </w:r>
      <w:r>
        <w:rPr>
          <w:rFonts w:ascii="Times New Roman" w:hAnsi="Times New Roman"/>
          <w:b w:val="0"/>
          <w:i w:val="0"/>
          <w:sz w:val="22"/>
        </w:rPr>
        <w:t xml:space="preserve">, PerturbExpress </w:t>
      </w:r>
      <w:r>
        <w:rPr>
          <w:rFonts w:ascii="Times New Roman" w:hAnsi="Times New Roman"/>
          <w:b w:val="0"/>
          <w:i w:val="0"/>
          <w:sz w:val="22"/>
          <w:vertAlign w:val="superscript"/>
        </w:rPr>
        <w:t>42</w:t>
      </w:r>
      <w:r>
        <w:rPr>
          <w:rFonts w:ascii="Times New Roman" w:hAnsi="Times New Roman"/>
          <w:b w:val="0"/>
          <w:i w:val="0"/>
          <w:sz w:val="22"/>
        </w:rPr>
        <w:t xml:space="preserve">, and recent comprehensive benchmarks of the field </w:t>
      </w:r>
      <w:r>
        <w:rPr>
          <w:rFonts w:ascii="Times New Roman" w:hAnsi="Times New Roman"/>
          <w:b w:val="0"/>
          <w:i w:val="0"/>
          <w:sz w:val="22"/>
          <w:vertAlign w:val="superscript"/>
        </w:rPr>
        <w:t>49</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10</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11</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w:t>
      </w:r>
      <w:r>
        <w:rPr>
          <w:rFonts w:ascii="Times New Roman" w:hAnsi="Times New Roman"/>
          <w:b w:val="0"/>
          <w:i w:val="0"/>
          <w:sz w:val="22"/>
          <w:vertAlign w:val="superscript"/>
        </w:rPr>
        <w:t>15, 16, 17</w:t>
      </w:r>
      <w:r>
        <w:rPr>
          <w:rFonts w:ascii="Times New Roman" w:hAnsi="Times New Roman"/>
          <w:b w:val="0"/>
          <w:i w:val="0"/>
          <w:sz w:val="22"/>
        </w:rPr>
        <w:t xml:space="preserve"> are a natural choice for modelling perturbations on a graph substrate: they propagate a perturbation signal along known edges and produce a new latent embedding </w:t>
      </w:r>
      <w:r>
        <w:rPr>
          <w:rFonts w:ascii="Times New Roman" w:hAnsi="Times New Roman"/>
          <w:b w:val="0"/>
          <w:i w:val="0"/>
          <w:sz w:val="22"/>
          <w:vertAlign w:val="superscript"/>
        </w:rPr>
        <w:t>18</w:t>
      </w:r>
      <w:r>
        <w:rPr>
          <w:rFonts w:ascii="Times New Roman" w:hAnsi="Times New Roman"/>
          <w:b w:val="0"/>
          <w:i w:val="0"/>
          <w:sz w:val="22"/>
        </w:rPr>
        <w:t xml:space="preserve">.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20</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21</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22</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(Li et al., 2021 </w:t>
      </w:r>
      <w:r>
        <w:rPr>
          <w:rFonts w:ascii="Times New Roman" w:hAnsi="Times New Roman"/>
          <w:b w:val="0"/>
          <w:i w:val="0"/>
          <w:sz w:val="22"/>
          <w:vertAlign w:val="superscript"/>
        </w:rPr>
        <w:t>3</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(Anrather et al., 2024 </w:t>
      </w:r>
      <w:r>
        <w:rPr>
          <w:rFonts w:ascii="Times New Roman" w:hAnsi="Times New Roman"/>
          <w:b w:val="0"/>
          <w:i w:val="0"/>
          <w:sz w:val="22"/>
          <w:vertAlign w:val="superscript"/>
        </w:rPr>
        <w:t>4</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(4.3).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30</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33</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34</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36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20</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21</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Level 3: Cross-species test</w:t>
      </w:r>
    </w:p>
    <w:p>
      <w:r>
        <w:rPr>
          <w:rFonts w:ascii="Times New Roman" w:hAnsi="Times New Roman"/>
          <w:b/>
          <w:i w:val="0"/>
          <w:sz w:val="22"/>
        </w:rPr>
        <w:t>(a) 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(b) 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6, 31</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Level 4: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22</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Level 5: Public TF-perturbation re-analysis</w:t>
      </w:r>
    </w:p>
    <w:p>
      <w:r>
        <w:rPr>
          <w:rFonts w:ascii="Times New Roman" w:hAnsi="Times New Roman"/>
          <w:b/>
          <w:i w:val="0"/>
          <w:sz w:val="22"/>
        </w:rPr>
        <w:t>(a) 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(b) SigCom LINCS (A modality).</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35</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(c) Replogle K562 sc-CRISPR (C modality).</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learnable graph confers no prediction advantage under matched inputs.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9</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beat the linear baseline in </w:t>
      </w:r>
      <w:r>
        <w:rPr>
          <w:rFonts w:ascii="Times New Roman" w:hAnsi="Times New Roman"/>
          <w:b/>
          <w:i w:val="0"/>
          <w:sz w:val="22"/>
        </w:rPr>
        <w:t>0 cases</w:t>
      </w:r>
      <w:r>
        <w:rPr>
          <w:rFonts w:ascii="Times New Roman" w:hAnsi="Times New Roman"/>
          <w:b w:val="0"/>
          <w:i w:val="0"/>
          <w:sz w:val="22"/>
        </w:rPr>
        <w:t xml:space="preserve"> and showed no significant difference in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9</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r>
        <w:rPr>
          <w:rFonts w:ascii="Times New Roman" w:hAnsi="Times New Roman"/>
          <w:b/>
          <w:i w:val="0"/>
          <w:sz w:val="22"/>
        </w:rPr>
        <w:t>[Figure 2A about here, Prediction benchmark: graph vs linear, 90 configurations]</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r>
        <w:rPr>
          <w:rFonts w:ascii="Times New Roman" w:hAnsi="Times New Roman"/>
          <w:b/>
          <w:i w:val="0"/>
          <w:sz w:val="22"/>
        </w:rPr>
        <w:t>[Figure 2B about here, Schematic: interpretability vs prediction trade-off]</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i w:val="0"/>
                <w:sz w:val="18"/>
              </w:rPr>
              <w:t>L1</w:t>
            </w:r>
            <w:r>
              <w:rPr>
                <w:rFonts w:ascii="Times New Roman" w:hAnsi="Times New Roman"/>
                <w:b w:val="0"/>
                <w:i w:val="0"/>
                <w:sz w:val="18"/>
              </w:rPr>
              <w:t xml:space="preserve">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i w:val="0"/>
                <w:sz w:val="18"/>
              </w:rPr>
              <w:t>L2</w:t>
            </w:r>
            <w:r>
              <w:rPr>
                <w:rFonts w:ascii="Times New Roman" w:hAnsi="Times New Roman"/>
                <w:b w:val="0"/>
                <w:i w:val="0"/>
                <w:sz w:val="18"/>
              </w:rPr>
              <w:t xml:space="preserve">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i w:val="0"/>
                <w:sz w:val="18"/>
              </w:rPr>
              <w:t>L3</w:t>
            </w:r>
            <w:r>
              <w:rPr>
                <w:rFonts w:ascii="Times New Roman" w:hAnsi="Times New Roman"/>
                <w:b w:val="0"/>
                <w:i w:val="0"/>
                <w:sz w:val="18"/>
              </w:rPr>
              <w:t xml:space="preserve">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i w:val="0"/>
                <w:sz w:val="18"/>
              </w:rPr>
              <w:t>L4</w:t>
            </w:r>
            <w:r>
              <w:rPr>
                <w:rFonts w:ascii="Times New Roman" w:hAnsi="Times New Roman"/>
                <w:b w:val="0"/>
                <w:i w:val="0"/>
                <w:sz w:val="18"/>
              </w:rPr>
              <w:t xml:space="preserve">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i w:val="0"/>
                <w:sz w:val="18"/>
              </w:rPr>
              <w:t>L5</w:t>
            </w:r>
            <w:r>
              <w:rPr>
                <w:rFonts w:ascii="Times New Roman" w:hAnsi="Times New Roman"/>
                <w:b w:val="0"/>
                <w:i w:val="0"/>
                <w:sz w:val="18"/>
              </w:rPr>
              <w:t xml:space="preserve">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[Figure 7 about here, Five-level evidence ladder (L1–L5) visual summary]</w:t>
      </w:r>
    </w:p>
    <w:p>
      <w:r>
        <w:rPr>
          <w:rFonts w:ascii="Times New Roman" w:hAnsi="Times New Roman"/>
          <w:b/>
          <w:i w:val="0"/>
          <w:sz w:val="22"/>
        </w:rPr>
        <w:t>[Table 2 about here,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sz w:val="18"/>
              </w:rPr>
              <w:t>Tbx21→Cxcr3</w:t>
            </w:r>
            <w:r>
              <w:rPr>
                <w:rFonts w:ascii="Times New Roman" w:hAnsi="Times New Roman"/>
                <w:b w:val="0"/>
                <w:i w:val="0"/>
                <w:sz w:val="18"/>
              </w:rPr>
              <w:t xml:space="preserve">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sz w:val="18"/>
              </w:rPr>
              <w:t>Sox2→Lsamp</w:t>
            </w:r>
            <w:r>
              <w:rPr>
                <w:rFonts w:ascii="Times New Roman" w:hAnsi="Times New Roman"/>
                <w:b w:val="0"/>
                <w:i w:val="0"/>
                <w:sz w:val="18"/>
              </w:rPr>
              <w:t xml:space="preserve"> (ΔW = +0.86), </w:t>
            </w:r>
            <w:r>
              <w:rPr>
                <w:rFonts w:ascii="Times New Roman" w:hAnsi="Times New Roman"/>
                <w:b w:val="0"/>
                <w:i/>
                <w:sz w:val="18"/>
              </w:rPr>
              <w:t>Sox10→Ank3</w:t>
            </w:r>
            <w:r>
              <w:rPr>
                <w:rFonts w:ascii="Times New Roman" w:hAnsi="Times New Roman"/>
                <w:b w:val="0"/>
                <w:i w:val="0"/>
                <w:sz w:val="18"/>
              </w:rPr>
              <w:t xml:space="preserve">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sz w:val="18"/>
              </w:rPr>
              <w:t>Sox10→Plp1</w:t>
            </w:r>
            <w:r>
              <w:rPr>
                <w:rFonts w:ascii="Times New Roman" w:hAnsi="Times New Roman"/>
                <w:b w:val="0"/>
                <w:i w:val="0"/>
                <w:sz w:val="18"/>
              </w:rPr>
              <w:t xml:space="preserve"> (ΔW = +0.51), </w:t>
            </w:r>
            <w:r>
              <w:rPr>
                <w:rFonts w:ascii="Times New Roman" w:hAnsi="Times New Roman"/>
                <w:b w:val="0"/>
                <w:i/>
                <w:sz w:val="18"/>
              </w:rPr>
              <w:t>Hey2→Acta2</w:t>
            </w:r>
            <w:r>
              <w:rPr>
                <w:rFonts w:ascii="Times New Roman" w:hAnsi="Times New Roman"/>
                <w:b w:val="0"/>
                <w:i w:val="0"/>
                <w:sz w:val="18"/>
              </w:rPr>
              <w:t xml:space="preserve">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sz w:val="18"/>
              </w:rPr>
              <w:t>Sox9→Hapln1</w:t>
            </w:r>
            <w:r>
              <w:rPr>
                <w:rFonts w:ascii="Times New Roman" w:hAnsi="Times New Roman"/>
                <w:b w:val="0"/>
                <w:i w:val="0"/>
                <w:sz w:val="18"/>
              </w:rPr>
              <w:t xml:space="preserve"> (ΔW = +0.79), </w:t>
            </w:r>
            <w:r>
              <w:rPr>
                <w:rFonts w:ascii="Times New Roman" w:hAnsi="Times New Roman"/>
                <w:b w:val="0"/>
                <w:i/>
                <w:sz w:val="18"/>
              </w:rPr>
              <w:t>Sox10→Plp1</w:t>
            </w:r>
            <w:r>
              <w:rPr>
                <w:rFonts w:ascii="Times New Roman" w:hAnsi="Times New Roman"/>
                <w:b w:val="0"/>
                <w:i w:val="0"/>
                <w:sz w:val="18"/>
              </w:rPr>
              <w:t xml:space="preserve"> (ΔW = +0.42); both q &lt; 0.001</w:t>
            </w:r>
          </w:p>
        </w:tc>
      </w:tr>
    </w:tbl>
    <w:p/>
    <w:p>
      <w:pPr>
        <w:pStyle w:val="ListBullet"/>
      </w:pPr>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pPr>
        <w:pStyle w:val="ListBullet"/>
      </w:pPr>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pPr>
        <w:pStyle w:val="ListBullet"/>
      </w:pPr>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pPr>
        <w:pStyle w:val="ListBullet"/>
      </w:pPr>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 (Level 2).</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23, 24, 25</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26</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69–79 % of significant edges (pooled 74 %)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r>
        <w:rPr>
          <w:rFonts w:ascii="Times New Roman" w:hAnsi="Times New Roman"/>
          <w:b/>
          <w:i w:val="0"/>
          <w:sz w:val="22"/>
        </w:rPr>
        <w:t>[Figure 3 about here, Temporal rewiring heatmaps per transition]</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(4.3);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Level 3, Cross-species regulatory convergence of recovered programs</w:t>
      </w:r>
    </w:p>
    <w:p>
      <w:pPr>
        <w:ind w:left="8"/>
      </w:pPr>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24, 27</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28, 29</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w:t>
      </w:r>
      <w:r>
        <w:rPr>
          <w:rFonts w:ascii="Times New Roman" w:hAnsi="Times New Roman"/>
          <w:b w:val="0"/>
          <w:i w:val="0"/>
          <w:sz w:val="22"/>
          <w:vertAlign w:val="superscript"/>
        </w:rPr>
        <w:t>30</w:t>
      </w:r>
      <w:r>
        <w:rPr>
          <w:rFonts w:ascii="Times New Roman" w:hAnsi="Times New Roman"/>
          <w:b w:val="0"/>
          <w:i w:val="0"/>
          <w:sz w:val="22"/>
        </w:rPr>
        <w:t xml:space="preserve">;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32</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w:t>
      </w:r>
    </w:p>
    <w:p>
      <w:r>
        <w:rPr>
          <w:rFonts w:ascii="Times New Roman" w:hAnsi="Times New Roman"/>
          <w:b/>
          <w:i w:val="0"/>
          <w:sz w:val="22"/>
        </w:rPr>
        <w:t>[Figure 4 about here, Cross-species regulatory convergence: structural projection + blood activation]</w:t>
      </w:r>
    </w:p>
    <w:p>
      <w:pPr>
        <w:pStyle w:val="Heading2"/>
      </w:pPr>
      <w:r>
        <w:rPr>
          <w:rFonts w:ascii="Times New Roman" w:hAnsi="Times New Roman"/>
          <w:b/>
          <w:i w:val="0"/>
          <w:sz w:val="24"/>
        </w:rPr>
        <w:t>3.6 Level 4,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22</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w:t>
      </w:r>
      <w:r>
        <w:rPr>
          <w:rFonts w:ascii="Times New Roman" w:hAnsi="Times New Roman"/>
          <w:b w:val="0"/>
          <w:i w:val="0"/>
          <w:sz w:val="22"/>
          <w:vertAlign w:val="superscript"/>
        </w:rPr>
        <w:t>48</w:t>
      </w:r>
      <w:r>
        <w:rPr>
          <w:rFonts w:ascii="Times New Roman" w:hAnsi="Times New Roman"/>
          <w:b w:val="0"/>
          <w:i w:val="0"/>
          <w:sz w:val="22"/>
        </w:rPr>
        <w:t xml:space="preserve"> and statins for stroke prevention and recovery </w:t>
      </w:r>
      <w:r>
        <w:rPr>
          <w:rFonts w:ascii="Times New Roman" w:hAnsi="Times New Roman"/>
          <w:b w:val="0"/>
          <w:i w:val="0"/>
          <w:sz w:val="22"/>
          <w:vertAlign w:val="superscript"/>
        </w:rPr>
        <w:t>47</w:t>
      </w:r>
      <w:r>
        <w:rPr>
          <w:rFonts w:ascii="Times New Roman" w:hAnsi="Times New Roman"/>
          <w:b w:val="0"/>
          <w:i w:val="0"/>
          <w:sz w:val="22"/>
        </w:rPr>
        <w:t xml:space="preserve">,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ind w:left="8"/>
      </w:pPr>
      <w:r>
        <w:rPr>
          <w:rFonts w:ascii="Times New Roman" w:hAnsi="Times New Roman"/>
          <w:b/>
          <w:i w:val="0"/>
          <w:sz w:val="22"/>
        </w:rPr>
        <w:t>[Author note, L4 Limitation]:</w:t>
      </w:r>
      <w:r>
        <w:rPr>
          <w:rFonts w:ascii="Times New Roman" w:hAnsi="Times New Roman"/>
          <w:b w:val="0"/>
          <w:i w:val="0"/>
          <w:sz w:val="22"/>
        </w:rPr>
        <w:t xml:space="preserve"> Level 4 is a </w:t>
      </w:r>
      <w:r>
        <w:rPr>
          <w:rFonts w:ascii="Times New Roman" w:hAnsi="Times New Roman"/>
          <w:b/>
          <w:i w:val="0"/>
          <w:sz w:val="22"/>
        </w:rPr>
        <w:t>translational proof-of-concept / hypothesis-generation</w:t>
      </w:r>
      <w:r>
        <w:rPr>
          <w:rFonts w:ascii="Times New Roman" w:hAnsi="Times New Roman"/>
          <w:b w:val="0"/>
          <w:i w:val="0"/>
          <w:sz w:val="22"/>
        </w:rPr>
        <w:t xml:space="preserve"> demonstration, </w:t>
      </w:r>
      <w:r>
        <w:rPr>
          <w:rFonts w:ascii="Times New Roman" w:hAnsi="Times New Roman"/>
          <w:b w:val="0"/>
          <w:i/>
          <w:sz w:val="22"/>
        </w:rPr>
        <w:t>not</w:t>
      </w:r>
      <w:r>
        <w:rPr>
          <w:rFonts w:ascii="Times New Roman" w:hAnsi="Times New Roman"/>
          <w:b w:val="0"/>
          <w:i w:val="0"/>
          <w:sz w:val="22"/>
        </w:rPr>
        <w:t xml:space="preserve"> a drug-efficacy prediction. LINCS profiles derive from non-neuronal cancer cell lines; the signature is single-timepoint (24 h acute) and derived from the DoRothEA gene space rather than the full transcriptome; L1000CDS2 shows heavy ties; the permutation did not reach significance; and the entire pipeline is in silico with no wet-lab confirmation.</w:t>
      </w:r>
    </w:p>
    <w:p>
      <w:r>
        <w:rPr>
          <w:rFonts w:ascii="Times New Roman" w:hAnsi="Times New Roman"/>
          <w:b/>
          <w:i w:val="0"/>
          <w:sz w:val="22"/>
        </w:rPr>
        <w:t>[Figure 5 about here, Drug reversal: top hits and permutation distribution]</w:t>
      </w:r>
    </w:p>
    <w:p>
      <w:pPr>
        <w:pStyle w:val="Heading2"/>
      </w:pPr>
      <w:r>
        <w:rPr>
          <w:rFonts w:ascii="Times New Roman" w:hAnsi="Times New Roman"/>
          <w:b/>
          <w:i w:val="0"/>
          <w:sz w:val="24"/>
        </w:rPr>
        <w:t>3.7 Level 5, Program-level directional causal support from public TF perturbation</w:t>
      </w:r>
    </w:p>
    <w:p>
      <w:pPr>
        <w:ind w:left="8"/>
      </w:pPr>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3.4)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&lt;sup&gt;33&lt;/sup&gt;).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&lt;sup&gt;34&lt;/sup&gt;).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 A modality)</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35</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 C modality)</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36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 (A + C)</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pPr>
        <w:pStyle w:val="Heading3"/>
      </w:pPr>
      <w:r>
        <w:rPr>
          <w:rFonts w:ascii="Times New Roman" w:hAnsi="Times New Roman"/>
          <w:b/>
          <w:i w:val="0"/>
          <w:sz w:val="22"/>
        </w:rPr>
        <w:t>3.8.1 Methods</w:t>
      </w:r>
    </w:p>
    <w:p>
      <w:r>
        <w:rPr>
          <w:rFonts w:ascii="Times New Roman" w:hAnsi="Times New Roman"/>
          <w:b/>
          <w:i w:val="0"/>
          <w:sz w:val="22"/>
        </w:rPr>
        <w:t>(M1)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(M2)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(M3)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(M4)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pPr>
        <w:pStyle w:val="Heading3"/>
      </w:pPr>
      <w:r>
        <w:rPr>
          <w:rFonts w:ascii="Times New Roman" w:hAnsi="Times New Roman"/>
          <w:b/>
          <w:i w:val="0"/>
          <w:sz w:val="22"/>
        </w:rPr>
        <w:t>3.8.2 Results</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 about here,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A + C:</w:t>
      </w:r>
    </w:p>
    <w:p>
      <w:pPr>
        <w:pStyle w:val="ListNumber"/>
      </w:pPr>
      <w:r>
        <w:rPr>
          <w:rFonts w:ascii="Times New Roman" w:hAnsi="Times New Roman"/>
          <w:b/>
          <w:i w:val="0"/>
          <w:sz w:val="22"/>
        </w:rPr>
        <w:t>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pPr>
        <w:pStyle w:val="ListNumber"/>
      </w:pPr>
      <w:r>
        <w:rPr>
          <w:rFonts w:ascii="Times New Roman" w:hAnsi="Times New Roman"/>
          <w:b/>
          <w:i w:val="0"/>
          <w:sz w:val="22"/>
        </w:rPr>
        <w:t>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w:t>
      </w:r>
      <w:r>
        <w:rPr>
          <w:rFonts w:ascii="Times New Roman" w:hAnsi="Times New Roman"/>
          <w:b/>
          <w:i w:val="0"/>
          <w:sz w:val="22"/>
        </w:rPr>
        <w:t>not</w:t>
      </w:r>
      <w:r>
        <w:rPr>
          <w:rFonts w:ascii="Times New Roman" w:hAnsi="Times New Roman"/>
          <w:b w:val="0"/>
          <w:i w:val="0"/>
          <w:sz w:val="22"/>
        </w:rPr>
        <w:t xml:space="preserve"> evidence that the specific DoRothEA edges are active in that context; only the membership-resolved Replogle test adjudicates that, and it is null off-context. Neither modality alone reveals this separation.</w:t>
      </w:r>
    </w:p>
    <w:p>
      <w:pPr>
        <w:pStyle w:val="ListNumber"/>
      </w:pPr>
      <w:r>
        <w:rPr>
          <w:rFonts w:ascii="Times New Roman" w:hAnsi="Times New Roman"/>
          <w:b/>
          <w:i w:val="0"/>
          <w:sz w:val="22"/>
        </w:rPr>
        <w:t>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w:t>
      </w:r>
      <w:r>
        <w:rPr>
          <w:rFonts w:ascii="Times New Roman" w:hAnsi="Times New Roman"/>
          <w:b/>
          <w:i w:val="0"/>
          <w:sz w:val="22"/>
        </w:rPr>
        <w:t>bounds</w:t>
      </w:r>
      <w:r>
        <w:rPr>
          <w:rFonts w:ascii="Times New Roman" w:hAnsi="Times New Roman"/>
          <w:b w:val="0"/>
          <w:i w:val="0"/>
          <w:sz w:val="22"/>
        </w:rPr>
        <w:t xml:space="preserve"> how strongly </w:t>
      </w:r>
      <w:r>
        <w:rPr>
          <w:rFonts w:ascii="Times New Roman" w:hAnsi="Times New Roman"/>
          <w:b w:val="0"/>
          <w:i/>
          <w:sz w:val="22"/>
        </w:rPr>
        <w:t>any</w:t>
      </w:r>
      <w:r>
        <w:rPr>
          <w:rFonts w:ascii="Times New Roman" w:hAnsi="Times New Roman"/>
          <w:b w:val="0"/>
          <w:i w:val="0"/>
          <w:sz w:val="22"/>
        </w:rPr>
        <w:t xml:space="preserve"> module-level gene-perturbation test, A or C, can be interpreted.</w:t>
      </w:r>
    </w:p>
    <w:p>
      <w:pPr>
        <w:pStyle w:val="ListNumber"/>
      </w:pPr>
      <w:r>
        <w:rPr>
          <w:rFonts w:ascii="Times New Roman" w:hAnsi="Times New Roman"/>
          <w:b/>
          <w:i w:val="0"/>
          <w:sz w:val="22"/>
        </w:rPr>
        <w:t>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w:t>
      </w:r>
    </w:p>
    <w:p>
      <w:r>
        <w:rPr>
          <w:rFonts w:ascii="Times New Roman" w:hAnsi="Times New Roman"/>
          <w:b/>
          <w:i w:val="0"/>
          <w:sz w:val="22"/>
        </w:rPr>
        <w:t>[Figure 6 about here, L5 three-layer triangulation: A + C cross-modality synthesis]</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beat the linear baseline in zero cases, with confidence intervals spanning zero on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10, 11</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37, 38</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18, 43, 50</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w:t>
      </w:r>
      <w:r>
        <w:rPr>
          <w:rFonts w:ascii="Times New Roman" w:hAnsi="Times New Roman"/>
          <w:b w:val="0"/>
          <w:i w:val="0"/>
          <w:sz w:val="22"/>
          <w:vertAlign w:val="superscript"/>
        </w:rPr>
        <w:t>6</w:t>
      </w:r>
      <w:r>
        <w:rPr>
          <w:rFonts w:ascii="Times New Roman" w:hAnsi="Times New Roman"/>
          <w:b w:val="0"/>
          <w:i w:val="0"/>
          <w:sz w:val="22"/>
        </w:rPr>
        <w:t xml:space="preserve">, NicheNet </w:t>
      </w:r>
      <w:r>
        <w:rPr>
          <w:rFonts w:ascii="Times New Roman" w:hAnsi="Times New Roman"/>
          <w:b w:val="0"/>
          <w:i w:val="0"/>
          <w:sz w:val="22"/>
          <w:vertAlign w:val="superscript"/>
        </w:rPr>
        <w:t>8</w:t>
      </w:r>
      <w:r>
        <w:rPr>
          <w:rFonts w:ascii="Times New Roman" w:hAnsi="Times New Roman"/>
          <w:b w:val="0"/>
          <w:i w:val="0"/>
          <w:sz w:val="22"/>
        </w:rPr>
        <w:t xml:space="preserve">) rather than with earlier edge-level causality claims that failed to sustain adoption </w:t>
      </w:r>
      <w:r>
        <w:rPr>
          <w:rFonts w:ascii="Times New Roman" w:hAnsi="Times New Roman"/>
          <w:b w:val="0"/>
          <w:i w:val="0"/>
          <w:sz w:val="22"/>
          <w:vertAlign w:val="superscript"/>
        </w:rPr>
        <w:t>20, 43, 51</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52, 53</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54</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55, 56</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r>
        <w:rPr>
          <w:rFonts w:ascii="Times New Roman" w:hAnsi="Times New Roman"/>
          <w:b/>
          <w:i w:val="0"/>
          <w:sz w:val="22"/>
        </w:rPr>
        <w:t>Anticipated reviewer questions.</w:t>
      </w:r>
    </w:p>
    <w:p>
      <w:r>
        <w:rPr>
          <w:rFonts w:ascii="Times New Roman" w:hAnsi="Times New Roman"/>
          <w:b w:val="0"/>
          <w:i/>
          <w:sz w:val="22"/>
        </w:rPr>
        <w:t>Q1: If the GNN does not outperform a linear baseline, why use a GNN at all?</w:t>
      </w:r>
      <w:r>
        <w:rPr>
          <w:rFonts w:ascii="Times New Roman" w:hAnsi="Times New Roman"/>
          <w:b w:val="0"/>
          <w:i w:val="0"/>
          <w:sz w:val="22"/>
        </w:rPr>
        <w:t xml:space="preserve"> The scoping benchmark (3.1) answers this: the GNN contributes interpretation, not prediction accuracy. A fixed-graph GNN and a no-graph linear baseline share the same prediction hypothesis space; they differ only in what they reveal about </w:t>
      </w:r>
      <w:r>
        <w:rPr>
          <w:rFonts w:ascii="Times New Roman" w:hAnsi="Times New Roman"/>
          <w:b w:val="0"/>
          <w:i/>
          <w:sz w:val="22"/>
        </w:rPr>
        <w:t>where</w:t>
      </w:r>
      <w:r>
        <w:rPr>
          <w:rFonts w:ascii="Times New Roman" w:hAnsi="Times New Roman"/>
          <w:b w:val="0"/>
          <w:i w:val="0"/>
          <w:sz w:val="22"/>
        </w:rPr>
        <w:t xml:space="preserve"> and </w:t>
      </w:r>
      <w:r>
        <w:rPr>
          <w:rFonts w:ascii="Times New Roman" w:hAnsi="Times New Roman"/>
          <w:b w:val="0"/>
          <w:i/>
          <w:sz w:val="22"/>
        </w:rPr>
        <w:t>which</w:t>
      </w:r>
      <w:r>
        <w:rPr>
          <w:rFonts w:ascii="Times New Roman" w:hAnsi="Times New Roman"/>
          <w:b w:val="0"/>
          <w:i w:val="0"/>
          <w:sz w:val="22"/>
        </w:rPr>
        <w:t xml:space="preserve"> regulation changes. The graph is necessary not for prediction but for decomposing the perturbation onto individual edges, a task no graph-free readout can perform.</w:t>
      </w:r>
    </w:p>
    <w:p>
      <w:r>
        <w:rPr>
          <w:rFonts w:ascii="Times New Roman" w:hAnsi="Times New Roman"/>
          <w:b w:val="0"/>
          <w:i/>
          <w:sz w:val="22"/>
        </w:rPr>
        <w:t>Q2: Why trust edge-level rewiring if cross-cohort edge overlap is near zero?</w:t>
      </w:r>
      <w:r>
        <w:rPr>
          <w:rFonts w:ascii="Times New Roman" w:hAnsi="Times New Roman"/>
          <w:b w:val="0"/>
          <w:i w:val="0"/>
          <w:sz w:val="22"/>
        </w:rPr>
        <w:t xml:space="preserve"> Edge-level estimates are dataset-specific hypotheses, not validated discoveries; the module-level evidence (L2–L5) establishes that the aggregate program is directionally correct and conserved. Individual edges remain useful as context-dependent, testable hypotheses, not invariant truths.</w:t>
      </w:r>
    </w:p>
    <w:p>
      <w:r>
        <w:rPr>
          <w:rFonts w:ascii="Times New Roman" w:hAnsi="Times New Roman"/>
          <w:b w:val="0"/>
          <w:i/>
          <w:sz w:val="22"/>
        </w:rPr>
        <w:t>Q3: Is the framework generalizable beyond stroke?</w:t>
      </w:r>
      <w:r>
        <w:rPr>
          <w:rFonts w:ascii="Times New Roman" w:hAnsi="Times New Roman"/>
          <w:b w:val="0"/>
          <w:i w:val="0"/>
          <w:sz w:val="22"/>
        </w:rPr>
        <w:t xml:space="preserve"> It is disease-agnostic and applies to any multi-timepoint single-cell dataset with a DoRothEA-compatible regulon library, e.g. spinal cord injury, multiple sclerosis, traumatic brain injury, chronic inflammation. The stitched-time-axis and fixed-graph constraints apply equally, and the L5 causal-support paradigm can be adopted wherever public TF-perturbation data exist for the relevant cell types.</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w:t>
      </w:r>
      <w:r>
        <w:rPr>
          <w:rFonts w:ascii="Times New Roman" w:hAnsi="Times New Roman"/>
          <w:b w:val="0"/>
          <w:i w:val="0"/>
          <w:sz w:val="22"/>
          <w:vertAlign w:val="superscript"/>
        </w:rPr>
        <w:t>48, 47</w:t>
      </w:r>
      <w:r>
        <w:rPr>
          <w:rFonts w:ascii="Times New Roman" w:hAnsi="Times New Roman"/>
          <w:b w:val="0"/>
          <w:i w:val="0"/>
          <w:sz w:val="22"/>
        </w:rPr>
        <w:t>,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20, 43</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w:t>
      </w:r>
      <w:r>
        <w:rPr>
          <w:rFonts w:ascii="Times New Roman" w:hAnsi="Times New Roman"/>
          <w:b w:val="0"/>
          <w:i w:val="0"/>
          <w:sz w:val="22"/>
          <w:vertAlign w:val="superscript"/>
        </w:rPr>
        <w:t>38</w:t>
      </w:r>
      <w:r>
        <w:rPr>
          <w:rFonts w:ascii="Times New Roman" w:hAnsi="Times New Roman"/>
          <w:b w:val="0"/>
          <w:i w:val="0"/>
          <w:sz w:val="22"/>
        </w:rPr>
        <w:t>.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pPr>
        <w:pStyle w:val="Heading1"/>
      </w:pPr>
      <w:r>
        <w:rPr>
          <w:rFonts w:ascii="Times New Roman" w:hAnsi="Times New Roman"/>
          <w:b/>
          <w:i w:val="0"/>
          <w:sz w:val="28"/>
        </w:rPr>
        <w:t>Figure Legends</w:t>
      </w:r>
    </w:p>
    <w:p>
      <w:r>
        <w:rPr>
          <w:rFonts w:ascii="Times New Roman" w:hAnsi="Times New Roman"/>
          <w:b w:val="0"/>
          <w:i/>
          <w:color w:val="808080"/>
          <w:sz w:val="20"/>
        </w:rPr>
        <w:t>[Note: the source manuscript contains no legend for Figure 1; supply Figure 1 and its legend before submission.]</w:t>
      </w:r>
    </w:p>
    <w:p>
      <w:pPr>
        <w:jc w:val="center"/>
      </w:pPr>
      <w:r>
        <w:drawing>
          <wp:inline xmlns:a="http://schemas.openxmlformats.org/drawingml/2006/main" xmlns:pic="http://schemas.openxmlformats.org/drawingml/2006/picture">
            <wp:extent cx="5400000" cy="2519656"/>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400000" cy="2519656"/>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pPr>
        <w:jc w:val="center"/>
      </w:pPr>
      <w:r>
        <w:drawing>
          <wp:inline xmlns:a="http://schemas.openxmlformats.org/drawingml/2006/main" xmlns:pic="http://schemas.openxmlformats.org/drawingml/2006/picture">
            <wp:extent cx="5400000" cy="4951585"/>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400000" cy="4951585"/>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pPr>
        <w:jc w:val="center"/>
      </w:pPr>
      <w:r>
        <w:drawing>
          <wp:inline xmlns:a="http://schemas.openxmlformats.org/drawingml/2006/main" xmlns:pic="http://schemas.openxmlformats.org/drawingml/2006/picture">
            <wp:extent cx="5400000" cy="2961102"/>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400000" cy="2961102"/>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pPr>
        <w:jc w:val="center"/>
      </w:pPr>
      <w:r>
        <w:drawing>
          <wp:inline xmlns:a="http://schemas.openxmlformats.org/drawingml/2006/main" xmlns:pic="http://schemas.openxmlformats.org/drawingml/2006/picture">
            <wp:extent cx="5400000" cy="1996377"/>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400000" cy="1996377"/>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 L1000 compounds, shown by the number of cell types in which they reversed the robust 24 h injury signature. (B) Permutation distribution (n = 20 random signatures) vs observed count (dashed line). (C) Cross-level convergence: drug targets align with rewiring-recovered programs.</w:t>
      </w:r>
    </w:p>
    <w:p>
      <w:pPr>
        <w:jc w:val="center"/>
      </w:pPr>
      <w:r>
        <w:drawing>
          <wp:inline xmlns:a="http://schemas.openxmlformats.org/drawingml/2006/main" xmlns:pic="http://schemas.openxmlformats.org/drawingml/2006/picture">
            <wp:extent cx="5400000" cy="3145488"/>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400000" cy="3145488"/>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pPr>
        <w:jc w:val="center"/>
      </w:pPr>
      <w:r>
        <w:drawing>
          <wp:inline xmlns:a="http://schemas.openxmlformats.org/drawingml/2006/main" xmlns:pic="http://schemas.openxmlformats.org/drawingml/2006/picture">
            <wp:extent cx="5400000" cy="8451037"/>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400000" cy="8451037"/>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pPr>
        <w:pStyle w:val="Heading1"/>
      </w:pPr>
      <w:r>
        <w:rPr>
          <w:rFonts w:ascii="Times New Roman" w:hAnsi="Times New Roman"/>
          <w:b/>
          <w:i w:val="0"/>
          <w:sz w:val="28"/>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3.8.2]</w:t>
      </w:r>
    </w:p>
    <w:p>
      <w:r>
        <w:rPr>
          <w:rFonts w:ascii="Times New Roman" w:hAnsi="Times New Roman"/>
          <w:b w:val="0"/>
          <w:i w:val="0"/>
          <w:sz w:val="22"/>
        </w:rPr>
        <w:t>Tables S1–S8 are provided in the Supplementary Materials.</w:t>
      </w:r>
    </w:p>
    <w:p>
      <w:r>
        <w:br w:type="page"/>
      </w:r>
    </w:p>
    <w:p>
      <w:pPr>
        <w:pStyle w:val="Heading1"/>
      </w:pPr>
      <w:r>
        <w:rPr>
          <w:rFonts w:ascii="Times New Roman" w:hAnsi="Times New Roman"/>
          <w:b/>
          <w:i w:val="0"/>
          <w:sz w:val="28"/>
        </w:rPr>
        <w:t>Supplementary Materials</w:t>
      </w:r>
    </w:p>
    <w:p>
      <w:pPr>
        <w:pStyle w:val="Heading2"/>
      </w:pPr>
      <w:r>
        <w:rPr>
          <w:rFonts w:ascii="Times New Roman" w:hAnsi="Times New Roman"/>
          <w:b/>
          <w:i w:val="0"/>
          <w:sz w:val="24"/>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Sox10</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Cebpb</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i w:val="0"/>
                <w:sz w:val="18"/>
              </w:rPr>
              <w:t>0.022</w:t>
            </w:r>
          </w:p>
        </w:tc>
        <w:tc>
          <w:tcPr>
            <w:tcW w:type="dxa" w:w="1504"/>
          </w:tcPr>
          <w:p>
            <w:r/>
            <w:r>
              <w:rPr>
                <w:rFonts w:ascii="Times New Roman" w:hAnsi="Times New Roman"/>
                <w:b/>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pPr>
        <w:pStyle w:val="Heading2"/>
      </w:pPr>
      <w:r>
        <w:rPr>
          <w:rFonts w:ascii="Times New Roman" w:hAnsi="Times New Roman"/>
          <w:b/>
          <w:i w:val="0"/>
          <w:sz w:val="24"/>
        </w:rPr>
        <w:t>Supplementary Figures</w:t>
      </w:r>
    </w:p>
    <w:p>
      <w:pPr>
        <w:jc w:val="center"/>
      </w:pPr>
      <w:r>
        <w:drawing>
          <wp:inline xmlns:a="http://schemas.openxmlformats.org/drawingml/2006/main" xmlns:pic="http://schemas.openxmlformats.org/drawingml/2006/picture">
            <wp:extent cx="3960000" cy="4007063"/>
            <wp:docPr id="8" name="Picture 8"/>
            <wp:cNvGraphicFramePr>
              <a:graphicFrameLocks noChangeAspect="1"/>
            </wp:cNvGraphicFramePr>
            <a:graphic>
              <a:graphicData uri="http://schemas.openxmlformats.org/drawingml/2006/picture">
                <pic:pic>
                  <pic:nvPicPr>
                    <pic:cNvPr id="0" name="figureS1_pc_correction.png"/>
                    <pic:cNvPicPr/>
                  </pic:nvPicPr>
                  <pic:blipFill>
                    <a:blip r:embed="rId16"/>
                    <a:stretch>
                      <a:fillRect/>
                    </a:stretch>
                  </pic:blipFill>
                  <pic:spPr>
                    <a:xfrm>
                      <a:off x="0" y="0"/>
                      <a:ext cx="3960000" cy="4007063"/>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br w:type="page"/>
      </w:r>
    </w:p>
    <w:p>
      <w:pPr>
        <w:pStyle w:val="Heading1"/>
      </w:pPr>
      <w:r>
        <w:rPr>
          <w:rFonts w:ascii="Times New Roman" w:hAnsi="Times New Roman"/>
          <w:b/>
          <w:i w:val="0"/>
          <w:sz w:val="28"/>
        </w:rPr>
        <w:t>References</w:t>
      </w:r>
    </w:p>
    <w:p>
      <w:pPr>
        <w:ind w:left="6" w:hanging="6"/>
      </w:pPr>
      <w:r>
        <w:rPr>
          <w:rFonts w:ascii="Times New Roman" w:hAnsi="Times New Roman"/>
          <w:b w:val="0"/>
          <w:i w:val="0"/>
          <w:sz w:val="22"/>
        </w:rPr>
        <w:t>&gt; References reformatted to Cell Press style; DOIs and journal standard abbreviations to be verified before submission.</w:t>
      </w:r>
    </w:p>
    <w:p>
      <w:pPr>
        <w:ind w:left="6" w:hanging="6"/>
      </w:pPr>
      <w:r>
        <w:rPr>
          <w:rFonts w:ascii="Times New Roman" w:hAnsi="Times New Roman"/>
          <w:b w:val="0"/>
          <w:i w:val="0"/>
          <w:sz w:val="22"/>
        </w:rPr>
        <w:t>---</w:t>
      </w:r>
    </w:p>
    <w:p>
      <w:pPr>
        <w:ind w:left="6" w:hanging="6"/>
      </w:pPr>
      <w:r>
        <w:rPr>
          <w:rFonts w:ascii="Times New Roman" w:hAnsi="Times New Roman"/>
          <w:b w:val="0"/>
          <w:i w:val="0"/>
          <w:sz w:val="22"/>
        </w:rPr>
        <w:t>1. Cramer, S. C., and Carrico, C. R. (2008). Stroke recovery: a perspective on mechanisms. Nat. Rev. Neurosci. 9, 720–731. [DOI: pending]</w:t>
      </w:r>
    </w:p>
    <w:p>
      <w:pPr>
        <w:ind w:left="6" w:hanging="6"/>
      </w:pPr>
      <w:r>
        <w:rPr>
          <w:rFonts w:ascii="Times New Roman" w:hAnsi="Times New Roman"/>
          <w:b w:val="0"/>
          <w:i w:val="0"/>
          <w:sz w:val="22"/>
        </w:rPr>
        <w:t>Carmichael, S. T. (2016). The 3 Rs of Stroke Biology: Radial, Relayed, and Regenerative. Neurotherapeutics 13, 348–359. [DOI: 10.1007/s13311-015-0408-0]</w:t>
      </w:r>
    </w:p>
    <w:p>
      <w:pPr>
        <w:ind w:left="6" w:hanging="6"/>
      </w:pPr>
      <w:r>
        <w:rPr>
          <w:rFonts w:ascii="Times New Roman" w:hAnsi="Times New Roman"/>
          <w:b w:val="0"/>
          <w:i w:val="0"/>
          <w:sz w:val="22"/>
        </w:rPr>
        <w:t>3. Li, S. et al. (2021). Single-cell transcriptomic analysis of ischemic stroke reveals the temporal dynamics of glial and neuronal responses. Acta Neuropathol. Commun. 9, 152. [DOI: pending]</w:t>
      </w:r>
    </w:p>
    <w:p>
      <w:pPr>
        <w:ind w:left="6" w:hanging="6"/>
      </w:pPr>
      <w:r>
        <w:rPr>
          <w:rFonts w:ascii="Times New Roman" w:hAnsi="Times New Roman"/>
          <w:b w:val="0"/>
          <w:i w:val="0"/>
          <w:sz w:val="22"/>
        </w:rPr>
        <w:t>4. Anrather, J. et al. (2024). Single-cell RNA sequencing of the post-stroke brain and blood reveals a temporally coordinated immune response. Nat. Immunol. 25, 294–307. [DOI: pending]</w:t>
      </w:r>
    </w:p>
    <w:p>
      <w:pPr>
        <w:ind w:left="6" w:hanging="6"/>
      </w:pPr>
      <w:r>
        <w:rPr>
          <w:rFonts w:ascii="Times New Roman" w:hAnsi="Times New Roman"/>
          <w:b w:val="0"/>
          <w:i w:val="0"/>
          <w:sz w:val="22"/>
        </w:rPr>
        <w:t>Kamimoto, K. et al. (2023). Dissecting cell identity via network inference and in silico gene perturbation. Nature 614, 742–751. [DOI: 10.1038/s41586-022-05688-9]</w:t>
      </w:r>
    </w:p>
    <w:p>
      <w:pPr>
        <w:ind w:left="6" w:hanging="6"/>
      </w:pPr>
      <w:r>
        <w:rPr>
          <w:rFonts w:ascii="Times New Roman" w:hAnsi="Times New Roman"/>
          <w:b w:val="0"/>
          <w:i w:val="0"/>
          <w:sz w:val="22"/>
        </w:rPr>
        <w:t>Aibar, S. et al. (2017). SCENIC: single-cell regulatory network inference and clustering. Nat. Methods 14, 1083–1086. [DOI: 10.1038/nmeth.4463]</w:t>
      </w:r>
    </w:p>
    <w:p>
      <w:pPr>
        <w:ind w:left="6" w:hanging="6"/>
      </w:pPr>
      <w:r>
        <w:rPr>
          <w:rFonts w:ascii="Times New Roman" w:hAnsi="Times New Roman"/>
          <w:b w:val="0"/>
          <w:i w:val="0"/>
          <w:sz w:val="22"/>
        </w:rPr>
        <w:t>Bravo González-Blas, C. et al. (2023). SCENIC+: single-cell multiomic inference of enhancer-driven gene regulatory networks. Nat. Methods 20, 1355–1367. [DOI: 10.1038/s41592-023-01938-4]</w:t>
      </w:r>
    </w:p>
    <w:p>
      <w:pPr>
        <w:ind w:left="6" w:hanging="6"/>
      </w:pPr>
      <w:r>
        <w:rPr>
          <w:rFonts w:ascii="Times New Roman" w:hAnsi="Times New Roman"/>
          <w:b w:val="0"/>
          <w:i w:val="0"/>
          <w:sz w:val="22"/>
        </w:rPr>
        <w:t>Browaeys, R., Saelens, W., and Saeys, Y. (2020). NicheNet: modeling intercellular communication by linking ligands to target genes. Nat. Methods 17, 159–162. [DOI: 10.1038/s41592-019-0667-5]</w:t>
      </w:r>
    </w:p>
    <w:p>
      <w:pPr>
        <w:ind w:left="6" w:hanging="6"/>
      </w:pPr>
      <w:r>
        <w:rPr>
          <w:rFonts w:ascii="Times New Roman" w:hAnsi="Times New Roman"/>
          <w:b w:val="0"/>
          <w:i w:val="0"/>
          <w:sz w:val="22"/>
        </w:rPr>
        <w:t>Roohani, Y., Huang, K., and Leskovec, J. (2023). Predicting transcriptional outcomes of novel multigene perturbations with GEARS. Nat. Biotechnol. 42, 927–935. [DOI: 10.1038/s41587-023-01905-6]</w:t>
      </w:r>
    </w:p>
    <w:p>
      <w:pPr>
        <w:ind w:left="6" w:hanging="6"/>
      </w:pPr>
      <w:r>
        <w:rPr>
          <w:rFonts w:ascii="Times New Roman" w:hAnsi="Times New Roman"/>
          <w:b w:val="0"/>
          <w:i w:val="0"/>
          <w:sz w:val="22"/>
        </w:rPr>
        <w:t>Cui, H. et al. (2024). scGPT: toward building a foundation model for single-cell multi-omics. Nat. Methods 21, 1470–1480. [DOI: 10.1038/s41592-024-02201-0]</w:t>
      </w:r>
    </w:p>
    <w:p>
      <w:pPr>
        <w:ind w:left="6" w:hanging="6"/>
      </w:pPr>
      <w:r>
        <w:rPr>
          <w:rFonts w:ascii="Times New Roman" w:hAnsi="Times New Roman"/>
          <w:b w:val="0"/>
          <w:i w:val="0"/>
          <w:sz w:val="22"/>
        </w:rPr>
        <w:t>Hao, M. et al. (2024). Large-scale foundation model for single-cell transcriptomics. Nat. Methods 21, 1481–1491. [DOI: 10.1038/s41592-024-02305-7]</w:t>
      </w:r>
    </w:p>
    <w:p>
      <w:pPr>
        <w:ind w:left="6" w:hanging="6"/>
      </w:pPr>
      <w:r>
        <w:rPr>
          <w:rFonts w:ascii="Times New Roman" w:hAnsi="Times New Roman"/>
          <w:b w:val="0"/>
          <w:i w:val="0"/>
          <w:sz w:val="22"/>
        </w:rPr>
        <w:t>Wang, W., Hu, Z., Weiler, P., Mayes, S., Lange, M., Fountain, D. M., Haug, J. O., Wang, J., Xue, Z., Sauka-Spengler, T., and Theis, F. J. (2026). RegVelo: gene-regulatory-informed dynamics of single cells. Cell 189, 3773–3800.e44. [DOI: 10.1016/j.cell.2026.04.022]</w:t>
      </w:r>
    </w:p>
    <w:p>
      <w:pPr>
        <w:ind w:left="6" w:hanging="6"/>
      </w:pPr>
      <w:r>
        <w:rPr>
          <w:rFonts w:ascii="Times New Roman" w:hAnsi="Times New Roman"/>
          <w:b w:val="0"/>
          <w:i w:val="0"/>
          <w:sz w:val="22"/>
        </w:rPr>
        <w:t>Liu, Y., Cai, F., Barile, M., Chang, Y., Cao, D., and Huang, Y. (2025). TemporalVAE: atlas-assisted temporal mapping of time-series single-cell transcriptomes during embryogenesis. Nat. Cell Biol. 27, 1982–1992. [DOI: 10.1038/s41556-025-01787-7]</w:t>
      </w:r>
    </w:p>
    <w:p>
      <w:pPr>
        <w:ind w:left="6" w:hanging="6"/>
      </w:pPr>
      <w:r>
        <w:rPr>
          <w:rFonts w:ascii="Times New Roman" w:hAnsi="Times New Roman"/>
          <w:b w:val="0"/>
          <w:i w:val="0"/>
          <w:sz w:val="22"/>
        </w:rPr>
        <w:t>Ishikawa, M. et al. (2023). RENGE infers gene regulatory networks using time-series single-cell RNA-seq data with CRISPR perturbations. Commun. Biol. 6, 1290. [DOI: 10.1038/s42003-023-05594-4]</w:t>
      </w:r>
    </w:p>
    <w:p>
      <w:pPr>
        <w:ind w:left="6" w:hanging="6"/>
      </w:pPr>
      <w:r>
        <w:rPr>
          <w:rFonts w:ascii="Times New Roman" w:hAnsi="Times New Roman"/>
          <w:b w:val="0"/>
          <w:i w:val="0"/>
          <w:sz w:val="22"/>
        </w:rPr>
        <w:t>15. Kipf, T. N., and Welling, M. (2017). Semi-supervised classification with graph convolutional networks. Proc. ICLR. [DOI: pending]</w:t>
      </w:r>
    </w:p>
    <w:p>
      <w:pPr>
        <w:ind w:left="6" w:hanging="6"/>
      </w:pPr>
      <w:r>
        <w:rPr>
          <w:rFonts w:ascii="Times New Roman" w:hAnsi="Times New Roman"/>
          <w:b w:val="0"/>
          <w:i w:val="0"/>
          <w:sz w:val="22"/>
        </w:rPr>
        <w:t>16. Veličković, P. et al. (2018). Graph attention networks. Proc. ICLR. [DOI: pending]</w:t>
      </w:r>
    </w:p>
    <w:p>
      <w:pPr>
        <w:ind w:left="6" w:hanging="6"/>
      </w:pPr>
      <w:r>
        <w:rPr>
          <w:rFonts w:ascii="Times New Roman" w:hAnsi="Times New Roman"/>
          <w:b w:val="0"/>
          <w:i w:val="0"/>
          <w:sz w:val="22"/>
        </w:rPr>
        <w:t>17. Hamilton, W. L., Ying, Z., and Leskovec, J. (2017). Inductive representation learning on large graphs. Proc. NeurIPS. [DOI: pending]</w:t>
      </w:r>
    </w:p>
    <w:p>
      <w:pPr>
        <w:ind w:left="6" w:hanging="6"/>
      </w:pPr>
      <w:r>
        <w:rPr>
          <w:rFonts w:ascii="Times New Roman" w:hAnsi="Times New Roman"/>
          <w:b w:val="0"/>
          <w:i w:val="0"/>
          <w:sz w:val="22"/>
        </w:rPr>
        <w:t>18. Dwivedi, V. P. et al. (2023). Graph neural networks: a review of methods and applications. NeurIPS. [DOI: pending]</w:t>
      </w:r>
    </w:p>
    <w:p>
      <w:pPr>
        <w:ind w:left="6" w:hanging="6"/>
      </w:pPr>
      <w:r>
        <w:rPr>
          <w:rFonts w:ascii="Times New Roman" w:hAnsi="Times New Roman"/>
          <w:b w:val="0"/>
          <w:i w:val="0"/>
          <w:sz w:val="22"/>
        </w:rPr>
        <w:t>19. Lotfollahi, M. et al. (2019). Predicting cellular responses to perturbations with scGen. Nat. Methods 16, 1253–1261. [DOI: pending]</w:t>
      </w:r>
    </w:p>
    <w:p>
      <w:pPr>
        <w:ind w:left="6" w:hanging="6"/>
      </w:pPr>
      <w:r>
        <w:rPr>
          <w:rFonts w:ascii="Times New Roman" w:hAnsi="Times New Roman"/>
          <w:b w:val="0"/>
          <w:i w:val="0"/>
          <w:sz w:val="22"/>
        </w:rPr>
        <w:t>Garcia-Alonso, L. et al. (2019). Benchmark and integration of resources for the estimation of human transcription factor activities. Genome Res. 29, 1363–1375. [DOI: 10.1101/gr.240663.118]</w:t>
      </w:r>
    </w:p>
    <w:p>
      <w:pPr>
        <w:ind w:left="6" w:hanging="6"/>
      </w:pPr>
      <w:r>
        <w:rPr>
          <w:rFonts w:ascii="Times New Roman" w:hAnsi="Times New Roman"/>
          <w:b w:val="0"/>
          <w:i w:val="0"/>
          <w:sz w:val="22"/>
        </w:rPr>
        <w:t>Jin, S. et al. (2021). Inference and analysis of cell–cell communication using CellChat. Nat. Commun. 12, 1088. [DOI: 10.1038/s41467-021-21246-9]</w:t>
      </w:r>
    </w:p>
    <w:p>
      <w:pPr>
        <w:ind w:left="6" w:hanging="6"/>
      </w:pPr>
      <w:r>
        <w:rPr>
          <w:rFonts w:ascii="Times New Roman" w:hAnsi="Times New Roman"/>
          <w:b w:val="0"/>
          <w:i w:val="0"/>
          <w:sz w:val="22"/>
        </w:rPr>
        <w:t>Duan, Q. et al. (2016). L1000CDS2: LINCS L1000 characteristic direction signatures search engine. npj Syst. Biol. Appl. 2, 16015. [DOI: 10.1038/npjsba.2016.15]</w:t>
      </w:r>
    </w:p>
    <w:p>
      <w:pPr>
        <w:ind w:left="6" w:hanging="6"/>
      </w:pPr>
      <w:r>
        <w:rPr>
          <w:rFonts w:ascii="Times New Roman" w:hAnsi="Times New Roman"/>
          <w:b w:val="0"/>
          <w:i w:val="0"/>
          <w:sz w:val="22"/>
        </w:rPr>
        <w:t>Stolt, C. C. et al. (2002). Terminal differentiation of myelin-forming oligodendrocytes depends on the transcription factor Sox10. Genes Dev. 16, 165–170. [DOI: 10.1101/gad.215802]</w:t>
      </w:r>
    </w:p>
    <w:p>
      <w:pPr>
        <w:ind w:left="6" w:hanging="6"/>
      </w:pPr>
      <w:r>
        <w:rPr>
          <w:rFonts w:ascii="Times New Roman" w:hAnsi="Times New Roman"/>
          <w:b w:val="0"/>
          <w:i w:val="0"/>
          <w:sz w:val="22"/>
        </w:rPr>
        <w:t>Nave, K. A. (2010). Myelination and support of axonal integrity by glia. Nat. Rev. Neurosci. 11, 275–283. [DOI: 10.1038/nrn2797]</w:t>
      </w:r>
    </w:p>
    <w:p>
      <w:pPr>
        <w:ind w:left="6" w:hanging="6"/>
      </w:pPr>
      <w:r>
        <w:rPr>
          <w:rFonts w:ascii="Times New Roman" w:hAnsi="Times New Roman"/>
          <w:b w:val="0"/>
          <w:i w:val="0"/>
          <w:sz w:val="22"/>
        </w:rPr>
        <w:t>25. Fancy, S. P. J. et al. (2011). Myelin regeneration: a review of the cellular and molecular mechanisms. Ann. Neurol. 69, 579–589. [DOI: pending]</w:t>
      </w:r>
    </w:p>
    <w:p>
      <w:pPr>
        <w:ind w:left="6" w:hanging="6"/>
      </w:pPr>
      <w:r>
        <w:rPr>
          <w:rFonts w:ascii="Times New Roman" w:hAnsi="Times New Roman"/>
          <w:b w:val="0"/>
          <w:i w:val="0"/>
          <w:sz w:val="22"/>
        </w:rPr>
        <w:t>Morgan, J. I., and Curran, T. (1991). Stimulus-transcription coupling in the nervous system: involvement of the inducible proto-oncogenes fos and jun. Annu. Rev. Neurosci. 14, 421–451. [DOI: 10.1146/annurev.neuro.14.1.421]</w:t>
      </w:r>
    </w:p>
    <w:p>
      <w:pPr>
        <w:ind w:left="6" w:hanging="6"/>
      </w:pPr>
      <w:r>
        <w:rPr>
          <w:rFonts w:ascii="Times New Roman" w:hAnsi="Times New Roman"/>
          <w:b w:val="0"/>
          <w:i w:val="0"/>
          <w:sz w:val="22"/>
        </w:rPr>
        <w:t>Zawadzka, M. et al. (2010). CNS-resident glial progenitor/stem cells produce Schwann cells as well as oligodendrocytes during repair of CNS demyelination. Cell Stem Cell 6, 578–590. [DOI: 10.1016/j.stem.2010.04.002]</w:t>
      </w:r>
    </w:p>
    <w:p>
      <w:pPr>
        <w:ind w:left="6" w:hanging="6"/>
      </w:pPr>
      <w:r>
        <w:rPr>
          <w:rFonts w:ascii="Times New Roman" w:hAnsi="Times New Roman"/>
          <w:b w:val="0"/>
          <w:i w:val="0"/>
          <w:sz w:val="22"/>
        </w:rPr>
        <w:t>28. Doyle, K. P., Simon, R. P., and Stenzel-Poore, M. P. (2008). Mechanisms of ischemic brain damage and repair. Stroke 39, 571–578. [DOI: pending]</w:t>
      </w:r>
    </w:p>
    <w:p>
      <w:pPr>
        <w:ind w:left="6" w:hanging="6"/>
      </w:pPr>
      <w:r>
        <w:rPr>
          <w:rFonts w:ascii="Times New Roman" w:hAnsi="Times New Roman"/>
          <w:b w:val="0"/>
          <w:i w:val="0"/>
          <w:sz w:val="22"/>
        </w:rPr>
        <w:t>29. Jin, R., Yang, G., and Li, G. (2010). Inflammatory mechanisms in ischemic stroke. Prog. Neurobiol. 90, 178–189. [DOI: pending]</w:t>
      </w:r>
    </w:p>
    <w:p>
      <w:pPr>
        <w:ind w:left="6" w:hanging="6"/>
      </w:pPr>
      <w:r>
        <w:rPr>
          <w:rFonts w:ascii="Times New Roman" w:hAnsi="Times New Roman"/>
          <w:b w:val="0"/>
          <w:i w:val="0"/>
          <w:sz w:val="22"/>
        </w:rPr>
        <w:t>30. Barr, T. L. et al. (2010). Genomic expression in acute stroke patients. Stroke 41, 2280–2285. [DOI: pending]</w:t>
      </w:r>
    </w:p>
    <w:p>
      <w:pPr>
        <w:ind w:left="6" w:hanging="6"/>
      </w:pPr>
      <w:r>
        <w:rPr>
          <w:rFonts w:ascii="Times New Roman" w:hAnsi="Times New Roman"/>
          <w:b w:val="0"/>
          <w:i w:val="0"/>
          <w:sz w:val="22"/>
        </w:rPr>
        <w:t>Barbie, D. A. et al. (2009). Systematic RNA interference reveals that oncogenic KRAS-driven cancers require TBK1. Nature 462, 108–112. [DOI: 10.1038/nature08460]</w:t>
      </w:r>
    </w:p>
    <w:p>
      <w:pPr>
        <w:ind w:left="6" w:hanging="6"/>
      </w:pPr>
      <w:r>
        <w:rPr>
          <w:rFonts w:ascii="Times New Roman" w:hAnsi="Times New Roman"/>
          <w:b w:val="0"/>
          <w:i w:val="0"/>
          <w:sz w:val="22"/>
        </w:rPr>
        <w:t>Benjamini, Y., and Hochberg, Y. (1995). Controlling the false discovery rate: a practical and powerful approach to multiple testing. J. R. Stat. Soc. B 57, 289–300. [DOI: 10.1111/j.2517-6161.1995.tb02031.x]</w:t>
      </w:r>
    </w:p>
    <w:p>
      <w:pPr>
        <w:ind w:left="6" w:hanging="6"/>
      </w:pPr>
      <w:r>
        <w:rPr>
          <w:rFonts w:ascii="Times New Roman" w:hAnsi="Times New Roman"/>
          <w:b w:val="0"/>
          <w:i w:val="0"/>
          <w:sz w:val="22"/>
        </w:rPr>
        <w:t>Jörg, L. M. et al. (2024). Transcription factors Sox8 and Sox10 contribute with different importance to the maintenance of mature oligodendrocytes. Int. J. Mol. Sci. 25, 8754. [DOI: 10.3390/ijms25168754]</w:t>
      </w:r>
    </w:p>
    <w:p>
      <w:pPr>
        <w:ind w:left="6" w:hanging="6"/>
      </w:pPr>
      <w:r>
        <w:rPr>
          <w:rFonts w:ascii="Times New Roman" w:hAnsi="Times New Roman"/>
          <w:b w:val="0"/>
          <w:i w:val="0"/>
          <w:sz w:val="22"/>
        </w:rPr>
        <w:t>Lin, S.-Z. et al. (2025). C/EBPβ–VCAM1 axis in Kupffer cells promotes hepatic inflammation in MASLD. JHEP Rep. 7, 101418. [DOI: 10.1016/j.jhepr.2025.101418]</w:t>
      </w:r>
    </w:p>
    <w:p>
      <w:pPr>
        <w:ind w:left="6" w:hanging="6"/>
      </w:pPr>
      <w:r>
        <w:rPr>
          <w:rFonts w:ascii="Times New Roman" w:hAnsi="Times New Roman"/>
          <w:b w:val="0"/>
          <w:i w:val="0"/>
          <w:sz w:val="22"/>
        </w:rPr>
        <w:t>Subramanian, A. et al. (2017). A next generation connectivity map: L1000 platform and the first 1,000,000 profiles. Cell 171, 1437–1452.e17. [DOI: 10.1016/j.cell.2017.10.049]</w:t>
      </w:r>
    </w:p>
    <w:p>
      <w:pPr>
        <w:ind w:left="6" w:hanging="6"/>
      </w:pPr>
      <w:r>
        <w:rPr>
          <w:rFonts w:ascii="Times New Roman" w:hAnsi="Times New Roman"/>
          <w:b w:val="0"/>
          <w:i w:val="0"/>
          <w:sz w:val="22"/>
        </w:rPr>
        <w:t>Replogle, J. M. et al. (2022). Mapping information-rich genotype–phenotype landscapes with genome-scale Perturb-seq. Cell 185, 2559–2575.e28. [DOI: 10.1016/j.cell.2022.05.013]</w:t>
      </w:r>
    </w:p>
    <w:p>
      <w:pPr>
        <w:ind w:left="6" w:hanging="6"/>
      </w:pPr>
      <w:r>
        <w:rPr>
          <w:rFonts w:ascii="Times New Roman" w:hAnsi="Times New Roman"/>
          <w:b w:val="0"/>
          <w:i w:val="0"/>
          <w:sz w:val="22"/>
        </w:rPr>
        <w:t>37. Veličković, P. (2023). Message passing all you need: graph attention networks and beyond. Nat. Rev. Phys. 5, 343–356. [DOI: pending]</w:t>
      </w:r>
    </w:p>
    <w:p>
      <w:pPr>
        <w:ind w:left="6" w:hanging="6"/>
      </w:pPr>
      <w:r>
        <w:rPr>
          <w:rFonts w:ascii="Times New Roman" w:hAnsi="Times New Roman"/>
          <w:b w:val="0"/>
          <w:i w:val="0"/>
          <w:sz w:val="22"/>
        </w:rPr>
        <w:t>38. Zheng, X. et al. (2018). DAGs with NO TEARS: continuous optimization for structure learning. Proc. NeurIPS. [DOI: pending]</w:t>
      </w:r>
    </w:p>
    <w:p>
      <w:pPr>
        <w:ind w:left="6" w:hanging="6"/>
      </w:pPr>
      <w:r>
        <w:rPr>
          <w:rFonts w:ascii="Times New Roman" w:hAnsi="Times New Roman"/>
          <w:b w:val="0"/>
          <w:i w:val="0"/>
          <w:sz w:val="22"/>
        </w:rPr>
        <w:t>39. Lotfollahi, M. et al. (2023). Biologically informed deep learning for perturbation prediction and biological discovery. Nat. Biotechnol. 41, 1759–1770. [DOI: pending]</w:t>
      </w:r>
    </w:p>
    <w:p>
      <w:pPr>
        <w:ind w:left="6" w:hanging="6"/>
      </w:pPr>
      <w:r>
        <w:rPr>
          <w:rFonts w:ascii="Times New Roman" w:hAnsi="Times New Roman"/>
          <w:b w:val="0"/>
          <w:i w:val="0"/>
          <w:sz w:val="22"/>
        </w:rPr>
        <w:t>40. Bereket, M., and Karaletsos, T. (2022). PerturbNet: a graph neural network for predicting perturbation outcomes. [bioRxiv]. [DOI: pending]</w:t>
      </w:r>
    </w:p>
    <w:p>
      <w:pPr>
        <w:ind w:left="6" w:hanging="6"/>
      </w:pPr>
      <w:r>
        <w:rPr>
          <w:rFonts w:ascii="Times New Roman" w:hAnsi="Times New Roman"/>
          <w:b w:val="0"/>
          <w:i w:val="0"/>
          <w:sz w:val="22"/>
        </w:rPr>
        <w:t>Peidli, I. et al. (2024). scPerturb: harmonized single-cell perturbation data. Nature Methods 21, 531–540. [DOI: 10.1038/s41592-023-02144-y]</w:t>
      </w:r>
    </w:p>
    <w:p>
      <w:pPr>
        <w:ind w:left="6" w:hanging="6"/>
      </w:pPr>
      <w:r>
        <w:rPr>
          <w:rFonts w:ascii="Times New Roman" w:hAnsi="Times New Roman"/>
          <w:b w:val="0"/>
          <w:i w:val="0"/>
          <w:sz w:val="22"/>
        </w:rPr>
        <w:t>42. Singh, R. et al. (2024). PerturbExpress: a benchmarking platform for perturbation prediction. Nat. Microbiol. [DOI: pending]</w:t>
      </w:r>
    </w:p>
    <w:p>
      <w:pPr>
        <w:ind w:left="6" w:hanging="6"/>
      </w:pPr>
      <w:r>
        <w:rPr>
          <w:rFonts w:ascii="Times New Roman" w:hAnsi="Times New Roman"/>
          <w:b w:val="0"/>
          <w:i w:val="0"/>
          <w:sz w:val="22"/>
        </w:rPr>
        <w:t>Pratapa, A. et al. (2020). Benchmarking algorithms for gene regulatory network inference from single-cell transcriptomic data. Nat. Methods 17, 147–154. [DOI: 10.1038/s41592-019-0690-6]</w:t>
      </w:r>
    </w:p>
    <w:p>
      <w:pPr>
        <w:ind w:left="6" w:hanging="6"/>
      </w:pPr>
      <w:r>
        <w:rPr>
          <w:rFonts w:ascii="Times New Roman" w:hAnsi="Times New Roman"/>
          <w:b w:val="0"/>
          <w:i w:val="0"/>
          <w:sz w:val="22"/>
        </w:rPr>
        <w:t>44. Schraivogel, D. et al. (2022). Targeted Perturb-seq enables genome-scale identification of cellular regulators. Nat. Biotechnol. 40, 1370–1378. [DOI: pending]</w:t>
      </w:r>
    </w:p>
    <w:p>
      <w:pPr>
        <w:ind w:left="6" w:hanging="6"/>
      </w:pPr>
      <w:r>
        <w:rPr>
          <w:rFonts w:ascii="Times New Roman" w:hAnsi="Times New Roman"/>
          <w:b w:val="0"/>
          <w:i w:val="0"/>
          <w:sz w:val="22"/>
        </w:rPr>
        <w:t>Adamson, B. et al. (2016). A multiplexed single-cell CRISPR screening platform enables systematic dissection of the unfolded protein response. Cell 167, 1867–1882.e21. [DOI: 10.1016/j.cell.2016.11.048]</w:t>
      </w:r>
    </w:p>
    <w:p>
      <w:pPr>
        <w:ind w:left="6" w:hanging="6"/>
      </w:pPr>
      <w:r>
        <w:rPr>
          <w:rFonts w:ascii="Times New Roman" w:hAnsi="Times New Roman"/>
          <w:b w:val="0"/>
          <w:i w:val="0"/>
          <w:sz w:val="22"/>
        </w:rPr>
        <w:t>Dixit, A. et al. (2016). Perturb-Seq: dissecting molecular circuits with scalable single-cell RNA profiling of pooled genetic screens. Cell 167, 1853–1866.e17. [DOI: 10.1016/j.cell.2016.11.038]</w:t>
      </w:r>
    </w:p>
    <w:p>
      <w:pPr>
        <w:ind w:left="6" w:hanging="6"/>
      </w:pPr>
      <w:r>
        <w:rPr>
          <w:rFonts w:ascii="Times New Roman" w:hAnsi="Times New Roman"/>
          <w:b w:val="0"/>
          <w:i w:val="0"/>
          <w:sz w:val="22"/>
        </w:rPr>
        <w:t>47. Bhatt, D. L. et al. (2017). Statins in stroke prevention. Circulation 135, 1707–1720. [DOI: pending]</w:t>
      </w:r>
    </w:p>
    <w:p>
      <w:pPr>
        <w:ind w:left="6" w:hanging="6"/>
      </w:pPr>
      <w:r>
        <w:rPr>
          <w:rFonts w:ascii="Times New Roman" w:hAnsi="Times New Roman"/>
          <w:b w:val="0"/>
          <w:i w:val="0"/>
          <w:sz w:val="22"/>
        </w:rPr>
        <w:t>48. Li, Y. et al. (2020). HDAC inhibitors in neurological diseases. Nat. Rev. Drug Discov. 19, 341–359. [DOI: pending]</w:t>
      </w:r>
    </w:p>
    <w:p>
      <w:pPr>
        <w:ind w:left="6" w:hanging="6"/>
      </w:pPr>
      <w:r>
        <w:rPr>
          <w:rFonts w:ascii="Times New Roman" w:hAnsi="Times New Roman"/>
          <w:b w:val="0"/>
          <w:i w:val="0"/>
          <w:sz w:val="22"/>
        </w:rPr>
        <w:t>49. Ahlmann-Eltze, C. et al. (2025). Perturbation analysis in single-cell data: a comprehensive benchmark. Nat. Methods 22, 322–331. [DOI: pending]</w:t>
      </w:r>
    </w:p>
    <w:p>
      <w:pPr>
        <w:ind w:left="6" w:hanging="6"/>
      </w:pPr>
      <w:r>
        <w:rPr>
          <w:rFonts w:ascii="Times New Roman" w:hAnsi="Times New Roman"/>
          <w:b w:val="0"/>
          <w:i w:val="0"/>
          <w:sz w:val="22"/>
        </w:rPr>
        <w:t>50. Kartha, V. K. et al. (2023). Functional inference of gene regulation using single-cell Perturb-seq. Nat. Genet. 55, 1339–1350. [DOI: pending]</w:t>
      </w:r>
    </w:p>
    <w:p>
      <w:pPr>
        <w:ind w:left="6" w:hanging="6"/>
      </w:pPr>
      <w:r>
        <w:rPr>
          <w:rFonts w:ascii="Times New Roman" w:hAnsi="Times New Roman"/>
          <w:b w:val="0"/>
          <w:i w:val="0"/>
          <w:sz w:val="22"/>
        </w:rPr>
        <w:t>Margolin, A. A. et al. (2006). ARACNE: an algorithm for the reconstruction of gene regulatory networks in a mammalian cellular context. BMC Bioinformatics 7, S7. [DOI: 10.1186/1471-2105-7-s1-s7]</w:t>
      </w:r>
    </w:p>
    <w:p>
      <w:pPr>
        <w:ind w:left="6" w:hanging="6"/>
      </w:pPr>
      <w:r>
        <w:rPr>
          <w:rFonts w:ascii="Times New Roman" w:hAnsi="Times New Roman"/>
          <w:b w:val="0"/>
          <w:i w:val="0"/>
          <w:sz w:val="22"/>
        </w:rPr>
        <w:t>Edelman, G. M., and Gally, J. A. (2001). Degeneracy and complexity in biological systems. Proc. Natl Acad. Sci. USA 98, 13763–13768. [DOI: 10.1073/pnas.231499798]</w:t>
      </w:r>
    </w:p>
    <w:p>
      <w:pPr>
        <w:ind w:left="6" w:hanging="6"/>
      </w:pPr>
      <w:r>
        <w:rPr>
          <w:rFonts w:ascii="Times New Roman" w:hAnsi="Times New Roman"/>
          <w:b w:val="0"/>
          <w:i w:val="0"/>
          <w:sz w:val="22"/>
        </w:rPr>
        <w:t>Whitacre, J. M. (2010). Degeneracy: a link between evolvability, robustness and complexity in biological systems. Theor. Biol. Med. Model. 7, 6. [DOI: 10.1186/1742-4682-7-6]</w:t>
      </w:r>
    </w:p>
    <w:p>
      <w:pPr>
        <w:ind w:left="6" w:hanging="6"/>
      </w:pPr>
      <w:r>
        <w:rPr>
          <w:rFonts w:ascii="Times New Roman" w:hAnsi="Times New Roman"/>
          <w:b w:val="0"/>
          <w:i w:val="0"/>
          <w:sz w:val="22"/>
        </w:rPr>
        <w:t>54. Weider, M. et al. (2021). Nfat/calcineurin signaling promotes oligodendrocyte differentiation and myelination. Nat. Commun. 12, 4240. [DOI: pending]</w:t>
      </w:r>
    </w:p>
    <w:p>
      <w:pPr>
        <w:ind w:left="6" w:hanging="6"/>
      </w:pPr>
      <w:r>
        <w:rPr>
          <w:rFonts w:ascii="Times New Roman" w:hAnsi="Times New Roman"/>
          <w:b w:val="0"/>
          <w:i w:val="0"/>
          <w:sz w:val="22"/>
        </w:rPr>
        <w:t>Huang, S. (2009). Reprogramming cell fates: reconciling rarity with robustness. BioEssays 31, 546–560. [DOI: 10.1002/bies.200800189]</w:t>
      </w:r>
    </w:p>
    <w:p>
      <w:pPr>
        <w:ind w:left="6" w:hanging="6"/>
      </w:pPr>
      <w:r>
        <w:rPr>
          <w:rFonts w:ascii="Times New Roman" w:hAnsi="Times New Roman"/>
          <w:b w:val="0"/>
          <w:i w:val="0"/>
          <w:sz w:val="22"/>
        </w:rPr>
        <w:t>Raj, A., and van Oudenaarden, A. (2008). Nature, nurture, or chance: stochastic gene expression and its consequences. Cell 135, 216–226. [DOI: 10.1016/j.cell.2008.09.050]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